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D" w:rsidRPr="008748AD" w:rsidRDefault="008748AD" w:rsidP="00853454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sz w:val="24"/>
          <w:szCs w:val="24"/>
          <w:lang w:val="en" w:eastAsia="en-GB"/>
        </w:rPr>
      </w:pPr>
      <w:bookmarkStart w:id="0" w:name="_GoBack"/>
      <w:bookmarkEnd w:id="0"/>
      <w:r w:rsidRPr="008748AD">
        <w:rPr>
          <w:rFonts w:ascii="Times New Roman" w:eastAsia="Times New Roman" w:hAnsi="Times New Roman"/>
          <w:sz w:val="24"/>
          <w:szCs w:val="24"/>
          <w:lang w:val="en" w:eastAsia="en-GB"/>
        </w:rPr>
        <w:t>1 July 2014</w:t>
      </w:r>
    </w:p>
    <w:p w:rsidR="00853454" w:rsidRPr="00853454" w:rsidRDefault="00853454" w:rsidP="00853454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" w:eastAsia="en-GB"/>
        </w:rPr>
      </w:pPr>
      <w:r w:rsidRPr="00853454">
        <w:rPr>
          <w:rFonts w:ascii="Times New Roman" w:eastAsia="Times New Roman" w:hAnsi="Times New Roman"/>
          <w:b/>
          <w:bCs/>
          <w:sz w:val="36"/>
          <w:szCs w:val="36"/>
          <w:lang w:val="en" w:eastAsia="en-GB"/>
        </w:rPr>
        <w:t>Methodology</w:t>
      </w:r>
    </w:p>
    <w:p w:rsidR="00853454" w:rsidRPr="00853454" w:rsidRDefault="00853454" w:rsidP="00853454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" w:eastAsia="en-GB"/>
        </w:rPr>
      </w:pPr>
      <w:r w:rsidRPr="00853454">
        <w:rPr>
          <w:rFonts w:ascii="Times New Roman" w:eastAsia="Times New Roman" w:hAnsi="Times New Roman"/>
          <w:b/>
          <w:bCs/>
          <w:sz w:val="27"/>
          <w:szCs w:val="27"/>
          <w:lang w:val="en" w:eastAsia="en-GB"/>
        </w:rPr>
        <w:t xml:space="preserve">Methodology for </w:t>
      </w:r>
      <w:r w:rsidR="008748AD">
        <w:rPr>
          <w:rFonts w:ascii="Times New Roman" w:eastAsia="Times New Roman" w:hAnsi="Times New Roman"/>
          <w:b/>
          <w:bCs/>
          <w:sz w:val="27"/>
          <w:szCs w:val="27"/>
          <w:lang w:val="en" w:eastAsia="en-GB"/>
        </w:rPr>
        <w:t xml:space="preserve">CSI004 </w:t>
      </w:r>
      <w:r w:rsidRPr="00853454">
        <w:rPr>
          <w:rFonts w:ascii="Times New Roman" w:eastAsia="Times New Roman" w:hAnsi="Times New Roman"/>
          <w:b/>
          <w:bCs/>
          <w:sz w:val="27"/>
          <w:szCs w:val="27"/>
          <w:lang w:val="en" w:eastAsia="en-GB"/>
        </w:rPr>
        <w:t>indicator calculation</w:t>
      </w:r>
    </w:p>
    <w:p w:rsid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Initially, </w:t>
      </w:r>
      <w:proofErr w:type="spellStart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AirBase</w:t>
      </w:r>
      <w:proofErr w:type="spellEnd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stations are spatially joined with Urban Audit core cities in a Geographical Information System (GIS) in order to select 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>those</w:t>
      </w:r>
      <w:r w:rsidR="00111ED2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stations which fall within the boundaries of the cities that take part in the Urban Audit. The selected </w:t>
      </w:r>
      <w:proofErr w:type="spellStart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AirBase</w:t>
      </w:r>
      <w:proofErr w:type="spellEnd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stations include station types classified as '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urban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traffic</w:t>
      </w:r>
      <w:r w:rsidR="003B7F45" w:rsidRPr="003B7F45">
        <w:rPr>
          <w:rFonts w:ascii="Times New Roman" w:eastAsia="Times New Roman" w:hAnsi="Times New Roman"/>
          <w:sz w:val="24"/>
          <w:szCs w:val="24"/>
          <w:lang w:val="en" w:eastAsia="en-GB"/>
        </w:rPr>
        <w:t>'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,</w:t>
      </w:r>
      <w:r w:rsidR="00934E3A" w:rsidRPr="00934E3A">
        <w:t xml:space="preserve"> </w:t>
      </w:r>
      <w:r w:rsidR="00934E3A" w:rsidRPr="00934E3A">
        <w:rPr>
          <w:rFonts w:ascii="Times New Roman" w:eastAsia="Times New Roman" w:hAnsi="Times New Roman"/>
          <w:sz w:val="24"/>
          <w:szCs w:val="24"/>
          <w:lang w:val="en" w:eastAsia="en-GB"/>
        </w:rPr>
        <w:t>'sub-urban traffic'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'urban background' 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>and</w:t>
      </w:r>
      <w:r w:rsidR="00934E3A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'sub-urban background'. 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>According to a study for the European Commission</w:t>
      </w:r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</w:t>
      </w:r>
      <w:proofErr w:type="spellStart"/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>Entec</w:t>
      </w:r>
      <w:proofErr w:type="spellEnd"/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>, 2006)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in Europe, as an average,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5 % of 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city population 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lives closer than 100 m to major roads and therefore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is </w:t>
      </w:r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potentially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exposed to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concentrations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measured at traffic stations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. The 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remaining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95 % 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of the city population 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is 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assumed to be 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exposed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to </w:t>
      </w:r>
      <w:r w:rsidR="00111ED2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urban and suburban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background concentrations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. 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These percentages vary from country to country and are shown in the table below.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Stations classified as 'industrial' are influenced by other local emissions</w:t>
      </w:r>
      <w:r w:rsid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and 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uch environments are generally not representative for residential areas. The industrial stations are therefore not selected for the indicator calculations.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322"/>
      </w:tblGrid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</w:pPr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Country (</w:t>
            </w:r>
            <w:r w:rsidRPr="001F047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" w:eastAsia="en-GB"/>
              </w:rPr>
              <w:t>j</w:t>
            </w:r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)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</w:pPr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Percentage of population living close to major roads (</w:t>
            </w:r>
            <w:proofErr w:type="spellStart"/>
            <w:r w:rsidRPr="001F047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" w:eastAsia="en-GB"/>
              </w:rPr>
              <w:t>P</w:t>
            </w:r>
            <w:r w:rsidRPr="001F0471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bscript"/>
                <w:lang w:val="en" w:eastAsia="en-GB"/>
              </w:rPr>
              <w:t>tj</w:t>
            </w:r>
            <w:proofErr w:type="spellEnd"/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)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</w:pPr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Percentage of population exposed to background concentrations (</w:t>
            </w:r>
            <w:proofErr w:type="spellStart"/>
            <w:r w:rsidRPr="001F047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" w:eastAsia="en-GB"/>
              </w:rPr>
              <w:t>P</w:t>
            </w:r>
            <w:r w:rsidRPr="001F0471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bscript"/>
                <w:lang w:val="en" w:eastAsia="en-GB"/>
              </w:rPr>
              <w:t>bj</w:t>
            </w:r>
            <w:proofErr w:type="spellEnd"/>
            <w:r w:rsidRPr="001F0471">
              <w:rPr>
                <w:rFonts w:ascii="Times New Roman" w:eastAsia="Times New Roman" w:hAnsi="Times New Roman"/>
                <w:b/>
                <w:sz w:val="20"/>
                <w:szCs w:val="20"/>
                <w:lang w:val="en" w:eastAsia="en-GB"/>
              </w:rPr>
              <w:t>)</w:t>
            </w:r>
          </w:p>
        </w:tc>
      </w:tr>
      <w:tr w:rsidR="001F0471" w:rsidTr="00066B31">
        <w:tc>
          <w:tcPr>
            <w:tcW w:w="2802" w:type="dxa"/>
          </w:tcPr>
          <w:p w:rsid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  <w:tc>
          <w:tcPr>
            <w:tcW w:w="3118" w:type="dxa"/>
          </w:tcPr>
          <w:p w:rsid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  <w:tc>
          <w:tcPr>
            <w:tcW w:w="3322" w:type="dxa"/>
          </w:tcPr>
          <w:p w:rsid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Austria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6.4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93.6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Belgium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7.4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92.6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Bulgaria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3.6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96.4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Croatia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4.1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95.9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Cyprus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5.0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95.0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Czech Republic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4.5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95.5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Denmark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6.6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93.4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Estonia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2.8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97.2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Finland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3.8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96.2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France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4.2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95.8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Germany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6.2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93.8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Greece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4.0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96.0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Hungary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4.7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95.3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Ireland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4.9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95.1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Italy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4.9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95.1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Latvia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3.8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96.2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Lithuania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2.3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97.7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Luxembourg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9.1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90.9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Malta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5.0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95.0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Netherlands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6.4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93.6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Poland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3.4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96.6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Portugal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3.8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96.2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Romania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2.4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97.6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Slovakia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5.7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94.3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Slovenia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4.9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95.1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Spain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5.3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94.7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Sweden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2.2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97.8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</w:rPr>
              <w:t>United Kingdom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5.8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94.2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color w:val="000000"/>
              </w:rPr>
              <w:lastRenderedPageBreak/>
              <w:t>Iceland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0.7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99.3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color w:val="000000"/>
              </w:rPr>
              <w:t>Liechtenstein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97.5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color w:val="000000"/>
              </w:rPr>
              <w:t>Norway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1.9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98.1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color w:val="000000"/>
              </w:rPr>
              <w:t>Switzerland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5.0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95.0</w:t>
            </w:r>
          </w:p>
        </w:tc>
      </w:tr>
      <w:tr w:rsidR="001F0471" w:rsidTr="00066B31">
        <w:tc>
          <w:tcPr>
            <w:tcW w:w="2802" w:type="dxa"/>
          </w:tcPr>
          <w:p w:rsidR="001F0471" w:rsidRPr="001F0471" w:rsidRDefault="001F0471" w:rsidP="00066B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color w:val="000000"/>
              </w:rPr>
              <w:t>Turkey</w:t>
            </w:r>
          </w:p>
        </w:tc>
        <w:tc>
          <w:tcPr>
            <w:tcW w:w="3118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5.0</w:t>
            </w:r>
          </w:p>
        </w:tc>
        <w:tc>
          <w:tcPr>
            <w:tcW w:w="3322" w:type="dxa"/>
          </w:tcPr>
          <w:p w:rsidR="001F0471" w:rsidRPr="001F0471" w:rsidRDefault="001F0471" w:rsidP="00066B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" w:eastAsia="en-GB"/>
              </w:rPr>
            </w:pPr>
            <w:r w:rsidRPr="001F0471">
              <w:rPr>
                <w:rFonts w:ascii="Times New Roman" w:hAnsi="Times New Roman"/>
                <w:b/>
                <w:bCs/>
                <w:color w:val="000000"/>
              </w:rPr>
              <w:t>95.0</w:t>
            </w:r>
          </w:p>
        </w:tc>
      </w:tr>
    </w:tbl>
    <w:p w:rsidR="003E0D6C" w:rsidRPr="00853454" w:rsidRDefault="003E0D6C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</w:p>
    <w:p w:rsidR="006006B9" w:rsidRDefault="006006B9" w:rsidP="006006B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PM</w:t>
      </w:r>
      <w:r w:rsidR="007365B6" w:rsidRPr="00934E3A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10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, PM</w:t>
      </w:r>
      <w:r w:rsidR="007365B6" w:rsidRPr="00934E3A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2.5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, O</w:t>
      </w:r>
      <w:r w:rsidR="007365B6" w:rsidRPr="00934E3A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3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and NO</w:t>
      </w:r>
      <w:r w:rsidR="007365B6" w:rsidRPr="00934E3A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only stations </w:t>
      </w:r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with </w:t>
      </w:r>
      <w:proofErr w:type="gramStart"/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>a data</w:t>
      </w:r>
      <w:proofErr w:type="gramEnd"/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710A29">
        <w:rPr>
          <w:rFonts w:ascii="Times New Roman" w:eastAsia="Times New Roman" w:hAnsi="Times New Roman"/>
          <w:sz w:val="24"/>
          <w:szCs w:val="24"/>
          <w:lang w:val="en" w:eastAsia="en-GB"/>
        </w:rPr>
        <w:t>coverage</w:t>
      </w:r>
      <w:r w:rsidR="00710A29"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>of at least 75 % per calendar year are used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>hat is, in the case of daily values, having more than 274 valid daily values per calendar year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</w:t>
      </w:r>
      <w:r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>or 275 days if leap year).</w:t>
      </w:r>
      <w:r w:rsidRPr="00E74E95">
        <w:t xml:space="preserve"> </w:t>
      </w:r>
      <w:r w:rsidRPr="00934E3A">
        <w:rPr>
          <w:rFonts w:ascii="Times New Roman" w:hAnsi="Times New Roman"/>
          <w:sz w:val="24"/>
          <w:szCs w:val="24"/>
        </w:rPr>
        <w:t xml:space="preserve">And </w:t>
      </w:r>
      <w:r w:rsidRPr="00710A29">
        <w:rPr>
          <w:rFonts w:ascii="Times New Roman" w:eastAsia="Times New Roman" w:hAnsi="Times New Roman"/>
          <w:sz w:val="24"/>
          <w:szCs w:val="24"/>
          <w:lang w:val="en" w:eastAsia="en-GB"/>
        </w:rPr>
        <w:t>in the case</w:t>
      </w:r>
      <w:r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of hourly values, having more than 6576 valid hourly values per calendar year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</w:t>
      </w:r>
      <w:r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>or 6594 hours if leap year).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For </w:t>
      </w:r>
      <w:proofErr w:type="spellStart"/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BaP</w:t>
      </w:r>
      <w:proofErr w:type="spellEnd"/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the min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>i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mum data coverage accepted is 14 %.</w:t>
      </w:r>
    </w:p>
    <w:p w:rsidR="006D05F1" w:rsidRPr="003B7F45" w:rsidRDefault="006D05F1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each city </w:t>
      </w:r>
      <w:proofErr w:type="spellStart"/>
      <w:r w:rsidRPr="006D05F1">
        <w:rPr>
          <w:rFonts w:ascii="Times New Roman" w:eastAsia="Times New Roman" w:hAnsi="Times New Roman"/>
          <w:i/>
          <w:sz w:val="24"/>
          <w:szCs w:val="24"/>
          <w:lang w:val="en" w:eastAsia="en-GB"/>
        </w:rPr>
        <w:t>i</w:t>
      </w:r>
      <w:proofErr w:type="spellEnd"/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in </w:t>
      </w:r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>country</w:t>
      </w:r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934E3A">
        <w:rPr>
          <w:rFonts w:ascii="Times New Roman" w:eastAsia="Times New Roman" w:hAnsi="Times New Roman"/>
          <w:i/>
          <w:sz w:val="24"/>
          <w:szCs w:val="24"/>
          <w:lang w:val="en" w:eastAsia="en-GB"/>
        </w:rPr>
        <w:t>j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and every pollutant,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the total number of traffic stations (</w:t>
      </w:r>
      <w:r w:rsidRPr="006D05F1">
        <w:rPr>
          <w:rFonts w:ascii="Times New Roman" w:eastAsia="Times New Roman" w:hAnsi="Times New Roman"/>
          <w:i/>
          <w:sz w:val="24"/>
          <w:szCs w:val="24"/>
          <w:lang w:val="en" w:eastAsia="en-GB"/>
        </w:rPr>
        <w:t>n</w:t>
      </w:r>
      <w:r w:rsidRPr="006D05F1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) and the total number of background stations (</w:t>
      </w:r>
      <w:r w:rsidRPr="006D05F1">
        <w:rPr>
          <w:rFonts w:ascii="Times New Roman" w:eastAsia="Times New Roman" w:hAnsi="Times New Roman"/>
          <w:i/>
          <w:sz w:val="24"/>
          <w:szCs w:val="24"/>
          <w:lang w:val="en" w:eastAsia="en-GB"/>
        </w:rPr>
        <w:t>n</w:t>
      </w:r>
      <w:r w:rsidRPr="006D05F1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ib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  <w:szCs w:val="24"/>
          <w:lang w:val="en" w:eastAsia="en-GB"/>
        </w:rPr>
        <w:t>is</w:t>
      </w:r>
      <w:proofErr w:type="gram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obtained. </w:t>
      </w:r>
      <w:proofErr w:type="spellStart"/>
      <w:r w:rsidR="00934E3A" w:rsidRPr="003E0D6C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</w:t>
      </w:r>
      <w:r w:rsidR="00934E3A" w:rsidRPr="003E0D6C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tj</w:t>
      </w:r>
      <w:proofErr w:type="spellEnd"/>
      <w:r w:rsidR="00934E3A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% of the total population (</w:t>
      </w:r>
      <w:proofErr w:type="spellStart"/>
      <w:r w:rsidRPr="006D05F1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Pop</w:t>
      </w:r>
      <w:r w:rsidRPr="006D05F1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) is proportionally assigned to each of the traffic stations and </w:t>
      </w:r>
      <w:proofErr w:type="spellStart"/>
      <w:r w:rsidR="003E0D6C" w:rsidRPr="003E0D6C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</w:t>
      </w:r>
      <w:r w:rsidR="003E0D6C" w:rsidRPr="003E0D6C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b</w:t>
      </w:r>
      <w:r w:rsidR="003E0D6C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j</w:t>
      </w:r>
      <w:proofErr w:type="spellEnd"/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% of </w:t>
      </w:r>
      <w:proofErr w:type="spellStart"/>
      <w:r w:rsidRPr="003B7F45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Pop</w:t>
      </w:r>
      <w:r w:rsidRPr="003B7F45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is </w:t>
      </w:r>
      <w:r w:rsidRPr="006D05F1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proportionally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each of the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en-GB"/>
        </w:rPr>
        <w:t>bakground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stations. So, every traffic station has an allocated population equal to </w:t>
      </w:r>
      <w:r w:rsidR="003B7F45">
        <w:rPr>
          <w:rFonts w:ascii="Times New Roman" w:eastAsia="Times New Roman" w:hAnsi="Times New Roman"/>
          <w:sz w:val="24"/>
          <w:szCs w:val="24"/>
          <w:lang w:val="en" w:eastAsia="en-GB"/>
        </w:rPr>
        <w:t>(</w:t>
      </w:r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>(</w:t>
      </w:r>
      <w:proofErr w:type="spellStart"/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>P</w:t>
      </w:r>
      <w:r w:rsidR="003E0D6C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tj</w:t>
      </w:r>
      <w:proofErr w:type="spellEnd"/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/ 100) *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proofErr w:type="spellStart"/>
      <w:r w:rsidRPr="003B7F45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Pop</w:t>
      </w:r>
      <w:r w:rsidRPr="003B7F45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/ </w:t>
      </w:r>
      <w:r w:rsidRPr="003B7F45">
        <w:rPr>
          <w:rFonts w:ascii="Times New Roman" w:eastAsia="Times New Roman" w:hAnsi="Times New Roman"/>
          <w:i/>
          <w:sz w:val="24"/>
          <w:szCs w:val="24"/>
          <w:lang w:val="en" w:eastAsia="en-GB"/>
        </w:rPr>
        <w:t>n</w:t>
      </w:r>
      <w:r w:rsidRPr="003B7F45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it</w:t>
      </w:r>
      <w:r w:rsidR="003B7F4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and every </w:t>
      </w:r>
      <w:r w:rsidR="00710A29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urban or suburban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background station has an allocated population equal to </w:t>
      </w:r>
      <w:r w:rsidR="003B7F45">
        <w:rPr>
          <w:rFonts w:ascii="Times New Roman" w:eastAsia="Times New Roman" w:hAnsi="Times New Roman"/>
          <w:sz w:val="24"/>
          <w:szCs w:val="24"/>
          <w:lang w:val="en" w:eastAsia="en-GB"/>
        </w:rPr>
        <w:t>(</w:t>
      </w:r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>(</w:t>
      </w:r>
      <w:proofErr w:type="spellStart"/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>P</w:t>
      </w:r>
      <w:r w:rsidR="003E0D6C">
        <w:rPr>
          <w:rFonts w:ascii="Times New Roman" w:eastAsia="Times New Roman" w:hAnsi="Times New Roman"/>
          <w:sz w:val="24"/>
          <w:szCs w:val="24"/>
          <w:vertAlign w:val="subscript"/>
          <w:lang w:val="en" w:eastAsia="en-GB"/>
        </w:rPr>
        <w:t>bj</w:t>
      </w:r>
      <w:proofErr w:type="spellEnd"/>
      <w:r w:rsidR="003E0D6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/100) *</w:t>
      </w:r>
      <w:proofErr w:type="spellStart"/>
      <w:r w:rsidRPr="003B7F45">
        <w:rPr>
          <w:rFonts w:ascii="Times New Roman" w:eastAsia="Times New Roman" w:hAnsi="Times New Roman"/>
          <w:i/>
          <w:sz w:val="24"/>
          <w:szCs w:val="24"/>
          <w:lang w:val="en" w:eastAsia="en-GB"/>
        </w:rPr>
        <w:t>Pop</w:t>
      </w:r>
      <w:r w:rsidRPr="003B7F45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/ </w:t>
      </w:r>
      <w:r w:rsidRPr="003B7F45">
        <w:rPr>
          <w:rFonts w:ascii="Times New Roman" w:eastAsia="Times New Roman" w:hAnsi="Times New Roman"/>
          <w:i/>
          <w:sz w:val="24"/>
          <w:szCs w:val="24"/>
          <w:lang w:val="en" w:eastAsia="en-GB"/>
        </w:rPr>
        <w:t>n</w:t>
      </w:r>
      <w:r w:rsidRPr="003B7F45">
        <w:rPr>
          <w:rFonts w:ascii="Times New Roman" w:eastAsia="Times New Roman" w:hAnsi="Times New Roman"/>
          <w:i/>
          <w:sz w:val="24"/>
          <w:szCs w:val="24"/>
          <w:vertAlign w:val="subscript"/>
          <w:lang w:val="en" w:eastAsia="en-GB"/>
        </w:rPr>
        <w:t>ib</w:t>
      </w:r>
      <w:r w:rsidR="003B7F45">
        <w:rPr>
          <w:rFonts w:ascii="Times New Roman" w:eastAsia="Times New Roman" w:hAnsi="Times New Roman"/>
          <w:sz w:val="24"/>
          <w:szCs w:val="24"/>
          <w:lang w:val="en" w:eastAsia="en-GB"/>
        </w:rPr>
        <w:t>)</w:t>
      </w:r>
      <w:r w:rsidR="00710A29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Based on the selection of </w:t>
      </w:r>
      <w:proofErr w:type="spellStart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AirBase</w:t>
      </w:r>
      <w:proofErr w:type="spellEnd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stations air quality statistics are extracted from the database via Structured Query Language (SQL) server queries in order to update the pollutant specific indicators specified below.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The geo-political domain for calculating this indicator can be that of EEA member countries, EU Member States or individual states.</w:t>
      </w:r>
    </w:p>
    <w:p w:rsidR="00853454" w:rsidRPr="00853454" w:rsidRDefault="00853454" w:rsidP="00853454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Particulate matter (PM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" w:eastAsia="en-GB"/>
        </w:rPr>
        <w:t>10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)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each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selected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station </w:t>
      </w:r>
      <w:r w:rsidR="00A23683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that fulfil</w:t>
      </w:r>
      <w:r w:rsidR="000A2B88">
        <w:rPr>
          <w:rFonts w:ascii="Times New Roman" w:eastAsia="Times New Roman" w:hAnsi="Times New Roman"/>
          <w:sz w:val="24"/>
          <w:szCs w:val="24"/>
          <w:lang w:val="en" w:eastAsia="en-GB"/>
        </w:rPr>
        <w:t>s</w:t>
      </w:r>
      <w:r w:rsidR="00A23683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the data coverage criteria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0A2B8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percentile 90.4 (P90.4)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of the </w:t>
      </w:r>
      <w:r w:rsidR="00B071ED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daily mean concentration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series </w:t>
      </w:r>
      <w:r w:rsidR="000A2B88">
        <w:rPr>
          <w:rFonts w:ascii="Times New Roman" w:eastAsia="Times New Roman" w:hAnsi="Times New Roman"/>
          <w:sz w:val="24"/>
          <w:szCs w:val="24"/>
          <w:lang w:val="en" w:eastAsia="en-GB"/>
        </w:rPr>
        <w:t>will be calculated</w:t>
      </w:r>
      <w:r w:rsidR="00B071ED" w:rsidRP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B071ED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from the hourly values (if available) or daily values</w:t>
      </w:r>
      <w:r w:rsidR="000A2B8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.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When P90.4 is </w:t>
      </w:r>
      <w:r w:rsidR="006006B9">
        <w:rPr>
          <w:rFonts w:ascii="Times New Roman" w:eastAsia="Times New Roman" w:hAnsi="Times New Roman"/>
          <w:sz w:val="24"/>
          <w:szCs w:val="24"/>
          <w:lang w:val="en" w:eastAsia="en-GB"/>
        </w:rPr>
        <w:t>below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6006B9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or equal to </w:t>
      </w:r>
      <w:r w:rsidR="00B071ED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50 microgram/m</w:t>
      </w:r>
      <w:r w:rsidR="00B071ED" w:rsidRPr="00853454">
        <w:rPr>
          <w:rFonts w:ascii="Times New Roman" w:eastAsia="Times New Roman" w:hAnsi="Times New Roman"/>
          <w:sz w:val="24"/>
          <w:szCs w:val="24"/>
          <w:vertAlign w:val="superscript"/>
          <w:lang w:val="en" w:eastAsia="en-GB"/>
        </w:rPr>
        <w:t>3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it indicates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that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daily limit value (DLV) would have </w:t>
      </w:r>
      <w:r w:rsidR="006006B9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not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been exceeded more than 35 days. </w:t>
      </w:r>
    </w:p>
    <w:p w:rsidR="00A23683" w:rsidRDefault="00A23683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Depending on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>the value of P90.4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each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(and its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allocated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population) is then classified uniquely in one of the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>two exceedance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classes (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P90.4 &gt;50 </w:t>
      </w:r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meaning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>above the DLV and P90.4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≤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50 </w:t>
      </w:r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meaning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>below the DLV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).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percentage of urban population allocated to </w:t>
      </w:r>
      <w:r w:rsidR="00B071ED">
        <w:rPr>
          <w:rFonts w:ascii="Times New Roman" w:eastAsia="Times New Roman" w:hAnsi="Times New Roman"/>
          <w:sz w:val="24"/>
          <w:szCs w:val="24"/>
          <w:lang w:val="en" w:eastAsia="en-GB"/>
        </w:rPr>
        <w:t>both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exceedance classes is calculated by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dividing</w:t>
      </w:r>
      <w:r w:rsidR="0073392C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population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corresponding to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stations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assigned to each individual exceedance class </w:t>
      </w:r>
      <w:r w:rsidR="0073392C">
        <w:rPr>
          <w:rFonts w:ascii="Times New Roman" w:eastAsia="Times New Roman" w:hAnsi="Times New Roman"/>
          <w:sz w:val="24"/>
          <w:szCs w:val="24"/>
          <w:lang w:val="en" w:eastAsia="en-GB"/>
        </w:rPr>
        <w:t>by</w:t>
      </w:r>
      <w:r w:rsidR="0073392C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sum of the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e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>a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ch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8748AD" w:rsidRDefault="008748AD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br w:type="page"/>
      </w:r>
    </w:p>
    <w:p w:rsidR="00853454" w:rsidRPr="00853454" w:rsidRDefault="00853454" w:rsidP="00853454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lastRenderedPageBreak/>
        <w:t>Nitrogen dioxide (NO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" w:eastAsia="en-GB"/>
        </w:rPr>
        <w:t>2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)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annual mean concentration is calculated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each of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selected </w:t>
      </w:r>
      <w:proofErr w:type="gramStart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stations  </w:t>
      </w:r>
      <w:r w:rsidR="00CA2730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that</w:t>
      </w:r>
      <w:proofErr w:type="gramEnd"/>
      <w:r w:rsidR="00CA2730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fulfil the data coverage criteria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Depending on the </w:t>
      </w:r>
      <w:r w:rsidR="00CA2730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annual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mean concentration, each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(and its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allocated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population) is then classified uniquely in one of the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2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classes of concentration (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below </w:t>
      </w:r>
      <w:r w:rsidR="00CA2730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or equal to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limit value (LV, </w:t>
      </w:r>
      <w:r w:rsidR="00A23683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40 microgram/m</w:t>
      </w:r>
      <w:r w:rsidR="00A23683" w:rsidRPr="00853454">
        <w:rPr>
          <w:rFonts w:ascii="Times New Roman" w:eastAsia="Times New Roman" w:hAnsi="Times New Roman"/>
          <w:sz w:val="24"/>
          <w:szCs w:val="24"/>
          <w:vertAlign w:val="superscript"/>
          <w:lang w:val="en" w:eastAsia="en-GB"/>
        </w:rPr>
        <w:t>3</w:t>
      </w:r>
      <w:r w:rsidR="00A23683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)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,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or above the LV)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percentage of urban population allocated to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these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wo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concentration classes is calculated by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dividing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population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>corresponding to</w:t>
      </w:r>
      <w:r w:rsidR="001F4C78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stations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assigned to each concentration class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by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sum of the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 </w:t>
      </w:r>
      <w:r w:rsidR="0027365E" w:rsidRP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each</w:t>
      </w:r>
      <w:r w:rsidR="0027365E" w:rsidRP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853454" w:rsidRPr="00853454" w:rsidRDefault="00853454" w:rsidP="00853454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Ozone (O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" w:eastAsia="en-GB"/>
        </w:rPr>
        <w:t>3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)</w:t>
      </w:r>
    </w:p>
    <w:p w:rsidR="00A23683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each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selected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fulfilling the data coverage criteria, the percentile 93.2 of the </w:t>
      </w:r>
      <w:r w:rsidR="00E74E95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daily maximum 8-hourly mean concentration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series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is calculated from the hourly values. 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>When P9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3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2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is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below or equal to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120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microgram/m</w:t>
      </w:r>
      <w:r w:rsidR="00E74E95" w:rsidRPr="00E74E95">
        <w:rPr>
          <w:rFonts w:ascii="Times New Roman" w:eastAsia="Times New Roman" w:hAnsi="Times New Roman"/>
          <w:sz w:val="24"/>
          <w:szCs w:val="24"/>
          <w:vertAlign w:val="superscript"/>
          <w:lang w:val="en" w:eastAsia="en-GB"/>
        </w:rPr>
        <w:t>3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it indicates </w:t>
      </w:r>
      <w:r w:rsidR="00F5293F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that 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target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value (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V) would have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not 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been exceeded more than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2</w:t>
      </w:r>
      <w:r w:rsidR="00E74E95" w:rsidRPr="00E74E95">
        <w:rPr>
          <w:rFonts w:ascii="Times New Roman" w:eastAsia="Times New Roman" w:hAnsi="Times New Roman"/>
          <w:sz w:val="24"/>
          <w:szCs w:val="24"/>
          <w:lang w:val="en" w:eastAsia="en-GB"/>
        </w:rPr>
        <w:t>5 days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A23683" w:rsidRPr="00853454" w:rsidRDefault="00A23683" w:rsidP="00A2368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Depending on the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>value of P93.2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, each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(and its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allocated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population) is then classified uniquely in one of the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>two</w:t>
      </w:r>
      <w:r w:rsidR="0027365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exceedance </w:t>
      </w:r>
      <w:r w:rsidR="0027365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classes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(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P93.2&gt;120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meaning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above the TV and P93.2≤120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meaning </w:t>
      </w:r>
      <w:r w:rsidR="00E74E95">
        <w:rPr>
          <w:rFonts w:ascii="Times New Roman" w:eastAsia="Times New Roman" w:hAnsi="Times New Roman"/>
          <w:sz w:val="24"/>
          <w:szCs w:val="24"/>
          <w:lang w:val="en" w:eastAsia="en-GB"/>
        </w:rPr>
        <w:t>below the TV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).</w:t>
      </w:r>
    </w:p>
    <w:p w:rsidR="00853454" w:rsidRPr="00853454" w:rsidRDefault="00853454" w:rsidP="0085345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percentage of urban population allocated to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the two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exceedance classes is calculated by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dividing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population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corresponding to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A23683">
        <w:rPr>
          <w:rFonts w:ascii="Times New Roman" w:eastAsia="Times New Roman" w:hAnsi="Times New Roman"/>
          <w:sz w:val="24"/>
          <w:szCs w:val="24"/>
          <w:lang w:val="en" w:eastAsia="en-GB"/>
        </w:rPr>
        <w:t>stations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assigned to each individual exceedance class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by</w:t>
      </w:r>
      <w:r w:rsidR="00DB405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sum of 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population</w:t>
      </w:r>
      <w:r w:rsidR="0027365E" w:rsidRP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</w:t>
      </w:r>
      <w:r w:rsidR="00DB4056">
        <w:rPr>
          <w:rFonts w:ascii="Times New Roman" w:eastAsia="Times New Roman" w:hAnsi="Times New Roman"/>
          <w:sz w:val="24"/>
          <w:szCs w:val="24"/>
          <w:lang w:val="en" w:eastAsia="en-GB"/>
        </w:rPr>
        <w:t>each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A23683" w:rsidRPr="00853454" w:rsidRDefault="00A23683" w:rsidP="00A23683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Particulate matter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PM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" w:eastAsia="en-GB"/>
        </w:rPr>
        <w:t>2</w:t>
      </w:r>
      <w:r w:rsidR="00CD7116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" w:eastAsia="en-GB"/>
        </w:rPr>
        <w:t>.5</w:t>
      </w:r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)</w:t>
      </w:r>
    </w:p>
    <w:p w:rsidR="00A23683" w:rsidRPr="00853454" w:rsidRDefault="00A23683" w:rsidP="00A2368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annual mean concentration is calculated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each of</w:t>
      </w:r>
      <w:r w:rsidR="007365B6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selected stations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fulfilling the data coverage criteria.</w:t>
      </w:r>
    </w:p>
    <w:p w:rsidR="00A23683" w:rsidRPr="00853454" w:rsidRDefault="00A23683" w:rsidP="00A2368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Depending on the mean concentration, each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(and its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allocated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population) is then classified uniquely in one of the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2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classes of concentration (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below</w:t>
      </w:r>
      <w:r w:rsidR="00F5293F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or equal to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the </w:t>
      </w:r>
      <w:r w:rsidR="00CD7116">
        <w:rPr>
          <w:rFonts w:ascii="Times New Roman" w:eastAsia="Times New Roman" w:hAnsi="Times New Roman"/>
          <w:sz w:val="24"/>
          <w:szCs w:val="24"/>
          <w:lang w:val="en" w:eastAsia="en-GB"/>
        </w:rPr>
        <w:t>target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value (</w:t>
      </w:r>
      <w:r w:rsidR="00CD7116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V,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25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microgram/m</w:t>
      </w:r>
      <w:r w:rsidRPr="00853454">
        <w:rPr>
          <w:rFonts w:ascii="Times New Roman" w:eastAsia="Times New Roman" w:hAnsi="Times New Roman"/>
          <w:sz w:val="24"/>
          <w:szCs w:val="24"/>
          <w:vertAlign w:val="superscript"/>
          <w:lang w:val="en" w:eastAsia="en-GB"/>
        </w:rPr>
        <w:t>3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),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or above the </w:t>
      </w:r>
      <w:r w:rsidR="00CD7116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V)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DD603C" w:rsidRDefault="00A23683" w:rsidP="00F5293F">
      <w:pPr>
        <w:spacing w:before="100" w:beforeAutospacing="1" w:after="100" w:afterAutospacing="1"/>
        <w:rPr>
          <w:lang w:val="en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percentage of urban population allocated to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these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wo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concentration classes is calculated by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dividing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population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corresponding to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assigned to each concentration class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by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sum of the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each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E74E95" w:rsidRPr="00853454" w:rsidRDefault="00E74E95" w:rsidP="00E74E95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Benzo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(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a)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pyrene</w:t>
      </w:r>
      <w:proofErr w:type="spellEnd"/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BaP</w:t>
      </w:r>
      <w:proofErr w:type="spellEnd"/>
      <w:r w:rsidRPr="00853454">
        <w:rPr>
          <w:rFonts w:ascii="Times New Roman" w:eastAsia="Times New Roman" w:hAnsi="Times New Roman"/>
          <w:b/>
          <w:bCs/>
          <w:sz w:val="24"/>
          <w:szCs w:val="24"/>
          <w:lang w:val="en" w:eastAsia="en-GB"/>
        </w:rPr>
        <w:t>)</w:t>
      </w:r>
    </w:p>
    <w:p w:rsidR="00E74E95" w:rsidRPr="00853454" w:rsidRDefault="00E74E95" w:rsidP="00E74E9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annual mean concentration is calculated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for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each of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selected stations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fulfilling the data coverage criteria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. </w:t>
      </w:r>
    </w:p>
    <w:p w:rsidR="00E74E95" w:rsidRPr="00853454" w:rsidRDefault="00E74E95" w:rsidP="00E74E9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Depending on the mean concentration, each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(and its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allocated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population) is then classified uniquely in one of the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2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classes of concentration (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below 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or equal to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the target value (TV, 1</w:t>
      </w:r>
      <w:r w:rsidR="007365B6">
        <w:rPr>
          <w:rFonts w:ascii="Times New Roman" w:eastAsia="Times New Roman" w:hAnsi="Times New Roman"/>
          <w:sz w:val="24"/>
          <w:szCs w:val="24"/>
          <w:lang w:val="en" w:eastAsia="en-GB"/>
        </w:rPr>
        <w:t>.0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" w:eastAsia="en-GB"/>
        </w:rPr>
        <w:t>nan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ogram</w:t>
      </w:r>
      <w:proofErr w:type="spellEnd"/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/m</w:t>
      </w:r>
      <w:r w:rsidRPr="00853454">
        <w:rPr>
          <w:rFonts w:ascii="Times New Roman" w:eastAsia="Times New Roman" w:hAnsi="Times New Roman"/>
          <w:sz w:val="24"/>
          <w:szCs w:val="24"/>
          <w:vertAlign w:val="superscript"/>
          <w:lang w:val="en" w:eastAsia="en-GB"/>
        </w:rPr>
        <w:t>3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),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or above the TV)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E74E95" w:rsidRPr="00853454" w:rsidRDefault="00E74E95" w:rsidP="00E74E9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" w:eastAsia="en-GB"/>
        </w:rPr>
      </w:pP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lastRenderedPageBreak/>
        <w:t xml:space="preserve">The percentage of urban population allocated to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these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t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wo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concentration classes is calculated by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dividing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population </w:t>
      </w:r>
      <w:r w:rsidR="001F4C78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corresponding to </w:t>
      </w:r>
      <w:r w:rsidR="00B16D44">
        <w:rPr>
          <w:rFonts w:ascii="Times New Roman" w:eastAsia="Times New Roman" w:hAnsi="Times New Roman"/>
          <w:sz w:val="24"/>
          <w:szCs w:val="24"/>
          <w:lang w:val="en" w:eastAsia="en-GB"/>
        </w:rPr>
        <w:t>the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en-GB"/>
        </w:rPr>
        <w:t>stations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assigned to each concentration class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by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the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sum of the</w:t>
      </w:r>
      <w:r w:rsidR="00B02A0E"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population 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assigned to </w:t>
      </w:r>
      <w:r w:rsidR="00B02A0E">
        <w:rPr>
          <w:rFonts w:ascii="Times New Roman" w:eastAsia="Times New Roman" w:hAnsi="Times New Roman"/>
          <w:sz w:val="24"/>
          <w:szCs w:val="24"/>
          <w:lang w:val="en" w:eastAsia="en-GB"/>
        </w:rPr>
        <w:t>each</w:t>
      </w:r>
      <w:r w:rsidR="0027365E">
        <w:rPr>
          <w:rFonts w:ascii="Times New Roman" w:eastAsia="Times New Roman" w:hAnsi="Times New Roman"/>
          <w:sz w:val="24"/>
          <w:szCs w:val="24"/>
          <w:lang w:val="en" w:eastAsia="en-GB"/>
        </w:rPr>
        <w:t xml:space="preserve"> station</w:t>
      </w:r>
      <w:r w:rsidRPr="00853454">
        <w:rPr>
          <w:rFonts w:ascii="Times New Roman" w:eastAsia="Times New Roman" w:hAnsi="Times New Roman"/>
          <w:sz w:val="24"/>
          <w:szCs w:val="24"/>
          <w:lang w:val="en" w:eastAsia="en-GB"/>
        </w:rPr>
        <w:t>.</w:t>
      </w:r>
    </w:p>
    <w:p w:rsidR="00E74E95" w:rsidRPr="00853454" w:rsidRDefault="00E74E95">
      <w:pPr>
        <w:rPr>
          <w:lang w:val="en"/>
        </w:rPr>
      </w:pPr>
    </w:p>
    <w:sectPr w:rsidR="00E74E95" w:rsidRPr="0085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9F2"/>
    <w:multiLevelType w:val="hybridMultilevel"/>
    <w:tmpl w:val="8DD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67E8"/>
    <w:multiLevelType w:val="hybridMultilevel"/>
    <w:tmpl w:val="1E7E4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B3074"/>
    <w:multiLevelType w:val="hybridMultilevel"/>
    <w:tmpl w:val="13DC4A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BA3613"/>
    <w:multiLevelType w:val="hybridMultilevel"/>
    <w:tmpl w:val="1EA4C5AA"/>
    <w:lvl w:ilvl="0" w:tplc="84E6153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A87FE6"/>
    <w:multiLevelType w:val="hybridMultilevel"/>
    <w:tmpl w:val="A49A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4"/>
    <w:rsid w:val="000145C5"/>
    <w:rsid w:val="000A2B88"/>
    <w:rsid w:val="00111ED2"/>
    <w:rsid w:val="001F0471"/>
    <w:rsid w:val="001F4C78"/>
    <w:rsid w:val="0027365E"/>
    <w:rsid w:val="002A5A13"/>
    <w:rsid w:val="00307126"/>
    <w:rsid w:val="003A5E4B"/>
    <w:rsid w:val="003B7F45"/>
    <w:rsid w:val="003E0D6C"/>
    <w:rsid w:val="00404272"/>
    <w:rsid w:val="004C233C"/>
    <w:rsid w:val="00520CEC"/>
    <w:rsid w:val="00570B34"/>
    <w:rsid w:val="006006B9"/>
    <w:rsid w:val="006D05F1"/>
    <w:rsid w:val="00701326"/>
    <w:rsid w:val="00710A29"/>
    <w:rsid w:val="0073392C"/>
    <w:rsid w:val="007365B6"/>
    <w:rsid w:val="007D2F33"/>
    <w:rsid w:val="00853454"/>
    <w:rsid w:val="008748AD"/>
    <w:rsid w:val="008C1869"/>
    <w:rsid w:val="00912765"/>
    <w:rsid w:val="00934E3A"/>
    <w:rsid w:val="00A23683"/>
    <w:rsid w:val="00B02A0E"/>
    <w:rsid w:val="00B071ED"/>
    <w:rsid w:val="00B16D44"/>
    <w:rsid w:val="00BD134C"/>
    <w:rsid w:val="00BE4663"/>
    <w:rsid w:val="00CA01E0"/>
    <w:rsid w:val="00CA2730"/>
    <w:rsid w:val="00CD7116"/>
    <w:rsid w:val="00D13423"/>
    <w:rsid w:val="00D950A4"/>
    <w:rsid w:val="00DB4056"/>
    <w:rsid w:val="00DD603C"/>
    <w:rsid w:val="00E517A2"/>
    <w:rsid w:val="00E74E95"/>
    <w:rsid w:val="00F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0A4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avaden"/>
    <w:link w:val="Naslov2Znak"/>
    <w:uiPriority w:val="9"/>
    <w:qFormat/>
    <w:rsid w:val="008534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Naslov3">
    <w:name w:val="heading 3"/>
    <w:basedOn w:val="Navaden"/>
    <w:link w:val="Naslov3Znak"/>
    <w:uiPriority w:val="9"/>
    <w:qFormat/>
    <w:rsid w:val="0085345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aslov4">
    <w:name w:val="heading 4"/>
    <w:basedOn w:val="Navaden"/>
    <w:link w:val="Naslov4Znak"/>
    <w:uiPriority w:val="9"/>
    <w:qFormat/>
    <w:rsid w:val="0085345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950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50A4"/>
    <w:pPr>
      <w:ind w:left="7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520CEC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534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slov3Znak">
    <w:name w:val="Naslov 3 Znak"/>
    <w:basedOn w:val="Privzetapisavaodstavka"/>
    <w:link w:val="Naslov3"/>
    <w:uiPriority w:val="9"/>
    <w:rsid w:val="008534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slov4Znak">
    <w:name w:val="Naslov 4 Znak"/>
    <w:basedOn w:val="Privzetapisavaodstavka"/>
    <w:link w:val="Naslov4"/>
    <w:uiPriority w:val="9"/>
    <w:rsid w:val="0085345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8534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0A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0A2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710A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0A2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0A29"/>
    <w:rPr>
      <w:rFonts w:ascii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0A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0A29"/>
    <w:rPr>
      <w:rFonts w:ascii="Calibri" w:hAnsi="Calibri" w:cs="Times New Roman"/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3E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0A4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avaden"/>
    <w:link w:val="Naslov2Znak"/>
    <w:uiPriority w:val="9"/>
    <w:qFormat/>
    <w:rsid w:val="008534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Naslov3">
    <w:name w:val="heading 3"/>
    <w:basedOn w:val="Navaden"/>
    <w:link w:val="Naslov3Znak"/>
    <w:uiPriority w:val="9"/>
    <w:qFormat/>
    <w:rsid w:val="0085345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aslov4">
    <w:name w:val="heading 4"/>
    <w:basedOn w:val="Navaden"/>
    <w:link w:val="Naslov4Znak"/>
    <w:uiPriority w:val="9"/>
    <w:qFormat/>
    <w:rsid w:val="0085345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950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50A4"/>
    <w:pPr>
      <w:ind w:left="7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520CEC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534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slov3Znak">
    <w:name w:val="Naslov 3 Znak"/>
    <w:basedOn w:val="Privzetapisavaodstavka"/>
    <w:link w:val="Naslov3"/>
    <w:uiPriority w:val="9"/>
    <w:rsid w:val="008534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aslov4Znak">
    <w:name w:val="Naslov 4 Znak"/>
    <w:basedOn w:val="Privzetapisavaodstavka"/>
    <w:link w:val="Naslov4"/>
    <w:uiPriority w:val="9"/>
    <w:rsid w:val="0085345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8534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0A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0A2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710A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0A2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0A29"/>
    <w:rPr>
      <w:rFonts w:ascii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0A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0A29"/>
    <w:rPr>
      <w:rFonts w:ascii="Calibri" w:hAnsi="Calibri" w:cs="Times New Roman"/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3E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Environment Agency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González</dc:creator>
  <cp:lastModifiedBy>Nataša Kovač</cp:lastModifiedBy>
  <cp:revision>2</cp:revision>
  <cp:lastPrinted>2014-05-22T09:43:00Z</cp:lastPrinted>
  <dcterms:created xsi:type="dcterms:W3CDTF">2014-10-10T11:51:00Z</dcterms:created>
  <dcterms:modified xsi:type="dcterms:W3CDTF">2014-10-10T11:51:00Z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41806084</vt:i4>
  </property>
  <property fmtid="{D5CDD505-2E9C-101B-9397-08002B2CF9AE}" pid="3" name="_NewReviewCycle">
    <vt:lpwstr/>
  </property>
  <property fmtid="{D5CDD505-2E9C-101B-9397-08002B2CF9AE}" pid="4" name="_EmailSubject">
    <vt:lpwstr>Changes to EEA indicator on urban air quality exposure - comments welcome</vt:lpwstr>
  </property>
  <property fmtid="{D5CDD505-2E9C-101B-9397-08002B2CF9AE}" pid="5" name="_AuthorEmail">
    <vt:lpwstr>Martin.Adams@eea.europa.eu</vt:lpwstr>
  </property>
  <property fmtid="{D5CDD505-2E9C-101B-9397-08002B2CF9AE}" pid="6" name="_AuthorEmailDisplayName">
    <vt:lpwstr>Martin Adams</vt:lpwstr>
  </property>
  <property fmtid="{D5CDD505-2E9C-101B-9397-08002B2CF9AE}" pid="7" name="_PreviousAdHocReviewCycleID">
    <vt:i4>1759568663</vt:i4>
  </property>
  <property fmtid="{D5CDD505-2E9C-101B-9397-08002B2CF9AE}" pid="8" name="_ReviewingToolsShownOnce">
    <vt:lpwstr/>
  </property>
</Properties>
</file>