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42F" w:rsidRPr="00F1142F" w:rsidRDefault="00F1142F" w:rsidP="00F1142F">
      <w:pPr>
        <w:pStyle w:val="Naslov1"/>
        <w:rPr>
          <w:b/>
        </w:rPr>
      </w:pPr>
      <w:r w:rsidRPr="00F1142F">
        <w:rPr>
          <w:b/>
        </w:rPr>
        <w:t>Izvajanje nacionalnega programu varstva okolja za obdobje 2020–2030</w:t>
      </w:r>
      <w:r>
        <w:rPr>
          <w:b/>
        </w:rPr>
        <w:t xml:space="preserve"> in operativnih programov</w:t>
      </w:r>
    </w:p>
    <w:p w:rsidR="008207E6" w:rsidRPr="008207E6" w:rsidRDefault="008207E6" w:rsidP="008207E6">
      <w:pPr>
        <w:pStyle w:val="Naslov1"/>
        <w:rPr>
          <w:b/>
        </w:rPr>
      </w:pPr>
      <w:r w:rsidRPr="00F1142F">
        <w:rPr>
          <w:b/>
        </w:rPr>
        <w:t>Izvajanje nacionalnega programu varstva okolja za obdobje 2020–2030</w:t>
      </w:r>
    </w:p>
    <w:p w:rsidR="00F1075F" w:rsidRDefault="00F73B57" w:rsidP="00F73B57">
      <w:pPr>
        <w:rPr>
          <w:rFonts w:asciiTheme="minorHAnsi" w:hAnsiTheme="minorHAnsi" w:cstheme="minorHAnsi"/>
        </w:rPr>
      </w:pPr>
      <w:r w:rsidRPr="00F73B57">
        <w:rPr>
          <w:rFonts w:asciiTheme="minorHAnsi" w:hAnsiTheme="minorHAnsi" w:cstheme="minorHAnsi"/>
        </w:rPr>
        <w:t>Resolucijo o nacionalnem programu varstva okolja za obdobje 2020–2030 (Uradni list RS, št. </w:t>
      </w:r>
      <w:hyperlink r:id="rId7" w:tgtFrame="_blank" w:tooltip="Resolucija o Nacionalnem programu varstva okolja za obdobje 2020–2030 (ReNPVO20–30)" w:history="1">
        <w:r w:rsidRPr="00F73B57">
          <w:rPr>
            <w:rFonts w:asciiTheme="minorHAnsi" w:hAnsiTheme="minorHAnsi" w:cstheme="minorHAnsi"/>
          </w:rPr>
          <w:t>31/20</w:t>
        </w:r>
      </w:hyperlink>
      <w:r w:rsidRPr="00F73B57">
        <w:rPr>
          <w:rFonts w:asciiTheme="minorHAnsi" w:hAnsiTheme="minorHAnsi" w:cstheme="minorHAnsi"/>
        </w:rPr>
        <w:t>)</w:t>
      </w:r>
      <w:r w:rsidR="00F1142F">
        <w:rPr>
          <w:rFonts w:asciiTheme="minorHAnsi" w:hAnsiTheme="minorHAnsi" w:cstheme="minorHAnsi"/>
        </w:rPr>
        <w:t xml:space="preserve">, </w:t>
      </w:r>
      <w:r w:rsidR="00F1142F" w:rsidRPr="00F73B57">
        <w:rPr>
          <w:rFonts w:asciiTheme="minorHAnsi" w:hAnsiTheme="minorHAnsi" w:cstheme="minorHAnsi"/>
        </w:rPr>
        <w:t>v nadaljnjem besedilu: NPVO 2020–2030</w:t>
      </w:r>
      <w:r w:rsidR="00F1142F">
        <w:rPr>
          <w:rFonts w:asciiTheme="minorHAnsi" w:hAnsiTheme="minorHAnsi" w:cstheme="minorHAnsi"/>
        </w:rPr>
        <w:t>,</w:t>
      </w:r>
      <w:r w:rsidR="00F1142F" w:rsidRPr="00F73B57">
        <w:rPr>
          <w:rFonts w:asciiTheme="minorHAnsi" w:hAnsiTheme="minorHAnsi" w:cstheme="minorHAnsi"/>
        </w:rPr>
        <w:t xml:space="preserve"> </w:t>
      </w:r>
      <w:r w:rsidRPr="00F73B57">
        <w:rPr>
          <w:rFonts w:asciiTheme="minorHAnsi" w:hAnsiTheme="minorHAnsi" w:cstheme="minorHAnsi"/>
        </w:rPr>
        <w:t xml:space="preserve"> je Državni zbor sprejel na seji 5. marca 2020</w:t>
      </w:r>
      <w:r w:rsidR="00F1142F">
        <w:rPr>
          <w:rFonts w:asciiTheme="minorHAnsi" w:hAnsiTheme="minorHAnsi" w:cstheme="minorHAnsi"/>
        </w:rPr>
        <w:t xml:space="preserve">. </w:t>
      </w:r>
    </w:p>
    <w:p w:rsidR="00F73B57" w:rsidRPr="00F73B57" w:rsidRDefault="00F1075F" w:rsidP="00F73B57">
      <w:pPr>
        <w:rPr>
          <w:rFonts w:asciiTheme="minorHAnsi" w:hAnsiTheme="minorHAnsi" w:cstheme="minorHAnsi"/>
        </w:rPr>
      </w:pPr>
      <w:r>
        <w:rPr>
          <w:rFonts w:asciiTheme="minorHAnsi" w:hAnsiTheme="minorHAnsi" w:cstheme="minorHAnsi"/>
        </w:rPr>
        <w:t xml:space="preserve">Za </w:t>
      </w:r>
      <w:r w:rsidRPr="00F73B57">
        <w:rPr>
          <w:rFonts w:asciiTheme="minorHAnsi" w:hAnsiTheme="minorHAnsi" w:cstheme="minorHAnsi"/>
        </w:rPr>
        <w:t xml:space="preserve">doseganja okolijske vizije: </w:t>
      </w:r>
      <w:r>
        <w:rPr>
          <w:rFonts w:asciiTheme="minorHAnsi" w:hAnsiTheme="minorHAnsi" w:cstheme="minorHAnsi"/>
        </w:rPr>
        <w:t>»O</w:t>
      </w:r>
      <w:r w:rsidRPr="00F73B57">
        <w:rPr>
          <w:rFonts w:asciiTheme="minorHAnsi" w:hAnsiTheme="minorHAnsi" w:cstheme="minorHAnsi"/>
        </w:rPr>
        <w:t>hranjena narava in zdravo okolje v Sloveniji in zunaj nje omogočata kakovostno življenje zdajšnjim in prihodnjim generacijam</w:t>
      </w:r>
      <w:r>
        <w:rPr>
          <w:rFonts w:asciiTheme="minorHAnsi" w:hAnsiTheme="minorHAnsi" w:cstheme="minorHAnsi"/>
        </w:rPr>
        <w:t xml:space="preserve">« so </w:t>
      </w:r>
      <w:r w:rsidR="00F73B57" w:rsidRPr="00F73B57">
        <w:rPr>
          <w:rFonts w:asciiTheme="minorHAnsi" w:hAnsiTheme="minorHAnsi" w:cstheme="minorHAnsi"/>
        </w:rPr>
        <w:t xml:space="preserve"> Nacionalnim programom varstva okolja za obdobje 2020–2030 opredeljene usmeritve, cilji, naloge in ukrepi deležnikov varstva okolja.</w:t>
      </w:r>
    </w:p>
    <w:p w:rsidR="00F73B57" w:rsidRPr="00F73B57" w:rsidRDefault="00F73B57" w:rsidP="00F73B57">
      <w:pPr>
        <w:rPr>
          <w:rFonts w:asciiTheme="minorHAnsi" w:hAnsiTheme="minorHAnsi" w:cstheme="minorHAnsi"/>
        </w:rPr>
      </w:pPr>
      <w:r w:rsidRPr="00F73B57">
        <w:rPr>
          <w:rFonts w:asciiTheme="minorHAnsi" w:hAnsiTheme="minorHAnsi" w:cstheme="minorHAnsi"/>
        </w:rPr>
        <w:t>NPVO 2020–2030 je krovni strateški dokument varstva okolja, ohranjanja narave in urejanja voda v Sloveniji</w:t>
      </w:r>
      <w:r w:rsidR="00F1075F">
        <w:rPr>
          <w:rFonts w:asciiTheme="minorHAnsi" w:hAnsiTheme="minorHAnsi" w:cstheme="minorHAnsi"/>
        </w:rPr>
        <w:t xml:space="preserve">, </w:t>
      </w:r>
      <w:r w:rsidRPr="00F73B57">
        <w:rPr>
          <w:rFonts w:asciiTheme="minorHAnsi" w:hAnsiTheme="minorHAnsi" w:cstheme="minorHAnsi"/>
        </w:rPr>
        <w:t>ki skupaj z ostalimi programi in dokument s področja varstva okolja</w:t>
      </w:r>
      <w:r w:rsidR="00F1075F">
        <w:rPr>
          <w:rFonts w:asciiTheme="minorHAnsi" w:hAnsiTheme="minorHAnsi" w:cstheme="minorHAnsi"/>
        </w:rPr>
        <w:t>,</w:t>
      </w:r>
      <w:r w:rsidRPr="00F73B57">
        <w:rPr>
          <w:rFonts w:asciiTheme="minorHAnsi" w:hAnsiTheme="minorHAnsi" w:cstheme="minorHAnsi"/>
        </w:rPr>
        <w:t xml:space="preserve"> npr. operativnimi program ravnanja z odpadki, </w:t>
      </w:r>
      <w:r w:rsidR="00F1075F">
        <w:rPr>
          <w:rFonts w:asciiTheme="minorHAnsi" w:hAnsiTheme="minorHAnsi" w:cstheme="minorHAnsi"/>
        </w:rPr>
        <w:t>p</w:t>
      </w:r>
      <w:r w:rsidRPr="00F73B57">
        <w:rPr>
          <w:rFonts w:asciiTheme="minorHAnsi" w:hAnsiTheme="minorHAnsi" w:cstheme="minorHAnsi"/>
        </w:rPr>
        <w:t>rogram</w:t>
      </w:r>
      <w:r w:rsidR="00F1075F">
        <w:rPr>
          <w:rFonts w:asciiTheme="minorHAnsi" w:hAnsiTheme="minorHAnsi" w:cstheme="minorHAnsi"/>
        </w:rPr>
        <w:t>om</w:t>
      </w:r>
      <w:r w:rsidRPr="00F73B57">
        <w:rPr>
          <w:rFonts w:asciiTheme="minorHAnsi" w:hAnsiTheme="minorHAnsi" w:cstheme="minorHAnsi"/>
        </w:rPr>
        <w:t xml:space="preserve"> upravljanja NATURA 2000 območij, operativnimi programi za kakovost zraka, varstv</w:t>
      </w:r>
      <w:r w:rsidR="00F1075F">
        <w:rPr>
          <w:rFonts w:asciiTheme="minorHAnsi" w:hAnsiTheme="minorHAnsi" w:cstheme="minorHAnsi"/>
        </w:rPr>
        <w:t>a</w:t>
      </w:r>
      <w:r w:rsidRPr="00F73B57">
        <w:rPr>
          <w:rFonts w:asciiTheme="minorHAnsi" w:hAnsiTheme="minorHAnsi" w:cstheme="minorHAnsi"/>
        </w:rPr>
        <w:t xml:space="preserve"> pred hrupom, prilagajan</w:t>
      </w:r>
      <w:r w:rsidR="00F1075F">
        <w:rPr>
          <w:rFonts w:asciiTheme="minorHAnsi" w:hAnsiTheme="minorHAnsi" w:cstheme="minorHAnsi"/>
        </w:rPr>
        <w:t>a</w:t>
      </w:r>
      <w:r w:rsidRPr="00F73B57">
        <w:rPr>
          <w:rFonts w:asciiTheme="minorHAnsi" w:hAnsiTheme="minorHAnsi" w:cstheme="minorHAnsi"/>
        </w:rPr>
        <w:t>e na podnebne spremembe, načrti upravljanja voda</w:t>
      </w:r>
      <w:r w:rsidR="00F1075F">
        <w:rPr>
          <w:rFonts w:asciiTheme="minorHAnsi" w:hAnsiTheme="minorHAnsi" w:cstheme="minorHAnsi"/>
        </w:rPr>
        <w:t xml:space="preserve">, </w:t>
      </w:r>
      <w:r w:rsidRPr="00F73B57">
        <w:rPr>
          <w:rFonts w:asciiTheme="minorHAnsi" w:hAnsiTheme="minorHAnsi" w:cstheme="minorHAnsi"/>
        </w:rPr>
        <w:t>pomeni</w:t>
      </w:r>
      <w:r w:rsidR="00F1142F">
        <w:rPr>
          <w:rFonts w:asciiTheme="minorHAnsi" w:hAnsiTheme="minorHAnsi" w:cstheme="minorHAnsi"/>
        </w:rPr>
        <w:t>jo</w:t>
      </w:r>
      <w:r w:rsidRPr="00F73B57">
        <w:rPr>
          <w:rFonts w:asciiTheme="minorHAnsi" w:hAnsiTheme="minorHAnsi" w:cstheme="minorHAnsi"/>
        </w:rPr>
        <w:t xml:space="preserve"> okvir za izvajanje politik</w:t>
      </w:r>
      <w:r w:rsidR="00F1075F">
        <w:rPr>
          <w:rFonts w:asciiTheme="minorHAnsi" w:hAnsiTheme="minorHAnsi" w:cstheme="minorHAnsi"/>
        </w:rPr>
        <w:t>e</w:t>
      </w:r>
      <w:r w:rsidRPr="00F73B57">
        <w:rPr>
          <w:rFonts w:asciiTheme="minorHAnsi" w:hAnsiTheme="minorHAnsi" w:cstheme="minorHAnsi"/>
        </w:rPr>
        <w:t xml:space="preserve"> varstva okolja</w:t>
      </w:r>
      <w:r w:rsidR="00F1075F">
        <w:rPr>
          <w:rFonts w:asciiTheme="minorHAnsi" w:hAnsiTheme="minorHAnsi" w:cstheme="minorHAnsi"/>
        </w:rPr>
        <w:t xml:space="preserve"> v Sloveniji.</w:t>
      </w:r>
    </w:p>
    <w:p w:rsidR="006533B0" w:rsidRPr="00C61F2F" w:rsidRDefault="006533B0" w:rsidP="00DC133C">
      <w:pPr>
        <w:pStyle w:val="Naslov1"/>
        <w:rPr>
          <w:b/>
        </w:rPr>
      </w:pPr>
      <w:r w:rsidRPr="00C61F2F">
        <w:rPr>
          <w:b/>
        </w:rPr>
        <w:t xml:space="preserve">Stanje in trendi </w:t>
      </w:r>
    </w:p>
    <w:p w:rsidR="007D1FBD" w:rsidRDefault="00F1142F" w:rsidP="00F1142F">
      <w:pPr>
        <w:rPr>
          <w:rFonts w:asciiTheme="minorHAnsi" w:hAnsiTheme="minorHAnsi" w:cstheme="minorHAnsi"/>
        </w:rPr>
      </w:pPr>
      <w:r>
        <w:rPr>
          <w:rFonts w:asciiTheme="minorHAnsi" w:hAnsiTheme="minorHAnsi" w:cstheme="minorHAnsi"/>
        </w:rPr>
        <w:t>NPV</w:t>
      </w:r>
      <w:r w:rsidR="007D1FBD">
        <w:rPr>
          <w:rFonts w:asciiTheme="minorHAnsi" w:hAnsiTheme="minorHAnsi" w:cstheme="minorHAnsi"/>
        </w:rPr>
        <w:t>O</w:t>
      </w:r>
      <w:r>
        <w:rPr>
          <w:rFonts w:asciiTheme="minorHAnsi" w:hAnsiTheme="minorHAnsi" w:cstheme="minorHAnsi"/>
        </w:rPr>
        <w:t xml:space="preserve"> 2020-2030 se </w:t>
      </w:r>
      <w:r w:rsidR="007D1FBD">
        <w:rPr>
          <w:rFonts w:asciiTheme="minorHAnsi" w:hAnsiTheme="minorHAnsi" w:cstheme="minorHAnsi"/>
        </w:rPr>
        <w:t xml:space="preserve">je pričel izvajati pred nekaj več kot enim letom. Načrtovanje </w:t>
      </w:r>
      <w:r w:rsidR="003A764E">
        <w:rPr>
          <w:rFonts w:asciiTheme="minorHAnsi" w:hAnsiTheme="minorHAnsi" w:cstheme="minorHAnsi"/>
        </w:rPr>
        <w:t xml:space="preserve">ukrepov </w:t>
      </w:r>
      <w:r w:rsidR="007D1FBD">
        <w:rPr>
          <w:rFonts w:asciiTheme="minorHAnsi" w:hAnsiTheme="minorHAnsi" w:cstheme="minorHAnsi"/>
        </w:rPr>
        <w:t>lahko ocenimo kot ustrezno, saj se izvajajo aktivnosti na vseh področjih kljub nepredvidljivim razmeram zaradi bolezni COVID-19, ki je upočasnila nekatere procese, zlasti</w:t>
      </w:r>
      <w:r w:rsidR="003A764E">
        <w:rPr>
          <w:rFonts w:asciiTheme="minorHAnsi" w:hAnsiTheme="minorHAnsi" w:cstheme="minorHAnsi"/>
        </w:rPr>
        <w:t xml:space="preserve"> </w:t>
      </w:r>
      <w:r w:rsidR="001A163B">
        <w:rPr>
          <w:rFonts w:asciiTheme="minorHAnsi" w:hAnsiTheme="minorHAnsi" w:cstheme="minorHAnsi"/>
        </w:rPr>
        <w:t>tiste, ko</w:t>
      </w:r>
      <w:r w:rsidR="003A764E">
        <w:rPr>
          <w:rFonts w:asciiTheme="minorHAnsi" w:hAnsiTheme="minorHAnsi" w:cstheme="minorHAnsi"/>
        </w:rPr>
        <w:t xml:space="preserve"> gre za delo </w:t>
      </w:r>
      <w:r w:rsidR="001A163B">
        <w:rPr>
          <w:rFonts w:asciiTheme="minorHAnsi" w:hAnsiTheme="minorHAnsi" w:cstheme="minorHAnsi"/>
        </w:rPr>
        <w:t>s številnimi</w:t>
      </w:r>
      <w:r w:rsidR="003A764E">
        <w:rPr>
          <w:rFonts w:asciiTheme="minorHAnsi" w:hAnsiTheme="minorHAnsi" w:cstheme="minorHAnsi"/>
        </w:rPr>
        <w:t xml:space="preserve"> deležniki. Kljub temu ocenjujemo, da je izvedba dobro poteka. Izpostaviti je potrebno, da je izvajanje ukrepov nekoliko počasnejše tudi zaradi  kadrovska stiske – ta je morda najbolj očitna na vsebinah in izvajanju podnebnih ukrepov ter vsebin povezanih z izobraževanjem in raziskavami ter inovacijami. Kadrovska okrepitev pa bo nedvomno potrebna tudi drugje, zlasti pri krepitvi nadzora</w:t>
      </w:r>
      <w:r w:rsidR="001A163B">
        <w:rPr>
          <w:rFonts w:asciiTheme="minorHAnsi" w:hAnsiTheme="minorHAnsi" w:cstheme="minorHAnsi"/>
        </w:rPr>
        <w:t>,</w:t>
      </w:r>
      <w:r w:rsidR="003A764E">
        <w:rPr>
          <w:rFonts w:asciiTheme="minorHAnsi" w:hAnsiTheme="minorHAnsi" w:cstheme="minorHAnsi"/>
        </w:rPr>
        <w:t xml:space="preserve"> kakor tudi drugih vsebin</w:t>
      </w:r>
      <w:r w:rsidR="001A163B">
        <w:rPr>
          <w:rFonts w:asciiTheme="minorHAnsi" w:hAnsiTheme="minorHAnsi" w:cstheme="minorHAnsi"/>
        </w:rPr>
        <w:t>ah</w:t>
      </w:r>
      <w:r w:rsidR="003A764E">
        <w:rPr>
          <w:rFonts w:asciiTheme="minorHAnsi" w:hAnsiTheme="minorHAnsi" w:cstheme="minorHAnsi"/>
        </w:rPr>
        <w:t>, kjer se sedaj kadrovski primanjkljaj rešuje zlasti preko projektnega dela</w:t>
      </w:r>
      <w:r w:rsidR="001A163B">
        <w:rPr>
          <w:rFonts w:asciiTheme="minorHAnsi" w:hAnsiTheme="minorHAnsi" w:cstheme="minorHAnsi"/>
        </w:rPr>
        <w:t xml:space="preserve"> (LIFE, kohezijski sklad, predsedovanje EU). Ob zaključevanju teh projektov bi bilo nujno, da sledi tudi</w:t>
      </w:r>
      <w:r w:rsidR="003A764E">
        <w:rPr>
          <w:rFonts w:asciiTheme="minorHAnsi" w:hAnsiTheme="minorHAnsi" w:cstheme="minorHAnsi"/>
        </w:rPr>
        <w:t xml:space="preserve"> sistemska ureditev </w:t>
      </w:r>
      <w:r w:rsidR="001B6A5A">
        <w:rPr>
          <w:rFonts w:asciiTheme="minorHAnsi" w:hAnsiTheme="minorHAnsi" w:cstheme="minorHAnsi"/>
        </w:rPr>
        <w:t>kadrovske</w:t>
      </w:r>
      <w:r w:rsidR="003A764E">
        <w:rPr>
          <w:rFonts w:asciiTheme="minorHAnsi" w:hAnsiTheme="minorHAnsi" w:cstheme="minorHAnsi"/>
        </w:rPr>
        <w:t xml:space="preserve"> situacije</w:t>
      </w:r>
      <w:r w:rsidR="001A163B">
        <w:rPr>
          <w:rFonts w:asciiTheme="minorHAnsi" w:hAnsiTheme="minorHAnsi" w:cstheme="minorHAnsi"/>
        </w:rPr>
        <w:t xml:space="preserve"> na teh področjih.</w:t>
      </w:r>
    </w:p>
    <w:p w:rsidR="001B6A5A" w:rsidRDefault="001B6A5A" w:rsidP="00F1142F">
      <w:pPr>
        <w:rPr>
          <w:rFonts w:asciiTheme="minorHAnsi" w:hAnsiTheme="minorHAnsi" w:cstheme="minorHAnsi"/>
        </w:rPr>
      </w:pPr>
      <w:r>
        <w:rPr>
          <w:rFonts w:asciiTheme="minorHAnsi" w:hAnsiTheme="minorHAnsi" w:cstheme="minorHAnsi"/>
        </w:rPr>
        <w:t xml:space="preserve">V pripravi je tudi že prva dopolnitev NPVO 2020-2030 s poudarkom na </w:t>
      </w:r>
      <w:r w:rsidR="001A163B">
        <w:rPr>
          <w:rFonts w:asciiTheme="minorHAnsi" w:hAnsiTheme="minorHAnsi" w:cstheme="minorHAnsi"/>
        </w:rPr>
        <w:t>vsebinah</w:t>
      </w:r>
      <w:r>
        <w:rPr>
          <w:rFonts w:asciiTheme="minorHAnsi" w:hAnsiTheme="minorHAnsi" w:cstheme="minorHAnsi"/>
        </w:rPr>
        <w:t xml:space="preserve"> </w:t>
      </w:r>
      <w:r w:rsidR="001A163B">
        <w:rPr>
          <w:rFonts w:asciiTheme="minorHAnsi" w:hAnsiTheme="minorHAnsi" w:cstheme="minorHAnsi"/>
        </w:rPr>
        <w:t>organiziranosti</w:t>
      </w:r>
      <w:r>
        <w:rPr>
          <w:rFonts w:asciiTheme="minorHAnsi" w:hAnsiTheme="minorHAnsi" w:cstheme="minorHAnsi"/>
        </w:rPr>
        <w:t xml:space="preserve"> </w:t>
      </w:r>
      <w:r w:rsidR="001A163B">
        <w:rPr>
          <w:rFonts w:asciiTheme="minorHAnsi" w:hAnsiTheme="minorHAnsi" w:cstheme="minorHAnsi"/>
        </w:rPr>
        <w:t xml:space="preserve">in </w:t>
      </w:r>
      <w:r w:rsidR="001A163B" w:rsidRPr="001A163B">
        <w:rPr>
          <w:rFonts w:asciiTheme="minorHAnsi" w:hAnsiTheme="minorHAnsi" w:cstheme="minorHAnsi"/>
        </w:rPr>
        <w:t>usmerit</w:t>
      </w:r>
      <w:r w:rsidR="001A163B">
        <w:rPr>
          <w:rFonts w:asciiTheme="minorHAnsi" w:hAnsiTheme="minorHAnsi" w:cstheme="minorHAnsi"/>
        </w:rPr>
        <w:t>e</w:t>
      </w:r>
      <w:r w:rsidR="001A163B" w:rsidRPr="001A163B">
        <w:rPr>
          <w:rFonts w:asciiTheme="minorHAnsi" w:hAnsiTheme="minorHAnsi" w:cstheme="minorHAnsi"/>
        </w:rPr>
        <w:t>v za gospodarske javne službe varstva okolja.</w:t>
      </w:r>
    </w:p>
    <w:p w:rsidR="00F1142F" w:rsidRDefault="00F1142F" w:rsidP="00F1142F">
      <w:pPr>
        <w:rPr>
          <w:rFonts w:asciiTheme="minorHAnsi" w:hAnsiTheme="minorHAnsi" w:cstheme="minorHAnsi"/>
        </w:rPr>
      </w:pPr>
      <w:r>
        <w:rPr>
          <w:rFonts w:asciiTheme="minorHAnsi" w:hAnsiTheme="minorHAnsi" w:cstheme="minorHAnsi"/>
        </w:rPr>
        <w:t>V nadaljevanju podajamo povzetke izvedenih ukrepov po posameznih področjih.</w:t>
      </w:r>
      <w:r w:rsidR="007D1FBD">
        <w:rPr>
          <w:rFonts w:asciiTheme="minorHAnsi" w:hAnsiTheme="minorHAnsi" w:cstheme="minorHAnsi"/>
        </w:rPr>
        <w:t xml:space="preserve"> </w:t>
      </w:r>
    </w:p>
    <w:p w:rsidR="006533B0" w:rsidRPr="00C61F2F" w:rsidRDefault="006533B0" w:rsidP="00DC133C">
      <w:pPr>
        <w:pStyle w:val="Naslov1"/>
        <w:rPr>
          <w:b/>
        </w:rPr>
      </w:pPr>
      <w:r w:rsidRPr="00C61F2F">
        <w:rPr>
          <w:b/>
        </w:rPr>
        <w:lastRenderedPageBreak/>
        <w:t xml:space="preserve">Ključne dejavnosti </w:t>
      </w:r>
      <w:bookmarkStart w:id="0" w:name="_GoBack"/>
      <w:bookmarkEnd w:id="0"/>
    </w:p>
    <w:p w:rsidR="00733C08" w:rsidRPr="00733C08" w:rsidRDefault="000A41DA" w:rsidP="00733C08">
      <w:pPr>
        <w:pStyle w:val="Naslov1"/>
        <w:rPr>
          <w:b/>
        </w:rPr>
      </w:pPr>
      <w:r>
        <w:rPr>
          <w:b/>
        </w:rPr>
        <w:t>Ukrepi varstva b</w:t>
      </w:r>
      <w:r w:rsidR="00733C08" w:rsidRPr="00733C08">
        <w:rPr>
          <w:b/>
        </w:rPr>
        <w:t xml:space="preserve">iotska raznovrstnost in naravne  vrednote </w:t>
      </w:r>
    </w:p>
    <w:p w:rsidR="00733C08" w:rsidRDefault="00733C08" w:rsidP="00733C08">
      <w:pPr>
        <w:spacing w:after="0" w:line="240" w:lineRule="auto"/>
        <w:rPr>
          <w:rFonts w:ascii="Calibri" w:hAnsi="Calibri" w:cs="Calibri"/>
          <w:color w:val="000000"/>
          <w:lang w:eastAsia="sl-SI"/>
        </w:rPr>
      </w:pPr>
    </w:p>
    <w:p w:rsidR="00733C08" w:rsidRPr="00733C08" w:rsidRDefault="00733C08" w:rsidP="00733C08">
      <w:pPr>
        <w:pStyle w:val="Naslov2"/>
      </w:pPr>
      <w:r w:rsidRPr="00733C08">
        <w:t>Zavarovana območja in naravne vrednote</w:t>
      </w:r>
    </w:p>
    <w:p w:rsidR="00733C08" w:rsidRPr="00733C08" w:rsidRDefault="00487B1E" w:rsidP="00733C08">
      <w:pPr>
        <w:spacing w:after="0" w:line="240" w:lineRule="auto"/>
        <w:jc w:val="left"/>
      </w:pPr>
      <w:r>
        <w:t>Na področju dela povezanega z z</w:t>
      </w:r>
      <w:r w:rsidR="00733C08" w:rsidRPr="00733C08">
        <w:t>avarovan</w:t>
      </w:r>
      <w:r>
        <w:t>imi</w:t>
      </w:r>
      <w:r w:rsidR="00733C08" w:rsidRPr="00733C08">
        <w:t xml:space="preserve"> območj</w:t>
      </w:r>
      <w:r>
        <w:t>i</w:t>
      </w:r>
      <w:r w:rsidR="00733C08" w:rsidRPr="00733C08">
        <w:t xml:space="preserve"> in naravn</w:t>
      </w:r>
      <w:r>
        <w:t>imi</w:t>
      </w:r>
      <w:r w:rsidR="00733C08" w:rsidRPr="00733C08">
        <w:t xml:space="preserve"> </w:t>
      </w:r>
      <w:r w:rsidRPr="00733C08">
        <w:t>vrednot</w:t>
      </w:r>
      <w:r>
        <w:t>ami p</w:t>
      </w:r>
      <w:r w:rsidR="00733C08" w:rsidRPr="00733C08">
        <w:t>-</w:t>
      </w:r>
      <w:r>
        <w:t>oteka precej aktivnosti. Aktivnosti potekajo v več sklopih:</w:t>
      </w:r>
      <w:r w:rsidR="00733C08" w:rsidRPr="00733C08">
        <w:t xml:space="preserve"> novelacija aktov o zavarovanju, priprava načrtov upravljanja (NU), urejanje upravljanja z obiskom in upravljanja lokalnih zavarovanj</w:t>
      </w:r>
      <w:r>
        <w:t xml:space="preserve"> kot tudi</w:t>
      </w:r>
      <w:r w:rsidR="00733C08" w:rsidRPr="00733C08">
        <w:t xml:space="preserve"> podpora ustanavljanju občinskih zavarovanih območij</w:t>
      </w:r>
      <w:r>
        <w:t xml:space="preserve">, ter </w:t>
      </w:r>
      <w:r w:rsidR="00733C08" w:rsidRPr="00733C08">
        <w:t>vrednotenje naravnih vrednot</w:t>
      </w:r>
    </w:p>
    <w:p w:rsidR="00733C08" w:rsidRPr="00733C08" w:rsidRDefault="00733C08" w:rsidP="00F1075F">
      <w:pPr>
        <w:spacing w:after="0" w:line="240" w:lineRule="auto"/>
      </w:pPr>
      <w:r w:rsidRPr="008B2C32">
        <w:t>V pripravi so strokovne podlage za vse navedene teme</w:t>
      </w:r>
      <w:r w:rsidRPr="00733C08">
        <w:t>, kar bo</w:t>
      </w:r>
      <w:r w:rsidRPr="008B2C32">
        <w:t xml:space="preserve"> podlaga za </w:t>
      </w:r>
      <w:r w:rsidRPr="00733C08">
        <w:t xml:space="preserve">pripravo </w:t>
      </w:r>
      <w:r w:rsidRPr="008B2C32">
        <w:t xml:space="preserve"> zakonodajnih aktov.</w:t>
      </w:r>
      <w:r w:rsidRPr="00733C08">
        <w:t xml:space="preserve"> </w:t>
      </w:r>
      <w:r w:rsidRPr="008B2C32">
        <w:t xml:space="preserve">V pripravi je </w:t>
      </w:r>
      <w:r w:rsidRPr="00733C08">
        <w:t xml:space="preserve">tudi </w:t>
      </w:r>
      <w:r w:rsidRPr="008B2C32">
        <w:t xml:space="preserve">novelacija aktov o zavarovanju Notranjskega regijskega park, Krajinskega parka (KP) Logarska dolina in KP Rački ribniki - Požeg; sprejet je bil  NU Krajinskega parka Goričko, v pripravi </w:t>
      </w:r>
      <w:r w:rsidR="00487B1E">
        <w:t>sta</w:t>
      </w:r>
      <w:r w:rsidRPr="008B2C32">
        <w:t xml:space="preserve"> NU KP Kolpa in NU KP Ljubljansko Barje; v pripravi so podzakonski akti, ki bodo urejali sofinanciranje občinskih  zavarovanj, umirjanje prometa npr. </w:t>
      </w:r>
      <w:r w:rsidRPr="00733C08">
        <w:t>Mangartsko</w:t>
      </w:r>
      <w:r w:rsidRPr="008B2C32">
        <w:t xml:space="preserve"> sedlo, dolina </w:t>
      </w:r>
      <w:r w:rsidRPr="00733C08">
        <w:t>V</w:t>
      </w:r>
      <w:r w:rsidRPr="008B2C32">
        <w:t>rat, priprav</w:t>
      </w:r>
      <w:r w:rsidRPr="00733C08">
        <w:t>lja se</w:t>
      </w:r>
      <w:r w:rsidRPr="008B2C32">
        <w:t xml:space="preserve"> pravn</w:t>
      </w:r>
      <w:r w:rsidRPr="00733C08">
        <w:t>e</w:t>
      </w:r>
      <w:r w:rsidRPr="008B2C32">
        <w:t xml:space="preserve"> podlag</w:t>
      </w:r>
      <w:r w:rsidRPr="00733C08">
        <w:t>e</w:t>
      </w:r>
      <w:r w:rsidRPr="008B2C32">
        <w:t xml:space="preserve"> za ureditev rabe posameznih delov </w:t>
      </w:r>
      <w:r w:rsidR="00487B1E">
        <w:t>zavarovanih območij</w:t>
      </w:r>
      <w:r w:rsidRPr="008B2C32">
        <w:t>, npr. Vintgar, Logarska dolina; sprejetih</w:t>
      </w:r>
      <w:r w:rsidRPr="00733C08">
        <w:t xml:space="preserve"> je bilo tudi</w:t>
      </w:r>
      <w:r w:rsidRPr="008B2C32">
        <w:t xml:space="preserve"> več pobud občin za </w:t>
      </w:r>
      <w:r w:rsidRPr="00733C08">
        <w:t>novelacijo</w:t>
      </w:r>
      <w:r w:rsidRPr="008B2C32">
        <w:t xml:space="preserve"> občinskih aktov o zavarovanju</w:t>
      </w:r>
      <w:r w:rsidRPr="00733C08">
        <w:t xml:space="preserve"> - v</w:t>
      </w:r>
      <w:r w:rsidRPr="008B2C32">
        <w:t xml:space="preserve"> teku  je proces ustanovitve KP Rače,  KP Češeniško Prevojske gmajne, RP Pohorje, KP Planinsko polje; podani </w:t>
      </w:r>
      <w:r w:rsidR="00487B1E">
        <w:t xml:space="preserve">so </w:t>
      </w:r>
      <w:r w:rsidRPr="008B2C32">
        <w:t xml:space="preserve">predlogi za sklenitev dogovorov občin z MOP, za zavarovanje naravnih  </w:t>
      </w:r>
      <w:r w:rsidRPr="00733C08">
        <w:t>vrednot</w:t>
      </w:r>
      <w:r w:rsidRPr="008B2C32">
        <w:t xml:space="preserve"> državnega pomena. </w:t>
      </w:r>
      <w:r w:rsidR="00487B1E">
        <w:t>Nekaj dela je bilo opravljenega pri izboljševanju</w:t>
      </w:r>
      <w:r w:rsidRPr="008B2C32">
        <w:t xml:space="preserve"> meril</w:t>
      </w:r>
      <w:r w:rsidR="00487B1E">
        <w:t xml:space="preserve"> za</w:t>
      </w:r>
      <w:r w:rsidRPr="008B2C32">
        <w:t xml:space="preserve"> vrednotenja geomorfoloških  naravnih vrednot, izpopolnje</w:t>
      </w:r>
      <w:r w:rsidR="00487B1E">
        <w:t xml:space="preserve">nih je bilo </w:t>
      </w:r>
      <w:r w:rsidRPr="008B2C32">
        <w:t xml:space="preserve"> </w:t>
      </w:r>
      <w:r w:rsidR="00487B1E" w:rsidRPr="008B2C32">
        <w:t>10, 7 %</w:t>
      </w:r>
      <w:r w:rsidR="00487B1E" w:rsidRPr="00733C08">
        <w:t xml:space="preserve"> </w:t>
      </w:r>
      <w:r w:rsidRPr="008B2C32">
        <w:t>podatkov o naravnih vrednotah</w:t>
      </w:r>
      <w:r w:rsidR="00487B1E">
        <w:t xml:space="preserve">. </w:t>
      </w:r>
      <w:r w:rsidRPr="00733C08">
        <w:t>Pripravljajo se tudi dokumenti, ki bo</w:t>
      </w:r>
      <w:r w:rsidR="00487B1E">
        <w:t>do</w:t>
      </w:r>
      <w:r w:rsidRPr="00733C08">
        <w:t xml:space="preserve"> so zagotovili izboljšanje ureditve splošne in posebne rabe naravnih vrednot, tudi podzemnih jam, na način, da se dolgoročno ohranjajo vrednostne lastnosti naravnih vrednot in njihova nematerialna vrednost. </w:t>
      </w:r>
    </w:p>
    <w:p w:rsidR="00733C08" w:rsidRPr="00733C08" w:rsidRDefault="00733C08" w:rsidP="00F1075F">
      <w:pPr>
        <w:spacing w:after="0" w:line="240" w:lineRule="auto"/>
      </w:pPr>
      <w:r w:rsidRPr="00733C08">
        <w:t>Izvaja se odkup zemljišč, pomembnih za varstvo narave - t</w:t>
      </w:r>
      <w:r w:rsidRPr="008B2C32">
        <w:t xml:space="preserve">renutno se odkupi izvajajo v  okviru kohezijskih projektov in potekajo v skladu </w:t>
      </w:r>
      <w:r w:rsidRPr="00733C08">
        <w:t>z načrtovanim</w:t>
      </w:r>
      <w:r w:rsidRPr="008B2C32">
        <w:t xml:space="preserve">. </w:t>
      </w:r>
      <w:r w:rsidRPr="00733C08">
        <w:t>Dodatnih p</w:t>
      </w:r>
      <w:r w:rsidRPr="008B2C32">
        <w:t xml:space="preserve">roračunskih sredstev za odkupe </w:t>
      </w:r>
      <w:r w:rsidRPr="00733C08">
        <w:t xml:space="preserve">trenutno </w:t>
      </w:r>
      <w:r w:rsidRPr="008B2C32">
        <w:t>ni na razpolago. Postopka uveljavljanja predkupne pravice za zemljišča iz Kohezijskih projektov</w:t>
      </w:r>
      <w:r w:rsidRPr="00733C08">
        <w:t xml:space="preserve"> potekajo na</w:t>
      </w:r>
      <w:r w:rsidRPr="008B2C32">
        <w:t xml:space="preserve"> treh zavarovanih območjih (KP Ljubljansko barje – projekt PoLJUBA, KP Goričko projekt – projekt Vzdrževanje kmetijske krajine za ptice in metulje na Goričkem in Regijski park Škocjanske jame – projekt ZaKras) , postopki uveljavljanja predkupne pravice so za večino zemljišč urejeni tudi v ZK.  </w:t>
      </w:r>
      <w:r w:rsidRPr="00733C08">
        <w:t>Poleg tega o</w:t>
      </w:r>
      <w:r w:rsidRPr="008B2C32">
        <w:t>dkup</w:t>
      </w:r>
      <w:r w:rsidRPr="00733C08">
        <w:t>i</w:t>
      </w:r>
      <w:r w:rsidRPr="008B2C32">
        <w:t xml:space="preserve"> gozdnih zemljišč </w:t>
      </w:r>
      <w:r w:rsidRPr="00733C08">
        <w:t>potekajo tudi</w:t>
      </w:r>
      <w:r w:rsidR="00487B1E">
        <w:t xml:space="preserve"> </w:t>
      </w:r>
      <w:r w:rsidRPr="008B2C32">
        <w:t xml:space="preserve">na podlagi javnega pooblastila in Strateškega načrta poslovanja družbe </w:t>
      </w:r>
      <w:r w:rsidRPr="00733C08">
        <w:t>Slovenski državni gozdovi (</w:t>
      </w:r>
      <w:r w:rsidRPr="008B2C32">
        <w:t>SiDG</w:t>
      </w:r>
      <w:r w:rsidRPr="00733C08">
        <w:t>).</w:t>
      </w:r>
    </w:p>
    <w:p w:rsidR="00733C08" w:rsidRDefault="00733C08" w:rsidP="00733C08">
      <w:pPr>
        <w:spacing w:after="0" w:line="240" w:lineRule="auto"/>
        <w:rPr>
          <w:rFonts w:ascii="Calibri" w:hAnsi="Calibri" w:cs="Calibri"/>
          <w:color w:val="000000"/>
          <w:lang w:eastAsia="sl-SI"/>
        </w:rPr>
      </w:pPr>
    </w:p>
    <w:p w:rsidR="00733C08" w:rsidRDefault="00733C08" w:rsidP="00733C08">
      <w:pPr>
        <w:spacing w:after="0" w:line="240" w:lineRule="auto"/>
        <w:rPr>
          <w:rFonts w:ascii="Calibri" w:hAnsi="Calibri" w:cs="Calibri"/>
          <w:color w:val="000000"/>
          <w:lang w:eastAsia="sl-SI"/>
        </w:rPr>
      </w:pPr>
    </w:p>
    <w:p w:rsidR="00733C08" w:rsidRPr="00733C08" w:rsidRDefault="00733C08" w:rsidP="00733C08">
      <w:pPr>
        <w:pStyle w:val="Naslov2"/>
      </w:pPr>
      <w:r w:rsidRPr="00733C08">
        <w:t>Vars</w:t>
      </w:r>
      <w:r>
        <w:t>t</w:t>
      </w:r>
      <w:r w:rsidRPr="00733C08">
        <w:t>vo biodiverzitete</w:t>
      </w:r>
    </w:p>
    <w:p w:rsidR="00733C08" w:rsidRPr="00733C08" w:rsidRDefault="00733C08" w:rsidP="00F1075F">
      <w:pPr>
        <w:spacing w:after="0" w:line="240" w:lineRule="auto"/>
      </w:pPr>
      <w:r w:rsidRPr="00733C08">
        <w:t>Vzpostavlja se aktivno medresorsko sodelovanja za varstvo prostoživečih opraševalcev. Tako je bilo v</w:t>
      </w:r>
      <w:r w:rsidRPr="008B2C32">
        <w:t>zpostavljeno sodelovanje z MKGP pri spremljanju  projekta Zasnova monitoringa divjih opraševalcev v Sloveniji</w:t>
      </w:r>
      <w:r w:rsidRPr="00733C08">
        <w:t xml:space="preserve"> </w:t>
      </w:r>
      <w:r w:rsidRPr="008B2C32">
        <w:t>(CRP V1-1938)</w:t>
      </w:r>
      <w:r w:rsidR="00487B1E">
        <w:t xml:space="preserve">, </w:t>
      </w:r>
      <w:r w:rsidRPr="008B2C32">
        <w:t>spremlja</w:t>
      </w:r>
      <w:r w:rsidR="00487B1E">
        <w:t xml:space="preserve"> se</w:t>
      </w:r>
      <w:r w:rsidRPr="008B2C32">
        <w:t xml:space="preserve"> aktualnega dogajanja na EU ravni</w:t>
      </w:r>
      <w:r w:rsidR="00487B1E">
        <w:t xml:space="preserve"> na področju </w:t>
      </w:r>
      <w:r w:rsidRPr="008B2C32">
        <w:t>varstv</w:t>
      </w:r>
      <w:r w:rsidR="00487B1E">
        <w:t>a</w:t>
      </w:r>
      <w:r w:rsidRPr="008B2C32">
        <w:t xml:space="preserve"> opraševalcev</w:t>
      </w:r>
      <w:r w:rsidR="00487B1E">
        <w:t xml:space="preserve">, </w:t>
      </w:r>
      <w:r w:rsidR="00487B1E" w:rsidRPr="008B2C32">
        <w:t>v izhodišča za pripravo letnih programov dela zavarovanih območij</w:t>
      </w:r>
      <w:r w:rsidR="00487B1E">
        <w:t xml:space="preserve"> so bile vključene vsebine za</w:t>
      </w:r>
      <w:r w:rsidRPr="008B2C32">
        <w:t xml:space="preserve"> ozaveščanje o </w:t>
      </w:r>
      <w:r w:rsidR="00487B1E">
        <w:t xml:space="preserve">pomenu </w:t>
      </w:r>
      <w:r w:rsidRPr="008B2C32">
        <w:t>opraševalc</w:t>
      </w:r>
      <w:r w:rsidR="00487B1E">
        <w:t>ev.</w:t>
      </w:r>
      <w:r w:rsidRPr="008B2C32">
        <w:t xml:space="preserve"> </w:t>
      </w:r>
    </w:p>
    <w:p w:rsidR="00733C08" w:rsidRPr="00733C08" w:rsidRDefault="00733C08" w:rsidP="00F1075F">
      <w:pPr>
        <w:spacing w:after="0" w:line="240" w:lineRule="auto"/>
      </w:pPr>
      <w:r w:rsidRPr="00733C08">
        <w:t>Na področju preprečevanja nezakonitega trgovanja z ogroženimi in zavarovanimi vrstami, odkrivanju kršitev in kaznovan</w:t>
      </w:r>
      <w:r>
        <w:t>j</w:t>
      </w:r>
      <w:r w:rsidRPr="00733C08">
        <w:t>u kršiteljev, so bila z</w:t>
      </w:r>
      <w:r w:rsidRPr="008B2C32">
        <w:t>agotovljena finančn</w:t>
      </w:r>
      <w:r w:rsidRPr="00733C08">
        <w:t>a</w:t>
      </w:r>
      <w:r w:rsidRPr="008B2C32">
        <w:t xml:space="preserve"> sredstv</w:t>
      </w:r>
      <w:r w:rsidRPr="00733C08">
        <w:t>a</w:t>
      </w:r>
      <w:r w:rsidRPr="008B2C32">
        <w:t xml:space="preserve"> za zasege, </w:t>
      </w:r>
      <w:r w:rsidRPr="00733C08">
        <w:t xml:space="preserve">opravljen je bil </w:t>
      </w:r>
      <w:r w:rsidRPr="008B2C32">
        <w:t xml:space="preserve">pregled za posodobitev zakonodaje, </w:t>
      </w:r>
      <w:r w:rsidRPr="00733C08">
        <w:t xml:space="preserve">izvajalo se je </w:t>
      </w:r>
      <w:r w:rsidRPr="008B2C32">
        <w:t>ozaveščanje</w:t>
      </w:r>
      <w:r w:rsidRPr="00733C08">
        <w:t xml:space="preserve"> in</w:t>
      </w:r>
      <w:r w:rsidRPr="008B2C32">
        <w:t xml:space="preserve"> redna letna poročanja;  na</w:t>
      </w:r>
      <w:r w:rsidRPr="00733C08">
        <w:t xml:space="preserve"> Inšpektoratu RS za okolje in prostor (</w:t>
      </w:r>
      <w:r w:rsidRPr="008B2C32">
        <w:t>IRSOP</w:t>
      </w:r>
      <w:r w:rsidRPr="00733C08">
        <w:t xml:space="preserve">) je </w:t>
      </w:r>
      <w:r w:rsidRPr="008B2C32">
        <w:t xml:space="preserve">potekala Akcija - NEZAKONIT LOV IN ZADRŽEVANJE PROSTOŽIVEČIH PTIC V UJETNIŠTVU 2020.  </w:t>
      </w:r>
      <w:r w:rsidRPr="00733C08">
        <w:t xml:space="preserve">Na </w:t>
      </w:r>
      <w:r w:rsidRPr="008B2C32">
        <w:t>ARSO</w:t>
      </w:r>
      <w:r w:rsidRPr="00733C08">
        <w:t xml:space="preserve"> poteka redna naloga</w:t>
      </w:r>
      <w:r w:rsidRPr="008B2C32">
        <w:t xml:space="preserve"> izdaja</w:t>
      </w:r>
      <w:r w:rsidRPr="00733C08">
        <w:t>nja</w:t>
      </w:r>
      <w:r w:rsidRPr="008B2C32">
        <w:t xml:space="preserve"> dovoljenj in potrdil za uvoz, izvoz in ponovni </w:t>
      </w:r>
      <w:r w:rsidRPr="008B2C32">
        <w:lastRenderedPageBreak/>
        <w:t xml:space="preserve">izvoz ter potrdil EU, </w:t>
      </w:r>
      <w:r w:rsidRPr="00733C08">
        <w:t>pripravljajo se</w:t>
      </w:r>
      <w:r w:rsidRPr="008B2C32">
        <w:t xml:space="preserve"> mnenja z determinacijo zaseženih osebkov, vodi</w:t>
      </w:r>
      <w:r w:rsidRPr="00733C08">
        <w:t>jo</w:t>
      </w:r>
      <w:r w:rsidRPr="008B2C32">
        <w:t xml:space="preserve"> podatk</w:t>
      </w:r>
      <w:r w:rsidRPr="00733C08">
        <w:t>i</w:t>
      </w:r>
      <w:r w:rsidRPr="008B2C32">
        <w:t xml:space="preserve"> o izdanih dovoljenjih in potrdilih. Vzpostavljeno je sodelovanje ARSO s strokovnim organom (ZRSVN), drugimi strokovnimi organizacijami (VF, ZGS), MOP (kot upravnim organom), drugimi državnimi organi (carina, policija, inšpekcija), nevladnimi organizacijami (DOPPS) in zatočiščem.</w:t>
      </w:r>
    </w:p>
    <w:p w:rsidR="00733C08" w:rsidRPr="00733C08" w:rsidRDefault="00733C08" w:rsidP="00F1075F">
      <w:pPr>
        <w:spacing w:after="0" w:line="240" w:lineRule="auto"/>
      </w:pPr>
      <w:r w:rsidRPr="00733C08">
        <w:t xml:space="preserve">V okviru </w:t>
      </w:r>
      <w:r w:rsidR="003E1628">
        <w:t xml:space="preserve">ukrepa </w:t>
      </w:r>
      <w:r w:rsidRPr="00733C08">
        <w:t xml:space="preserve">izvajanje načrtnega spremljanja (monitoringa) v obsegu, ki omogoča ugotavljanje stanja ohranjenosti vseh evropsko pomembnih vrst ter vrst in habitatnih tipov, ki so ključni kot kazalniki stanja (skupaj z endemičnimi vrstami), so se zaključili </w:t>
      </w:r>
      <w:r w:rsidRPr="008B2C32">
        <w:t xml:space="preserve">naslednji triletni  monitoringi: Spremljanje varstvenega stanja volkov v Sloveniji v letih 2017/2020; </w:t>
      </w:r>
      <w:r w:rsidR="003E1628">
        <w:t xml:space="preserve">redno se spremlja številčno stanje medvedov; izvedene so bile </w:t>
      </w:r>
      <w:r w:rsidRPr="00733C08">
        <w:t>dodatne</w:t>
      </w:r>
      <w:r w:rsidRPr="008B2C32">
        <w:t xml:space="preserve"> raziskave kvalifikacijskih vrst Natura 2000 ter izvajanje spremljanja stanja populacij 8 izbranih ciljnih vrst hroščev v letih 2018, 2019 in 2020; monitoring populacij 30 izbranih ciljnih vrst netopirjev v letih 2018–2020; </w:t>
      </w:r>
      <w:r w:rsidRPr="00733C08">
        <w:t>m</w:t>
      </w:r>
      <w:r w:rsidRPr="008B2C32">
        <w:t>onitoring raka koščaka v letih 2018, 2019 in 2020. V okviru projekta IP NATURA.SI je bil</w:t>
      </w:r>
      <w:r w:rsidR="00931214">
        <w:t>a</w:t>
      </w:r>
      <w:r w:rsidRPr="008B2C32">
        <w:t xml:space="preserve"> pripravljen</w:t>
      </w:r>
      <w:r w:rsidR="00931214">
        <w:t>a</w:t>
      </w:r>
      <w:r w:rsidRPr="008B2C32">
        <w:t xml:space="preserve"> Študije izvedljivosti sheme monitoringov</w:t>
      </w:r>
      <w:r w:rsidR="00931214">
        <w:t xml:space="preserve"> </w:t>
      </w:r>
      <w:r w:rsidR="00931214" w:rsidRPr="00931214">
        <w:t>(link: http://www.natura2000.si/natura-2000/life-ip-natura-si/rezultati/#f32)</w:t>
      </w:r>
      <w:r w:rsidRPr="008B2C32">
        <w:t xml:space="preserve">. Pripravlja </w:t>
      </w:r>
      <w:r w:rsidRPr="00733C08">
        <w:t xml:space="preserve">se </w:t>
      </w:r>
      <w:r w:rsidRPr="008B2C32">
        <w:t>razpisna dokumentacija za naslednje obdobje monitoringov.</w:t>
      </w:r>
    </w:p>
    <w:p w:rsidR="00733C08" w:rsidRPr="00733C08" w:rsidRDefault="00733C08" w:rsidP="00F1075F">
      <w:pPr>
        <w:spacing w:after="0" w:line="240" w:lineRule="auto"/>
      </w:pPr>
      <w:r w:rsidRPr="00733C08">
        <w:t xml:space="preserve">Zelena infrastruktura – v okviru </w:t>
      </w:r>
      <w:r w:rsidRPr="008B2C32">
        <w:t xml:space="preserve">projekta LIFE Amphicon bo </w:t>
      </w:r>
      <w:r w:rsidR="003E1628">
        <w:t>Direkcija RS za infrastrukturo (</w:t>
      </w:r>
      <w:r w:rsidRPr="008B2C32">
        <w:t>DRSI</w:t>
      </w:r>
      <w:r w:rsidR="003E1628">
        <w:t>)</w:t>
      </w:r>
      <w:r w:rsidRPr="008B2C32">
        <w:t xml:space="preserve"> v letih 2020 - 2022 zgradil</w:t>
      </w:r>
      <w:r w:rsidR="003E1628">
        <w:t>a</w:t>
      </w:r>
      <w:r w:rsidRPr="008B2C32">
        <w:t xml:space="preserve"> podhode in stalne zaščitne ograje za dvoživke na Radenskem polju in na treh lokacijah na Ljubljanskem barju. V 2020 </w:t>
      </w:r>
      <w:r w:rsidR="003E1628">
        <w:t>so bila izvedena</w:t>
      </w:r>
      <w:r w:rsidRPr="008B2C32">
        <w:t xml:space="preserve"> pripravljalna dela in pridob</w:t>
      </w:r>
      <w:r w:rsidR="003E1628">
        <w:t>ljena</w:t>
      </w:r>
      <w:r w:rsidRPr="008B2C32">
        <w:t xml:space="preserve"> dovoljenja</w:t>
      </w:r>
      <w:r w:rsidR="003E1628">
        <w:t>.</w:t>
      </w:r>
    </w:p>
    <w:p w:rsidR="00733C08" w:rsidRPr="00733C08" w:rsidRDefault="00733C08" w:rsidP="00F1075F">
      <w:pPr>
        <w:spacing w:after="0" w:line="240" w:lineRule="auto"/>
      </w:pPr>
      <w:r w:rsidRPr="008B2C32">
        <w:t xml:space="preserve">V pripravi je </w:t>
      </w:r>
      <w:r w:rsidRPr="00733C08">
        <w:t xml:space="preserve">nov program Upravljanja Natura 2000 območij </w:t>
      </w:r>
      <w:r w:rsidRPr="008B2C32">
        <w:t xml:space="preserve">2022-2028 </w:t>
      </w:r>
      <w:r w:rsidRPr="00733C08">
        <w:t xml:space="preserve">(PUN </w:t>
      </w:r>
      <w:r w:rsidRPr="008B2C32">
        <w:t xml:space="preserve">2022-2028 </w:t>
      </w:r>
      <w:r w:rsidRPr="00733C08">
        <w:t xml:space="preserve">), kot del </w:t>
      </w:r>
      <w:r w:rsidRPr="008B2C32">
        <w:t xml:space="preserve">akcije C.3 projekta LIFE IP NATURA SI - pripravljen je osnutek ciljev in predlogov ukrepov za PUN 2022-2028; izvedenih več kot 80 delavnic s strokovnjaki za vrste in habitatne tipe (HT), pripravljena tabela z referenčnimi vrednostmi, ciljnimi vrednostmi za vsako vrsti in HT ter predlogi ukrepov; potekajo delavnice z zavarovanimi območji in s </w:t>
      </w:r>
      <w:r w:rsidRPr="00733C08">
        <w:t>posameznimi</w:t>
      </w:r>
      <w:r w:rsidRPr="008B2C32">
        <w:t xml:space="preserve"> sektorji (predvidenih več kot 40 delavnic za sektorsko usklajevanje PUN in do 10 delavnic v času javne razgrnitve)</w:t>
      </w:r>
    </w:p>
    <w:p w:rsidR="00733C08" w:rsidRDefault="00733C08" w:rsidP="00733C08">
      <w:pPr>
        <w:spacing w:after="0" w:line="240" w:lineRule="auto"/>
        <w:rPr>
          <w:rFonts w:ascii="Calibri" w:hAnsi="Calibri" w:cs="Calibri"/>
          <w:lang w:eastAsia="sl-SI"/>
        </w:rPr>
      </w:pPr>
    </w:p>
    <w:p w:rsidR="00733C08" w:rsidRPr="00733C08" w:rsidRDefault="00733C08" w:rsidP="00733C08">
      <w:pPr>
        <w:pStyle w:val="Naslov2"/>
      </w:pPr>
      <w:r w:rsidRPr="00733C08">
        <w:t xml:space="preserve">Tujerodne vrste </w:t>
      </w:r>
    </w:p>
    <w:p w:rsidR="00733C08" w:rsidRPr="00733C08" w:rsidRDefault="00733C08" w:rsidP="00F1075F">
      <w:pPr>
        <w:spacing w:after="0" w:line="240" w:lineRule="auto"/>
      </w:pPr>
      <w:r w:rsidRPr="00733C08">
        <w:t>Pripravlja se zakonodaje  na področju obvladovanje vnosa in širjenja invazivnih tujerodnih vrst (ITV)</w:t>
      </w:r>
      <w:r w:rsidR="003E1628">
        <w:t>, v pripravi je</w:t>
      </w:r>
      <w:r w:rsidRPr="00733C08">
        <w:t xml:space="preserve"> operativn</w:t>
      </w:r>
      <w:r w:rsidR="003E1628">
        <w:t>i</w:t>
      </w:r>
      <w:r w:rsidRPr="00733C08">
        <w:t xml:space="preserve"> program za ITV, ki so uvrščene na državni seznam in na seznam EU ter akcijskega načrta za obravnavanje prednostnih nenamernih poti vnosa in širjenja</w:t>
      </w:r>
      <w:r w:rsidR="00931214">
        <w:t>.</w:t>
      </w:r>
    </w:p>
    <w:p w:rsidR="00733C08" w:rsidRPr="00733C08" w:rsidRDefault="00733C08" w:rsidP="00F1075F">
      <w:pPr>
        <w:spacing w:after="0" w:line="240" w:lineRule="auto"/>
      </w:pPr>
      <w:r w:rsidRPr="008B2C32">
        <w:t>Zakonska podlaga za izdelavo operativnih programov še ni sprejeta, v pripravi so strokovne podlage za preprečevanje širjenja, vnosa in zmanjševanja vpliva (invazivnih) tujerodnih vrst</w:t>
      </w:r>
      <w:r w:rsidR="00931214">
        <w:t>, že izdelane so za</w:t>
      </w:r>
      <w:r w:rsidRPr="008B2C32">
        <w:t xml:space="preserve"> rib</w:t>
      </w:r>
      <w:r w:rsidR="00931214">
        <w:t>e</w:t>
      </w:r>
      <w:r w:rsidRPr="008B2C32">
        <w:t>, rak</w:t>
      </w:r>
      <w:r w:rsidR="00931214">
        <w:t>e</w:t>
      </w:r>
      <w:r w:rsidRPr="008B2C32">
        <w:t xml:space="preserve"> in školjk</w:t>
      </w:r>
      <w:r w:rsidR="00931214">
        <w:t>e</w:t>
      </w:r>
      <w:r w:rsidRPr="008B2C32">
        <w:t>. V skladu z Uredbo EU 1143/2014 o invazivnih tujerodnih vrstah so se določile tri prednostne poti nenamernega vnosa in širjenja invazivnih tujerodnih vrst, ki zadevajo Unijo. na podlagi tega bodo izdelane strokoven podlaga za Akcijske načrte za obravnavanje treh prednostnih poti vnosa in širjenja.</w:t>
      </w:r>
    </w:p>
    <w:p w:rsidR="00733C08" w:rsidRPr="00733C08" w:rsidRDefault="00733C08" w:rsidP="00F1075F">
      <w:pPr>
        <w:spacing w:after="0" w:line="240" w:lineRule="auto"/>
      </w:pPr>
      <w:r w:rsidRPr="00733C08">
        <w:t xml:space="preserve">Vzpostavljanje in izvajanje sistema spremljanja invazivnih tujerodnih vrst (ITV) in sistema za hitro odkrivanje ITV vključno z informacijskim sistemom in stalnim načrtnim spremljanjem (monitoringom) pojavljanja v naravi je v teku. </w:t>
      </w:r>
      <w:r w:rsidR="00931214">
        <w:t>V</w:t>
      </w:r>
      <w:r w:rsidRPr="008B2C32">
        <w:t xml:space="preserve"> okviru projekta Life NARCIS</w:t>
      </w:r>
      <w:r w:rsidRPr="00733C08">
        <w:t xml:space="preserve">, s katerim se bo </w:t>
      </w:r>
      <w:r w:rsidRPr="008B2C32">
        <w:t xml:space="preserve"> za vzpostavi</w:t>
      </w:r>
      <w:r w:rsidRPr="00733C08">
        <w:t>l</w:t>
      </w:r>
      <w:r w:rsidRPr="008B2C32">
        <w:t xml:space="preserve"> informacijsk</w:t>
      </w:r>
      <w:r w:rsidRPr="00733C08">
        <w:t>i</w:t>
      </w:r>
      <w:r w:rsidRPr="008B2C32">
        <w:t xml:space="preserve"> sistem</w:t>
      </w:r>
      <w:r w:rsidRPr="00733C08">
        <w:t xml:space="preserve"> </w:t>
      </w:r>
      <w:r w:rsidRPr="008B2C32">
        <w:t>zbiranja in vodenja naravovarstvenih podatkov</w:t>
      </w:r>
      <w:r w:rsidRPr="00733C08">
        <w:t>,</w:t>
      </w:r>
      <w:r w:rsidRPr="008B2C32">
        <w:t xml:space="preserve"> se pripravlja </w:t>
      </w:r>
      <w:r w:rsidRPr="00733C08">
        <w:t>tudi</w:t>
      </w:r>
      <w:r w:rsidRPr="008B2C32">
        <w:t xml:space="preserve"> del, ki se </w:t>
      </w:r>
      <w:r w:rsidRPr="00733C08">
        <w:t>nanaša</w:t>
      </w:r>
      <w:r w:rsidRPr="008B2C32">
        <w:t xml:space="preserve"> na ITV. V okviru projekta Life ARTEMIS so pridobljeni strokovni predlogi za </w:t>
      </w:r>
      <w:r w:rsidRPr="00733C08">
        <w:t>vzpostavitev</w:t>
      </w:r>
      <w:r w:rsidRPr="008B2C32">
        <w:t xml:space="preserve"> sistema zgodnjega odkritja in hitrega odziva (ZOHO).</w:t>
      </w:r>
    </w:p>
    <w:p w:rsidR="00733C08" w:rsidRDefault="00733C08" w:rsidP="00733C08">
      <w:pPr>
        <w:spacing w:after="0" w:line="240" w:lineRule="auto"/>
        <w:rPr>
          <w:rFonts w:ascii="Calibri" w:hAnsi="Calibri" w:cs="Calibri"/>
          <w:color w:val="000000"/>
          <w:lang w:eastAsia="sl-SI"/>
        </w:rPr>
      </w:pPr>
    </w:p>
    <w:p w:rsidR="00733C08" w:rsidRPr="00733C08" w:rsidRDefault="00733C08" w:rsidP="00733C08">
      <w:pPr>
        <w:pStyle w:val="Naslov2"/>
      </w:pPr>
      <w:r w:rsidRPr="00733C08">
        <w:t>Genski viri</w:t>
      </w:r>
    </w:p>
    <w:p w:rsidR="00733C08" w:rsidRDefault="00733C08" w:rsidP="00F1075F">
      <w:pPr>
        <w:spacing w:after="0" w:line="240" w:lineRule="auto"/>
      </w:pPr>
      <w:r w:rsidRPr="00733C08">
        <w:t>Izboljšanje ozaveščenost o pomenu Nagojskega protokola in njegovega cilja ter vzpostavitev posredovalnice informacij,</w:t>
      </w:r>
      <w:r w:rsidR="00931214">
        <w:t xml:space="preserve"> kakor </w:t>
      </w:r>
      <w:r w:rsidRPr="00733C08">
        <w:t>spodbujanje uporabe najboljših praks in skrbno ravnanje uporabnikov</w:t>
      </w:r>
      <w:r w:rsidR="00931214">
        <w:t>,</w:t>
      </w:r>
      <w:r w:rsidRPr="00733C08">
        <w:t xml:space="preserve"> poteka preko </w:t>
      </w:r>
      <w:r w:rsidRPr="008B2C32">
        <w:t>Kontakt</w:t>
      </w:r>
      <w:r w:rsidRPr="00733C08">
        <w:t>e</w:t>
      </w:r>
      <w:r w:rsidRPr="008B2C32">
        <w:t xml:space="preserve"> nacionalne točke</w:t>
      </w:r>
      <w:r w:rsidR="00931214">
        <w:t>, ki je objavlejna</w:t>
      </w:r>
      <w:r w:rsidRPr="008B2C32">
        <w:t xml:space="preserve"> na Posredovalnici informacij za ABS na </w:t>
      </w:r>
      <w:hyperlink r:id="rId8" w:history="1">
        <w:r w:rsidRPr="008B2C32">
          <w:t>https://absch.cbd.int/</w:t>
        </w:r>
      </w:hyperlink>
      <w:r w:rsidRPr="008B2C32">
        <w:t>.</w:t>
      </w:r>
      <w:r w:rsidRPr="00733C08">
        <w:t xml:space="preserve"> K</w:t>
      </w:r>
      <w:r w:rsidRPr="008B2C32">
        <w:t xml:space="preserve">omunikacija med člani </w:t>
      </w:r>
      <w:r w:rsidRPr="00733C08">
        <w:t xml:space="preserve">medresorske delovne skupine </w:t>
      </w:r>
      <w:r w:rsidRPr="008B2C32">
        <w:t>poteka tekoče na daljavo. Izvajanja se  4. člen Uredbe (EU) 511/2014</w:t>
      </w:r>
      <w:r w:rsidR="00931214">
        <w:t>.</w:t>
      </w:r>
      <w:r w:rsidRPr="008B2C32">
        <w:t xml:space="preserve"> Zainteresirani uporabniki dobijo informacije neposredno na kontaktni točki.  V letu 2020 </w:t>
      </w:r>
      <w:r w:rsidRPr="00733C08">
        <w:t xml:space="preserve">je bilo </w:t>
      </w:r>
      <w:r w:rsidRPr="008B2C32">
        <w:t xml:space="preserve">obravnavanih 11 zahtevkov za dostop do genskih virov. V letu 2020 Evropska komisija v povezavi s koristmi od uporabe genskih virov in njihove poznejše rabe in trženja, ni prejela nobenega zahtevka zbirk iz Slovenije za registracijo na ravni EU, na podlagi 5. člena Uredbe (EU) 511/2014. Opravljena je bila strokovna podpora Komisiji  </w:t>
      </w:r>
      <w:r w:rsidR="00931214">
        <w:t>p</w:t>
      </w:r>
      <w:r w:rsidRPr="008B2C32">
        <w:t>ri pripravi "Registered collection decision tree"</w:t>
      </w:r>
      <w:r w:rsidR="00931214">
        <w:t>.</w:t>
      </w:r>
    </w:p>
    <w:p w:rsidR="00931214" w:rsidRPr="00733C08" w:rsidRDefault="00931214" w:rsidP="00F1075F">
      <w:pPr>
        <w:spacing w:after="0" w:line="240" w:lineRule="auto"/>
      </w:pPr>
    </w:p>
    <w:p w:rsidR="00733C08" w:rsidRPr="00733C08" w:rsidRDefault="00733C08" w:rsidP="00733C08">
      <w:pPr>
        <w:pStyle w:val="Naslov2"/>
      </w:pPr>
      <w:r w:rsidRPr="00733C08">
        <w:t>Informacijski sistem</w:t>
      </w:r>
    </w:p>
    <w:p w:rsidR="00733C08" w:rsidRPr="00733C08" w:rsidRDefault="00733C08" w:rsidP="00F1075F">
      <w:pPr>
        <w:spacing w:after="0" w:line="240" w:lineRule="auto"/>
      </w:pPr>
      <w:r w:rsidRPr="008B2C32">
        <w:t xml:space="preserve">V okviru obstoječega </w:t>
      </w:r>
      <w:r w:rsidRPr="00733C08">
        <w:t>informacijskega</w:t>
      </w:r>
      <w:r w:rsidRPr="008B2C32">
        <w:t xml:space="preserve"> </w:t>
      </w:r>
      <w:r w:rsidRPr="00733C08">
        <w:t>sistema</w:t>
      </w:r>
      <w:r w:rsidRPr="008B2C32">
        <w:t xml:space="preserve"> </w:t>
      </w:r>
      <w:r w:rsidRPr="00733C08">
        <w:t>(</w:t>
      </w:r>
      <w:r w:rsidRPr="008B2C32">
        <w:t>IS</w:t>
      </w:r>
      <w:r w:rsidRPr="00733C08">
        <w:t>)</w:t>
      </w:r>
      <w:r w:rsidRPr="008B2C32">
        <w:t xml:space="preserve"> se Izvaja redno vzdrževanje, urejanje</w:t>
      </w:r>
      <w:r w:rsidRPr="00733C08">
        <w:t xml:space="preserve"> in </w:t>
      </w:r>
      <w:r w:rsidRPr="008B2C32">
        <w:t>dopolnjevanje Atlasa okolja z Evidenco območij, ki so pomemb</w:t>
      </w:r>
      <w:r w:rsidR="00931214">
        <w:t>a</w:t>
      </w:r>
      <w:r w:rsidRPr="008B2C32">
        <w:t xml:space="preserve"> za ohranjanje biotske raznovrstnosti, Registra naravnih vrednot, Registra zavarovanih območij. Redno se vzdržuje, ureja in dopolnjuje (IS) Sirena z Evidenco o oškodovancih, izvedenih zaščitah in ukrepih ter sklenjenih sporazumih o odškodninah, Register ogroženih in zavarovanih prosto živečih živalskih in rastlinskih vrst, Evidenca o nabavi</w:t>
      </w:r>
      <w:r w:rsidRPr="00733C08">
        <w:t xml:space="preserve"> in</w:t>
      </w:r>
      <w:r w:rsidRPr="008B2C32">
        <w:t xml:space="preserve"> pr</w:t>
      </w:r>
      <w:r w:rsidRPr="00733C08">
        <w:t>e</w:t>
      </w:r>
      <w:r w:rsidRPr="008B2C32">
        <w:t>prodaj</w:t>
      </w:r>
      <w:r w:rsidRPr="00733C08">
        <w:t>i</w:t>
      </w:r>
      <w:r w:rsidRPr="008B2C32">
        <w:t xml:space="preserve"> določenih vrst živali, </w:t>
      </w:r>
      <w:r w:rsidR="00931214" w:rsidRPr="00733C08">
        <w:t>Register</w:t>
      </w:r>
      <w:r w:rsidRPr="008B2C32">
        <w:t xml:space="preserve"> označenih živali,  označevalcev in dobaviteljev oznak ter ostale evidence po ZON</w:t>
      </w:r>
      <w:r w:rsidRPr="00733C08">
        <w:t xml:space="preserve">; </w:t>
      </w:r>
      <w:r w:rsidRPr="008B2C32">
        <w:t>Evidence izvedenih presoj tveganja in pooblaščenih presojevalcev</w:t>
      </w:r>
      <w:r w:rsidR="00931214">
        <w:t>;</w:t>
      </w:r>
      <w:r w:rsidRPr="008B2C32">
        <w:t xml:space="preserve"> Register izdanih dovoljenj o ravnanju z zavarovanimi živalskimi in rastlinskimi vrstami in Register izdanih dovoljenj o prikazovanju živali javnosti.</w:t>
      </w:r>
      <w:r w:rsidRPr="00733C08">
        <w:t xml:space="preserve"> </w:t>
      </w:r>
      <w:r w:rsidRPr="008B2C32">
        <w:t xml:space="preserve">Glede </w:t>
      </w:r>
      <w:r w:rsidRPr="00733C08">
        <w:t>varstva</w:t>
      </w:r>
      <w:r w:rsidRPr="008B2C32">
        <w:t xml:space="preserve"> podzemnih jam, se vzdržuje </w:t>
      </w:r>
      <w:r w:rsidRPr="00733C08">
        <w:t>R</w:t>
      </w:r>
      <w:r w:rsidRPr="008B2C32">
        <w:t>egist</w:t>
      </w:r>
      <w:r w:rsidR="00931214">
        <w:t>e</w:t>
      </w:r>
      <w:r w:rsidRPr="008B2C32">
        <w:t xml:space="preserve">r jamskih vodnikov, Zbirke fizičnih oseb, ki so pridobile potrdila o usposobljenosti za samostojno jamarsko delovanje, Evidence organizacij za usposabljanje in </w:t>
      </w:r>
      <w:r w:rsidRPr="00733C08">
        <w:t>preverjanje</w:t>
      </w:r>
      <w:r w:rsidRPr="008B2C32">
        <w:t xml:space="preserve"> usposobljenosti za samostojno jamarsko delovanje in Evidence pooblaščenih organizacij za usposabljanje in </w:t>
      </w:r>
      <w:r w:rsidRPr="00733C08">
        <w:t>preverjanje</w:t>
      </w:r>
      <w:r w:rsidRPr="008B2C32">
        <w:t xml:space="preserve"> usposobljenosti za jamarske vodnike po Zakonu o </w:t>
      </w:r>
      <w:r w:rsidRPr="00733C08">
        <w:t>varstvu</w:t>
      </w:r>
      <w:r w:rsidRPr="008B2C32">
        <w:t xml:space="preserve"> podzemnih jam (ZVPJ). </w:t>
      </w:r>
    </w:p>
    <w:p w:rsidR="00733C08" w:rsidRPr="00733C08" w:rsidRDefault="00733C08" w:rsidP="00F1075F">
      <w:pPr>
        <w:spacing w:after="0" w:line="240" w:lineRule="auto"/>
      </w:pPr>
      <w:r w:rsidRPr="008B2C32">
        <w:t xml:space="preserve">Začel se je izvajati </w:t>
      </w:r>
      <w:r w:rsidRPr="00733C08">
        <w:t>projekt</w:t>
      </w:r>
      <w:r w:rsidRPr="008B2C32">
        <w:t xml:space="preserve"> LIFE </w:t>
      </w:r>
      <w:r w:rsidRPr="00733C08">
        <w:t>NarcIS - naravovarstveni informacijski sistem« (LIFE NarcIS - NAtuRe Conservation Information System - LIFE19 GIE/SI/000161). Z njim se želi vzpostaviti informacijski sistem na področju varstva narave, ki bo nudil enoten katalog rastlinskih in živalskih vrst, omogočal dostop do različnih baz bioloških in naravovarstvenih podatkov ter izvajanje analiz s pomočjo razvitih spletnih orodij. Z vzpostavljenim sistemom želimo doseči večjo učinkovitost pri izvajanju zakonodaje, pri strateškem načrtovanju in boljši nadzor nad izvedenimi ukrepi na področju varstva narave. Prispeval bo k skrajševanju upravnih postopkov in večji dostopnosti podatkov končnim uporabnikom.</w:t>
      </w:r>
    </w:p>
    <w:p w:rsidR="00733C08" w:rsidRDefault="00733C08" w:rsidP="00733C08">
      <w:pPr>
        <w:spacing w:after="0" w:line="240" w:lineRule="auto"/>
        <w:rPr>
          <w:rFonts w:ascii="Calibri" w:hAnsi="Calibri" w:cs="Calibri"/>
          <w:b/>
          <w:bCs/>
          <w:lang w:eastAsia="sl-SI"/>
        </w:rPr>
      </w:pPr>
    </w:p>
    <w:p w:rsidR="00733C08" w:rsidRPr="00733C08" w:rsidRDefault="00733C08" w:rsidP="00733C08">
      <w:pPr>
        <w:pStyle w:val="Naslov2"/>
      </w:pPr>
      <w:r w:rsidRPr="00733C08">
        <w:t>Izobraževanje in ozaveščanje</w:t>
      </w:r>
    </w:p>
    <w:p w:rsidR="00733C08" w:rsidRPr="00733C08" w:rsidRDefault="00733C08" w:rsidP="00D95277">
      <w:pPr>
        <w:spacing w:after="0" w:line="240" w:lineRule="auto"/>
      </w:pPr>
      <w:r w:rsidRPr="008B2C32">
        <w:t>V  programe izobraževanja je bila dodana "trajnostna kompetenca", kar pomeni vzgojo in izobraževanje za trajnostni razvoj, ki se izvaja v osnovnih šolah. Ozaveščenost se  izboljšuje, posebno pri izobraževanju učiteljev, da poučevanje  postane bolj kakovostno in da učenci od tega kar največ odnesejo.</w:t>
      </w:r>
      <w:r w:rsidR="00A462AD">
        <w:t xml:space="preserve"> </w:t>
      </w:r>
      <w:r w:rsidRPr="008B2C32">
        <w:t xml:space="preserve">Na področju srednješolskega izobraževanja in izobraževanja odraslih, </w:t>
      </w:r>
      <w:r w:rsidRPr="00733C08">
        <w:t>se je</w:t>
      </w:r>
      <w:r w:rsidRPr="008B2C32">
        <w:t xml:space="preserve"> v organizaciji CPI nadaljeval</w:t>
      </w:r>
      <w:r w:rsidRPr="00733C08">
        <w:t xml:space="preserve">a </w:t>
      </w:r>
      <w:r w:rsidRPr="008B2C32">
        <w:t>revizij</w:t>
      </w:r>
      <w:r w:rsidRPr="00733C08">
        <w:t>a</w:t>
      </w:r>
      <w:r w:rsidRPr="008B2C32">
        <w:t xml:space="preserve"> poklicnih standardov na področju </w:t>
      </w:r>
      <w:r w:rsidR="00A462AD" w:rsidRPr="008B2C32">
        <w:t>naravovarstva</w:t>
      </w:r>
      <w:r w:rsidRPr="008B2C32">
        <w:t xml:space="preserve"> z namenom revizije vseh</w:t>
      </w:r>
      <w:r w:rsidR="00A462AD">
        <w:t xml:space="preserve"> poklicnih standardov</w:t>
      </w:r>
      <w:r w:rsidRPr="008B2C32">
        <w:t xml:space="preserve"> v naslednjih letih</w:t>
      </w:r>
      <w:r w:rsidR="00A462AD">
        <w:t>. V delovni skupini sodelujejo</w:t>
      </w:r>
      <w:r w:rsidRPr="008B2C32">
        <w:t xml:space="preserve"> ZRSVN, MKGP, KGZS, ZGS, MOP, JZ Park Goričko</w:t>
      </w:r>
      <w:r w:rsidR="00A462AD">
        <w:t>.</w:t>
      </w:r>
      <w:r w:rsidRPr="008B2C32">
        <w:t xml:space="preserve">. </w:t>
      </w:r>
    </w:p>
    <w:p w:rsidR="00733C08" w:rsidRPr="00D95277" w:rsidRDefault="00733C08" w:rsidP="00D95277">
      <w:pPr>
        <w:spacing w:after="0" w:line="240" w:lineRule="auto"/>
      </w:pPr>
      <w:r w:rsidRPr="00733C08">
        <w:t xml:space="preserve">Ozaveščanje poteka preko </w:t>
      </w:r>
      <w:r w:rsidRPr="008B2C32">
        <w:t>Bilten</w:t>
      </w:r>
      <w:r w:rsidRPr="00733C08">
        <w:t>a</w:t>
      </w:r>
      <w:r w:rsidRPr="008B2C32">
        <w:t xml:space="preserve"> eNatura</w:t>
      </w:r>
      <w:r w:rsidRPr="00733C08">
        <w:t>, izdanih je bilo</w:t>
      </w:r>
      <w:r w:rsidRPr="008B2C32">
        <w:t xml:space="preserve"> 12 številk; </w:t>
      </w:r>
      <w:r w:rsidR="00A462AD">
        <w:t>na</w:t>
      </w:r>
      <w:r w:rsidRPr="00733C08">
        <w:t xml:space="preserve"> </w:t>
      </w:r>
      <w:r w:rsidRPr="008B2C32">
        <w:t>spletn</w:t>
      </w:r>
      <w:r w:rsidR="00A462AD">
        <w:t>em mestu</w:t>
      </w:r>
      <w:r w:rsidRPr="008B2C32">
        <w:t xml:space="preserve"> gov.si</w:t>
      </w:r>
      <w:r w:rsidR="00A462AD">
        <w:t xml:space="preserve"> je bila prenovljena rubrika</w:t>
      </w:r>
      <w:r w:rsidRPr="008B2C32">
        <w:t>: Narava</w:t>
      </w:r>
      <w:r w:rsidR="00A462AD">
        <w:t>; prenovljena je</w:t>
      </w:r>
      <w:r w:rsidRPr="00733C08">
        <w:t xml:space="preserve"> </w:t>
      </w:r>
      <w:r w:rsidRPr="008B2C32">
        <w:t>spletna stran Natura 2000;</w:t>
      </w:r>
      <w:r w:rsidR="00A462AD">
        <w:t xml:space="preserve"> v</w:t>
      </w:r>
      <w:r w:rsidR="00A462AD" w:rsidRPr="00A462AD">
        <w:t xml:space="preserve"> izvajanju</w:t>
      </w:r>
      <w:r w:rsidR="00A462AD">
        <w:t xml:space="preserve"> je</w:t>
      </w:r>
      <w:r w:rsidR="00A462AD" w:rsidRPr="00A462AD">
        <w:t xml:space="preserve"> Komunikacijska strategija LIFE integrirani projekt za okrepljeno upravljanje Nature 2000 v Sloveniji 2020-2026; vzpostavljeni novi digitalni kanali Nature 2000 v Sloveniji: Facebook, Instagram, YouTube; redn</w:t>
      </w:r>
      <w:r w:rsidR="00A462AD">
        <w:t>o se</w:t>
      </w:r>
      <w:r w:rsidR="00A462AD" w:rsidRPr="00A462AD">
        <w:t xml:space="preserve"> priprav</w:t>
      </w:r>
      <w:r w:rsidR="00A462AD">
        <w:t>lja</w:t>
      </w:r>
      <w:r w:rsidR="00A462AD" w:rsidRPr="00A462AD">
        <w:t xml:space="preserve"> vsebin</w:t>
      </w:r>
      <w:r w:rsidR="00A462AD">
        <w:t>e</w:t>
      </w:r>
      <w:r w:rsidR="00A462AD" w:rsidRPr="00A462AD">
        <w:t xml:space="preserve"> za družbena omrežja (200 objav letno; 10 videov letno); na spletnem mestu Natura2000.si </w:t>
      </w:r>
      <w:r w:rsidR="00A462AD">
        <w:t xml:space="preserve">se objavlja </w:t>
      </w:r>
      <w:r w:rsidR="00A462AD" w:rsidRPr="00A462AD">
        <w:t xml:space="preserve">vse aktualne </w:t>
      </w:r>
      <w:r w:rsidR="00A462AD">
        <w:t>novice</w:t>
      </w:r>
      <w:r w:rsidR="00A462AD" w:rsidRPr="00A462AD">
        <w:t xml:space="preserve"> o projektih Nature 2000 in varstva narave v Sloveniji; vzpostavljen</w:t>
      </w:r>
      <w:r w:rsidR="00A462AD">
        <w:t>o je</w:t>
      </w:r>
      <w:r w:rsidR="00A462AD" w:rsidRPr="00A462AD">
        <w:t xml:space="preserve"> in se izvaja uredniško vodeno digitalno komuniciranje Nature 2000; </w:t>
      </w:r>
      <w:r w:rsidR="00A462AD">
        <w:t xml:space="preserve">vzpostavlejna je </w:t>
      </w:r>
      <w:r w:rsidR="00A462AD" w:rsidRPr="00A462AD">
        <w:t>redna komunikacija z deležniki na pilotnih območjih projektov (LIFE-IP NATURA. SI, kohezijski projekti), proaktivno komuniciranje o netopirjih in koronavirusih</w:t>
      </w:r>
      <w:r w:rsidR="00A462AD">
        <w:t xml:space="preserve">; pripravljena so </w:t>
      </w:r>
      <w:r w:rsidR="00A462AD" w:rsidRPr="00A462AD">
        <w:t xml:space="preserve">nova komunikacijska orodja za </w:t>
      </w:r>
      <w:r w:rsidR="00A462AD" w:rsidRPr="00A462AD">
        <w:lastRenderedPageBreak/>
        <w:t>Naturo 2000 v Sloveniji: 4 infografike; 4 zloženke;</w:t>
      </w:r>
      <w:r w:rsidR="00A462AD">
        <w:t xml:space="preserve"> ter </w:t>
      </w:r>
      <w:r w:rsidR="00A462AD" w:rsidRPr="00A462AD">
        <w:t>predstavitveni video Nature 2000 v Sloveniji (slovenska in angleška različica)</w:t>
      </w:r>
      <w:r w:rsidR="00A462AD">
        <w:t xml:space="preserve">; </w:t>
      </w:r>
      <w:r w:rsidR="00A462AD" w:rsidRPr="00A462AD">
        <w:t xml:space="preserve"> organiz</w:t>
      </w:r>
      <w:r w:rsidR="00A462AD">
        <w:t>iran je bil</w:t>
      </w:r>
      <w:r w:rsidR="00A462AD" w:rsidRPr="00A462AD">
        <w:t xml:space="preserve"> novinarsk</w:t>
      </w:r>
      <w:r w:rsidR="00A462AD">
        <w:t>i</w:t>
      </w:r>
      <w:r w:rsidR="00A462AD" w:rsidRPr="00A462AD">
        <w:t xml:space="preserve"> dogod</w:t>
      </w:r>
      <w:r w:rsidR="00A462AD">
        <w:t>e</w:t>
      </w:r>
      <w:r w:rsidR="00A462AD" w:rsidRPr="00A462AD">
        <w:t>k ob 100-letnici Spomenice (LIFE-IP NATURA. SI), komunikacijske akcije ob Evropskem dnevu Nature 2000, mednarodnem dnevu biodiverzitete in Evropskem dnevu parkov. Organizacija izobraževanj za komuniciranje varstva narave (15 delavnic, več kot 200 udeležencev).</w:t>
      </w:r>
    </w:p>
    <w:p w:rsidR="00A462AD" w:rsidRDefault="00A462AD" w:rsidP="00733C08">
      <w:pPr>
        <w:pStyle w:val="Naslov2"/>
      </w:pPr>
    </w:p>
    <w:p w:rsidR="00733C08" w:rsidRPr="00733C08" w:rsidRDefault="00733C08" w:rsidP="00733C08">
      <w:pPr>
        <w:pStyle w:val="Naslov2"/>
      </w:pPr>
      <w:r w:rsidRPr="00733C08">
        <w:t>Naravovarstveni nadzor</w:t>
      </w:r>
    </w:p>
    <w:p w:rsidR="00733C08" w:rsidRPr="00733C08" w:rsidRDefault="00A462AD" w:rsidP="00F1075F">
      <w:pPr>
        <w:spacing w:after="0" w:line="240" w:lineRule="auto"/>
      </w:pPr>
      <w:r>
        <w:t>V okviri projekta LIFE IP NATURASI</w:t>
      </w:r>
      <w:r w:rsidR="00733C08" w:rsidRPr="008B2C32">
        <w:t xml:space="preserve"> so bile </w:t>
      </w:r>
      <w:r>
        <w:t xml:space="preserve">pripravljene </w:t>
      </w:r>
      <w:r w:rsidR="00733C08" w:rsidRPr="008B2C32">
        <w:t xml:space="preserve">vsebine in </w:t>
      </w:r>
      <w:r>
        <w:t>protokoli</w:t>
      </w:r>
      <w:r w:rsidR="00733C08" w:rsidRPr="008B2C32">
        <w:t xml:space="preserve"> za vzpostavitev enote za </w:t>
      </w:r>
      <w:r w:rsidR="00733C08" w:rsidRPr="00733C08">
        <w:t>naravovarstveni</w:t>
      </w:r>
      <w:r w:rsidR="00733C08" w:rsidRPr="008B2C32">
        <w:t xml:space="preserve"> nadzor (NN) na MOP; v pripravi je Akcijski načrt za izboljšanje in širitev NN</w:t>
      </w:r>
      <w:r>
        <w:t xml:space="preserve"> </w:t>
      </w:r>
      <w:r w:rsidR="00733C08" w:rsidRPr="008B2C32">
        <w:t xml:space="preserve">na celotno državo; okrepljeno </w:t>
      </w:r>
      <w:r w:rsidR="00733C08" w:rsidRPr="00733C08">
        <w:t xml:space="preserve">je </w:t>
      </w:r>
      <w:r w:rsidR="00733C08" w:rsidRPr="008B2C32">
        <w:t xml:space="preserve">sodelovanje z </w:t>
      </w:r>
      <w:r w:rsidR="00733C08" w:rsidRPr="00733C08">
        <w:t xml:space="preserve">Zavodom za gozdove Slovenij, kjer se načrtuje </w:t>
      </w:r>
      <w:r w:rsidR="00733C08" w:rsidRPr="008B2C32">
        <w:t>vzpostavitev NN. Izveden</w:t>
      </w:r>
      <w:r w:rsidR="00733C08" w:rsidRPr="00733C08">
        <w:t xml:space="preserve">a so bila </w:t>
      </w:r>
      <w:r w:rsidR="00733C08" w:rsidRPr="008B2C32">
        <w:t>strokovn</w:t>
      </w:r>
      <w:r w:rsidR="00733C08" w:rsidRPr="00733C08">
        <w:t>a</w:t>
      </w:r>
      <w:r w:rsidR="00733C08" w:rsidRPr="008B2C32">
        <w:t xml:space="preserve"> usposabljanj</w:t>
      </w:r>
      <w:r w:rsidR="00733C08" w:rsidRPr="00733C08">
        <w:t>a</w:t>
      </w:r>
      <w:r w:rsidR="00733C08" w:rsidRPr="008B2C32">
        <w:t xml:space="preserve"> za naravovarstveni nadzor za 50 oseb.</w:t>
      </w:r>
    </w:p>
    <w:p w:rsidR="00733C08" w:rsidRDefault="00733C08" w:rsidP="00733C08">
      <w:pPr>
        <w:spacing w:after="0" w:line="240" w:lineRule="auto"/>
        <w:rPr>
          <w:rFonts w:ascii="Calibri" w:hAnsi="Calibri" w:cs="Calibri"/>
          <w:lang w:eastAsia="sl-SI"/>
        </w:rPr>
      </w:pPr>
    </w:p>
    <w:p w:rsidR="00733C08" w:rsidRPr="00733C08" w:rsidRDefault="00733C08" w:rsidP="00733C08">
      <w:pPr>
        <w:pStyle w:val="Naslov2"/>
      </w:pPr>
      <w:r w:rsidRPr="00733C08">
        <w:t>Mednarodno sodelovanje</w:t>
      </w:r>
    </w:p>
    <w:p w:rsidR="00733C08" w:rsidRPr="00733C08" w:rsidRDefault="00733C08" w:rsidP="00F1075F">
      <w:pPr>
        <w:spacing w:after="0" w:line="240" w:lineRule="auto"/>
      </w:pPr>
      <w:r w:rsidRPr="008B2C32">
        <w:t>Slovenija je poravnala</w:t>
      </w:r>
      <w:r w:rsidR="00F35077">
        <w:t xml:space="preserve"> </w:t>
      </w:r>
      <w:r w:rsidRPr="008B2C32">
        <w:t>pogodbene obveznosti iz ratificiranih mednarodnih sporazumov. Zaradi pandemije Covid-19, so bili globalni dogodki prestavljeni (CBD, Ramsar, CITES COP). Nadaljeva</w:t>
      </w:r>
      <w:r w:rsidRPr="00733C08">
        <w:t>lo se je z</w:t>
      </w:r>
      <w:r w:rsidRPr="008B2C32">
        <w:t xml:space="preserve"> aktivnim sodelovanjem v organih odločanja npr. IWC, Ramsar SC. Slovenija ja aktivno sodelovala v procesu pogajanj za sklenitev legalno zavezujočega inštrumenta za </w:t>
      </w:r>
      <w:r w:rsidRPr="00733C08">
        <w:t>Biodiversity Beyond National Jurisdiction (</w:t>
      </w:r>
      <w:r w:rsidRPr="008B2C32">
        <w:t>BBNJ</w:t>
      </w:r>
      <w:r w:rsidRPr="00733C08">
        <w:t>)</w:t>
      </w:r>
      <w:r w:rsidRPr="008B2C32">
        <w:t>. Opravljeno je bilo intenzivno usposabljanje kadrov na MOP/ZRSVN ter zunanjih ekspertov,  za sodelovanje v projektu predsedovanja EU (PSEU) ter s tem krepitev zmogljivosti za vodenje politike in intenzivnejše delovanje Slovenije v mednarodnih organizacijah in EU. Uslužbenci MOP so se dejavno vključevali v delo</w:t>
      </w:r>
      <w:r w:rsidRPr="00733C08">
        <w:t xml:space="preserve"> </w:t>
      </w:r>
      <w:r w:rsidRPr="008B2C32">
        <w:t xml:space="preserve">"Presidency Trio, DE-PT-SI" v okviru priprav na PSEU. </w:t>
      </w:r>
    </w:p>
    <w:p w:rsidR="00733C08" w:rsidRDefault="00733C08" w:rsidP="00733C08">
      <w:pPr>
        <w:spacing w:after="0" w:line="240" w:lineRule="auto"/>
      </w:pPr>
    </w:p>
    <w:p w:rsidR="002C687D" w:rsidRPr="00733C08" w:rsidRDefault="002C687D" w:rsidP="002C687D">
      <w:pPr>
        <w:pStyle w:val="Naslov1"/>
        <w:rPr>
          <w:b/>
        </w:rPr>
      </w:pPr>
      <w:r>
        <w:rPr>
          <w:b/>
        </w:rPr>
        <w:t>Ukrepi varstva tal</w:t>
      </w:r>
    </w:p>
    <w:p w:rsidR="00962BE3" w:rsidRPr="00DB158A" w:rsidRDefault="00962BE3" w:rsidP="00962BE3">
      <w:pPr>
        <w:spacing w:after="0" w:line="240" w:lineRule="auto"/>
      </w:pPr>
      <w:r w:rsidRPr="00DB158A">
        <w:t xml:space="preserve">V kopenskih ekosistemih imajo tla bistveno večjo vlogo, kot je bilo to prepoznano doslej, zato je treba tla varovati in predvsem z njimi trajnostno ravnati tako, da se ohranjajo njihova različnost, kakovost ter sposobnost zagotavljanja ekosistemskih storitev. </w:t>
      </w:r>
    </w:p>
    <w:p w:rsidR="00962BE3" w:rsidRPr="00DB158A" w:rsidRDefault="00962BE3" w:rsidP="00962BE3">
      <w:pPr>
        <w:spacing w:after="0" w:line="240" w:lineRule="auto"/>
      </w:pPr>
      <w:r w:rsidRPr="00DB158A">
        <w:t>Trajnostno upravljanje s tlemi, ki vključuje tudi trajnostno upravljanje z zemljišči, ter sanacija in revitalizacija degradiranih območij tal so zato ključen in integralen del zagotavljanja trajnostnega razvoja, zlasti v smislu celostnega pristopa pri prenovi razvrednotenih območij</w:t>
      </w:r>
    </w:p>
    <w:p w:rsidR="00962BE3" w:rsidRPr="00DB158A" w:rsidRDefault="00962BE3" w:rsidP="00962BE3">
      <w:pPr>
        <w:spacing w:after="0" w:line="240" w:lineRule="auto"/>
        <w:jc w:val="left"/>
      </w:pPr>
      <w:r w:rsidRPr="00DB158A">
        <w:t xml:space="preserve">Prizadevanja so bila usmerjana predvsem v </w:t>
      </w:r>
      <w:r w:rsidRPr="00E36FC1">
        <w:t>sanacij</w:t>
      </w:r>
      <w:r>
        <w:t>o</w:t>
      </w:r>
      <w:r w:rsidRPr="00E36FC1">
        <w:t xml:space="preserve"> tal na degradiranih stavbnih zemljiščih in ponovna raba teh zemljišč</w:t>
      </w:r>
      <w:r w:rsidRPr="00DB158A">
        <w:t>, k</w:t>
      </w:r>
      <w:r>
        <w:t>ar</w:t>
      </w:r>
      <w:r w:rsidRPr="00DB158A">
        <w:t xml:space="preserve"> je tudi ena od prednostnih nalog. Tako so bili s</w:t>
      </w:r>
      <w:r w:rsidRPr="00E36FC1">
        <w:t xml:space="preserve">anirani </w:t>
      </w:r>
      <w:r w:rsidRPr="00DB158A">
        <w:t>š</w:t>
      </w:r>
      <w:r w:rsidRPr="00E36FC1">
        <w:t>tirje vrtci</w:t>
      </w:r>
      <w:r w:rsidRPr="00DB158A">
        <w:t xml:space="preserve">, </w:t>
      </w:r>
      <w:r>
        <w:t>v teku je sanacija</w:t>
      </w:r>
      <w:r w:rsidRPr="00E36FC1">
        <w:t xml:space="preserve"> štiri</w:t>
      </w:r>
      <w:r>
        <w:t>h</w:t>
      </w:r>
      <w:r w:rsidRPr="00E36FC1">
        <w:t xml:space="preserve"> dodatn</w:t>
      </w:r>
      <w:r>
        <w:t>ih</w:t>
      </w:r>
      <w:r w:rsidRPr="00E36FC1">
        <w:t xml:space="preserve"> vrtce</w:t>
      </w:r>
      <w:r>
        <w:t>v</w:t>
      </w:r>
      <w:r w:rsidRPr="00E36FC1">
        <w:t xml:space="preserve">, </w:t>
      </w:r>
      <w:r>
        <w:t xml:space="preserve">v izdelavi je </w:t>
      </w:r>
      <w:r w:rsidRPr="00E36FC1">
        <w:t>dokumentacija</w:t>
      </w:r>
      <w:r>
        <w:t xml:space="preserve"> še ta tri vrtce, prav tako </w:t>
      </w:r>
      <w:r w:rsidR="001B5361">
        <w:t>tudi</w:t>
      </w:r>
      <w:r w:rsidRPr="00E36FC1">
        <w:t xml:space="preserve"> za sanacijo </w:t>
      </w:r>
      <w:r w:rsidR="00F35077">
        <w:t xml:space="preserve">nekdanjih </w:t>
      </w:r>
      <w:r w:rsidRPr="00E36FC1">
        <w:t>odlagališč</w:t>
      </w:r>
      <w:r w:rsidR="00F35077">
        <w:t xml:space="preserve"> </w:t>
      </w:r>
      <w:r w:rsidRPr="00E36FC1">
        <w:t>Bukovžlak, Ležen , Globovnik in Rakovnik.</w:t>
      </w:r>
      <w:r w:rsidRPr="00DB158A">
        <w:t xml:space="preserve"> </w:t>
      </w:r>
      <w:r w:rsidRPr="00E36FC1">
        <w:t xml:space="preserve">Izvajajo se </w:t>
      </w:r>
      <w:r w:rsidRPr="00DB158A">
        <w:t>renatu</w:t>
      </w:r>
      <w:r>
        <w:t>r</w:t>
      </w:r>
      <w:r w:rsidRPr="00DB158A">
        <w:t>acij</w:t>
      </w:r>
      <w:r>
        <w:t>sk</w:t>
      </w:r>
      <w:r w:rsidRPr="00DB158A">
        <w:t>a</w:t>
      </w:r>
      <w:r w:rsidRPr="00E36FC1">
        <w:t xml:space="preserve"> dela v Zgornji Mežiški dolini</w:t>
      </w:r>
      <w:r w:rsidR="00F35077">
        <w:t xml:space="preserve"> ter</w:t>
      </w:r>
      <w:r w:rsidRPr="00E36FC1">
        <w:t xml:space="preserve"> redna vzdrževalna dela na </w:t>
      </w:r>
      <w:r w:rsidRPr="00DB158A">
        <w:t>odlagališču</w:t>
      </w:r>
      <w:r w:rsidRPr="00E36FC1">
        <w:t xml:space="preserve"> Rakovnik</w:t>
      </w:r>
      <w:r w:rsidRPr="00DB158A">
        <w:t>.</w:t>
      </w:r>
    </w:p>
    <w:p w:rsidR="00962BE3" w:rsidRPr="00DB158A" w:rsidRDefault="00962BE3" w:rsidP="00962BE3">
      <w:pPr>
        <w:spacing w:after="0" w:line="240" w:lineRule="auto"/>
      </w:pPr>
      <w:r>
        <w:t xml:space="preserve">Da bi </w:t>
      </w:r>
      <w:r w:rsidRPr="00E36FC1">
        <w:t>okrep</w:t>
      </w:r>
      <w:r>
        <w:t xml:space="preserve">ili in izboljšali </w:t>
      </w:r>
      <w:r w:rsidRPr="00E36FC1">
        <w:t>obravnav</w:t>
      </w:r>
      <w:r>
        <w:t>o</w:t>
      </w:r>
      <w:r w:rsidRPr="00E36FC1">
        <w:t xml:space="preserve"> varstva tal</w:t>
      </w:r>
      <w:r>
        <w:t xml:space="preserve"> v okviru </w:t>
      </w:r>
      <w:r w:rsidRPr="00E36FC1">
        <w:t>celovite presoje vplivov na okolje</w:t>
      </w:r>
      <w:r>
        <w:t xml:space="preserve">, se je pričelo z </w:t>
      </w:r>
      <w:r w:rsidRPr="00E36FC1">
        <w:t>izdelavo Smernic za obravnavo tal v okviru priprave prostorskih aktov in CPVO</w:t>
      </w:r>
      <w:r>
        <w:t>.</w:t>
      </w:r>
    </w:p>
    <w:p w:rsidR="00962BE3" w:rsidRPr="00DB158A" w:rsidRDefault="00962BE3" w:rsidP="00962BE3">
      <w:pPr>
        <w:spacing w:after="0" w:line="240" w:lineRule="auto"/>
      </w:pPr>
      <w:r>
        <w:t xml:space="preserve">V okviru naloge </w:t>
      </w:r>
      <w:r w:rsidRPr="00E36FC1">
        <w:t>Načrtno spremljanje (monitoring)</w:t>
      </w:r>
      <w:r>
        <w:t xml:space="preserve"> kakovosti tal se v</w:t>
      </w:r>
      <w:r w:rsidRPr="00E36FC1">
        <w:t xml:space="preserve"> skladu z 22. členom Pravilnika o monitoringu kakovosti tal (U.L. RS, št. 68/19) </w:t>
      </w:r>
      <w:r w:rsidR="00F35077">
        <w:t xml:space="preserve">se </w:t>
      </w:r>
      <w:r>
        <w:t>pripravlja</w:t>
      </w:r>
      <w:r w:rsidRPr="00E36FC1">
        <w:t xml:space="preserve"> prvi program monitoringa</w:t>
      </w:r>
      <w:r>
        <w:t>.</w:t>
      </w:r>
      <w:r w:rsidRPr="00E36FC1">
        <w:t xml:space="preserve"> V letu 2020 so bili na </w:t>
      </w:r>
      <w:r w:rsidR="00F35077">
        <w:t>štirinajstih</w:t>
      </w:r>
      <w:r w:rsidRPr="00E36FC1">
        <w:t xml:space="preserve"> vzorčnih mestih odvzeti vzorci tal in izvedene kemijske analize v skladu s </w:t>
      </w:r>
      <w:r>
        <w:t>tem pravilnikom.</w:t>
      </w:r>
      <w:r w:rsidRPr="00E36FC1">
        <w:t xml:space="preserve"> Ta mesta predstavljajo tudi potencialna vzorčna mesta v mreži vzorčnih mest monitoringa kakovosti tal. </w:t>
      </w:r>
      <w:r w:rsidR="00F35077">
        <w:t>Za</w:t>
      </w:r>
      <w:r w:rsidRPr="00E36FC1">
        <w:t xml:space="preserve"> vzorčn</w:t>
      </w:r>
      <w:r w:rsidR="00F35077">
        <w:t>a</w:t>
      </w:r>
      <w:r w:rsidRPr="00E36FC1">
        <w:t xml:space="preserve"> mest</w:t>
      </w:r>
      <w:r w:rsidR="00F35077">
        <w:t>a</w:t>
      </w:r>
      <w:r w:rsidRPr="00E36FC1">
        <w:t xml:space="preserve"> so </w:t>
      </w:r>
      <w:r w:rsidR="00F35077">
        <w:t>bile pridobljene</w:t>
      </w:r>
      <w:r w:rsidRPr="00E36FC1">
        <w:t xml:space="preserve"> tudi privolitve o odvzemu vzorcev tal od lastnikov zemljišč, </w:t>
      </w:r>
      <w:r w:rsidRPr="00E36FC1">
        <w:lastRenderedPageBreak/>
        <w:t>obveščene so bile tudi občine. Vzpostavljati se je začel arhiv za vzorce tal.</w:t>
      </w:r>
      <w:r>
        <w:t xml:space="preserve"> Pričelo se je tudi sodelovanje z Ministrstvom za kmetijstvo, gozdarstvo in prehrano z namenom </w:t>
      </w:r>
      <w:r w:rsidRPr="00E36FC1">
        <w:t>vzpostavitv</w:t>
      </w:r>
      <w:r>
        <w:t>e</w:t>
      </w:r>
      <w:r w:rsidRPr="00E36FC1">
        <w:t xml:space="preserve"> in izvajanj</w:t>
      </w:r>
      <w:r>
        <w:t>e</w:t>
      </w:r>
      <w:r w:rsidRPr="00E36FC1">
        <w:t xml:space="preserve"> spremljanja organske snovi in hranil v tleh</w:t>
      </w:r>
      <w:r>
        <w:t xml:space="preserve">, spremenjen je bil v tem smislu tudi </w:t>
      </w:r>
      <w:r w:rsidRPr="00E36FC1">
        <w:t>Zakon o kmetijstvu</w:t>
      </w:r>
      <w:r>
        <w:t xml:space="preserve">. Vzpostavljene so bile tudi zakonske podlage za </w:t>
      </w:r>
      <w:r w:rsidRPr="00E36FC1">
        <w:t>namen vzpostavitve evidence emisij TGP</w:t>
      </w:r>
      <w:r>
        <w:t>.</w:t>
      </w:r>
    </w:p>
    <w:p w:rsidR="00962BE3" w:rsidRPr="00DB158A" w:rsidRDefault="00962BE3" w:rsidP="00962BE3">
      <w:pPr>
        <w:spacing w:after="0" w:line="240" w:lineRule="auto"/>
      </w:pPr>
      <w:r>
        <w:t xml:space="preserve">Vzpostavljeno je </w:t>
      </w:r>
      <w:r w:rsidRPr="00E36FC1">
        <w:t>sodelovanje</w:t>
      </w:r>
      <w:r w:rsidR="00F35077">
        <w:t xml:space="preserve"> z MKGP</w:t>
      </w:r>
      <w:r w:rsidRPr="00E36FC1">
        <w:t xml:space="preserve"> pri pripravi nove</w:t>
      </w:r>
      <w:r>
        <w:t>ga Strateškega načrta skupne kmetijske politike (SKP) zlasti v prizadevanjih</w:t>
      </w:r>
      <w:r w:rsidRPr="00E36FC1">
        <w:t xml:space="preserve"> za zagotovitev okoljsko vzdržne uporabe fitofarmacevtskih sredstev, gnojil in kmetijskih tehnik</w:t>
      </w:r>
      <w:r>
        <w:t xml:space="preserve"> tako v poljedelski kot gozdarski proizvodnji.</w:t>
      </w:r>
      <w:r w:rsidRPr="00E36FC1">
        <w:t xml:space="preserve"> </w:t>
      </w:r>
    </w:p>
    <w:p w:rsidR="00962BE3" w:rsidRDefault="00D95277" w:rsidP="00962BE3">
      <w:pPr>
        <w:spacing w:after="0" w:line="240" w:lineRule="auto"/>
      </w:pPr>
      <w:r>
        <w:t xml:space="preserve">IRSOP, </w:t>
      </w:r>
      <w:r w:rsidR="00962BE3" w:rsidRPr="00E36FC1">
        <w:t>Inšpekcija za okolje in naravo (ION) je v letu 2020 izvedla izobraževanje za vse inšpektorje s področja ravnanja z zemeljskim izkopom. ION opravlja redne in izredne nadzore s področja ravnanja z gradbenimi odpadki.</w:t>
      </w:r>
    </w:p>
    <w:p w:rsidR="00962BE3" w:rsidRPr="00DB158A" w:rsidRDefault="00962BE3" w:rsidP="00962BE3">
      <w:pPr>
        <w:spacing w:after="0" w:line="240" w:lineRule="auto"/>
      </w:pPr>
      <w:r>
        <w:t>Tudi Slovensko partnerstvo za tla je aktivno, pripravilo je ozaveščevalna gradiva.</w:t>
      </w:r>
    </w:p>
    <w:p w:rsidR="00733C08" w:rsidRDefault="00733C08" w:rsidP="00733C08">
      <w:pPr>
        <w:spacing w:after="0" w:line="240" w:lineRule="auto"/>
      </w:pPr>
    </w:p>
    <w:p w:rsidR="000B573A" w:rsidRPr="00733C08" w:rsidRDefault="000B573A" w:rsidP="000B573A">
      <w:pPr>
        <w:pStyle w:val="Naslov1"/>
        <w:rPr>
          <w:b/>
        </w:rPr>
      </w:pPr>
      <w:r>
        <w:rPr>
          <w:b/>
        </w:rPr>
        <w:t>Ukrepi varstva zraka</w:t>
      </w:r>
    </w:p>
    <w:p w:rsidR="000B573A" w:rsidRPr="00254F2C" w:rsidRDefault="000B573A" w:rsidP="00F1075F">
      <w:pPr>
        <w:spacing w:after="0" w:line="240" w:lineRule="auto"/>
      </w:pPr>
      <w:r w:rsidRPr="00254F2C">
        <w:t>Slovenija mora na podlagi Direktive 2008/50/ES zagotavljati takšno kakovost zraka, da število dnevnih preseganj z delci ne preseže 35 dni na leto. Če taka območja obstajajo, potem je potrebno pripraviti Načrt kakovosti zraka.</w:t>
      </w:r>
    </w:p>
    <w:p w:rsidR="000B573A" w:rsidRPr="00254F2C" w:rsidRDefault="000B573A" w:rsidP="00F1075F">
      <w:pPr>
        <w:spacing w:after="0" w:line="240" w:lineRule="auto"/>
      </w:pPr>
      <w:r w:rsidRPr="00254F2C">
        <w:t>Slovenija je izvajala Načrte kakovosti zraka na sedmih območjih s preseganji: Mestna občina Murska Sobota, aglomeracija Maribor, Mestna občina Celje, Mestna občina Ljubljana, Mestna občina Novo mesto, Mestna občina Kranj in občine Zasavja.</w:t>
      </w:r>
    </w:p>
    <w:p w:rsidR="000B573A" w:rsidRPr="00254F2C" w:rsidRDefault="000B573A" w:rsidP="00F1075F">
      <w:pPr>
        <w:spacing w:after="0" w:line="240" w:lineRule="auto"/>
      </w:pPr>
      <w:r w:rsidRPr="00254F2C">
        <w:t>Z uspešnim izvajanjem ukrepov iz Načrtov kakovosti zraka so država, mesta-občine, gospodinjstva in prebivalci skupaj dosegli, da se je od leta 2013 kakovost zraka tako izboljšala, da v letu 2020 na nobenem od območij s preseganji ni bilo več dnevni</w:t>
      </w:r>
      <w:r>
        <w:t>h</w:t>
      </w:r>
      <w:r w:rsidRPr="00254F2C">
        <w:t xml:space="preserve"> preseganj nad 35 dni na leto</w:t>
      </w:r>
      <w:r>
        <w:t>. V je</w:t>
      </w:r>
      <w:r w:rsidRPr="00254F2C">
        <w:t xml:space="preserve"> teku postopek, da se vsa </w:t>
      </w:r>
      <w:r>
        <w:t xml:space="preserve">prej omenjena </w:t>
      </w:r>
      <w:r w:rsidRPr="00254F2C">
        <w:t>območja</w:t>
      </w:r>
      <w:r>
        <w:t>,</w:t>
      </w:r>
      <w:r w:rsidRPr="00254F2C">
        <w:t xml:space="preserve"> razen območje Mestne občine Celje</w:t>
      </w:r>
      <w:r>
        <w:t>,</w:t>
      </w:r>
      <w:r w:rsidRPr="00254F2C">
        <w:t xml:space="preserve"> </w:t>
      </w:r>
      <w:r>
        <w:t xml:space="preserve">ne štejejo več kot </w:t>
      </w:r>
      <w:r w:rsidRPr="00254F2C">
        <w:t>območja s preseganji</w:t>
      </w:r>
      <w:r>
        <w:t xml:space="preserve"> in se posledično </w:t>
      </w:r>
      <w:r w:rsidR="00D95277">
        <w:t>preneha</w:t>
      </w:r>
      <w:r w:rsidRPr="00254F2C">
        <w:t xml:space="preserve"> izvajati Načrti kakovosti zraka</w:t>
      </w:r>
      <w:r>
        <w:t>.</w:t>
      </w:r>
      <w:r w:rsidRPr="00254F2C">
        <w:t xml:space="preserve"> </w:t>
      </w:r>
      <w:r>
        <w:t xml:space="preserve">Izvajati pa se bodo pričeli </w:t>
      </w:r>
      <w:r w:rsidRPr="00254F2C">
        <w:t xml:space="preserve">ukrepi iz Operativnega programa ohranjanja kakovosti zunanjega zraka, </w:t>
      </w:r>
      <w:r>
        <w:t xml:space="preserve">ki je v postopkih za sprejem na </w:t>
      </w:r>
      <w:r w:rsidRPr="00254F2C">
        <w:t>Vladi RS</w:t>
      </w:r>
      <w:r>
        <w:t>.</w:t>
      </w:r>
    </w:p>
    <w:p w:rsidR="000B573A" w:rsidRDefault="000B573A" w:rsidP="000B573A">
      <w:pPr>
        <w:spacing w:before="0" w:after="0" w:line="240" w:lineRule="auto"/>
        <w:jc w:val="left"/>
      </w:pPr>
    </w:p>
    <w:p w:rsidR="00AE2968" w:rsidRPr="00733C08" w:rsidRDefault="00AE2968" w:rsidP="00AE2968">
      <w:pPr>
        <w:pStyle w:val="Naslov1"/>
        <w:rPr>
          <w:b/>
        </w:rPr>
      </w:pPr>
      <w:r>
        <w:rPr>
          <w:b/>
        </w:rPr>
        <w:t>Ukrepi varstva pred hrupom</w:t>
      </w:r>
    </w:p>
    <w:p w:rsidR="00AE2968" w:rsidRPr="001A73DF" w:rsidRDefault="00AE2968" w:rsidP="007B6579">
      <w:pPr>
        <w:spacing w:after="0" w:line="240" w:lineRule="auto"/>
      </w:pPr>
      <w:r w:rsidRPr="001A73DF">
        <w:t>Okolje v Sloveniji je zmerno obremenjeno s hrupom, med bolj izpostavljenimi so prebivalci v večjih mestih ter prebivalci, ki živijo ob prometnejših cestah in železniških progah. Obremenjenost s hrupom je posledica predvsem prometa in v manjši meri izvajanja industrijske dejavnosti.</w:t>
      </w:r>
    </w:p>
    <w:p w:rsidR="00D95277" w:rsidRDefault="00AE2968" w:rsidP="00D95277">
      <w:pPr>
        <w:spacing w:after="0" w:line="240" w:lineRule="auto"/>
      </w:pPr>
      <w:r w:rsidRPr="001A73DF">
        <w:t>Izvajanje obratovalnega monitoringa za vire hrupa</w:t>
      </w:r>
      <w:r>
        <w:t xml:space="preserve"> - u</w:t>
      </w:r>
      <w:r w:rsidRPr="001A73DF">
        <w:t xml:space="preserve">pravljavci virov hrupa v ciklih </w:t>
      </w:r>
      <w:r w:rsidR="00D95277">
        <w:t>enkrat</w:t>
      </w:r>
      <w:r w:rsidRPr="001A73DF">
        <w:t xml:space="preserve"> na tri leta izvedejo monitoring hrupa in ga posredujejo na ARSO. Upravljavci cest in železnic vključeni v Operativni program varstva pred hrupom izvedejo obratovalni monitoring </w:t>
      </w:r>
      <w:r w:rsidR="00D95277">
        <w:t>enkrat</w:t>
      </w:r>
      <w:r w:rsidRPr="001A73DF">
        <w:t xml:space="preserve"> na 5 let. Obe nalogi sta stalni in se izvajata</w:t>
      </w:r>
      <w:r>
        <w:t xml:space="preserve">. Tudi </w:t>
      </w:r>
      <w:r w:rsidRPr="001A73DF">
        <w:t>IRSOP izvaja redne nadzore pri upravljavcih virov hrupa, kjer preverja izpolnjevanje obveznosti upravljavcev (izvajanje obratovalnega monitoringa) in rezultate obratovalnega monitoringa</w:t>
      </w:r>
      <w:r>
        <w:t xml:space="preserve"> ter</w:t>
      </w:r>
      <w:r w:rsidRPr="001A73DF">
        <w:t xml:space="preserve"> kontrolne monitoringe hrupa v okolju, v kolikor inšpektor podvomi v ustreznost rezultatov</w:t>
      </w:r>
      <w:r w:rsidR="00D95277">
        <w:t xml:space="preserve"> obratovalnega monitoringa.</w:t>
      </w:r>
    </w:p>
    <w:p w:rsidR="00AE2968" w:rsidRPr="001A73DF" w:rsidRDefault="00AE2968" w:rsidP="00D95277">
      <w:pPr>
        <w:spacing w:after="0" w:line="240" w:lineRule="auto"/>
      </w:pPr>
      <w:r>
        <w:t>V pripravi je i</w:t>
      </w:r>
      <w:r w:rsidRPr="001A73DF">
        <w:t>zdelava operativnih programov varstva pred hrupom</w:t>
      </w:r>
      <w:r>
        <w:t xml:space="preserve"> (OPH)</w:t>
      </w:r>
      <w:r w:rsidRPr="001A73DF">
        <w:t xml:space="preserve"> za pomembne ceste, pomembne železniške proge ter območji Mestne občine Maribor in Ljubljana. </w:t>
      </w:r>
      <w:r>
        <w:t>V teku je p</w:t>
      </w:r>
      <w:r w:rsidRPr="001A73DF">
        <w:t>regled poročil o obratovalnih monitoringih in strokovnih podlag za OPH posameznih upravljavcev</w:t>
      </w:r>
      <w:r>
        <w:t xml:space="preserve"> ter poteka </w:t>
      </w:r>
      <w:r w:rsidRPr="001A73DF">
        <w:t>usklajevanj</w:t>
      </w:r>
      <w:r>
        <w:t>e</w:t>
      </w:r>
      <w:r w:rsidRPr="001A73DF">
        <w:t xml:space="preserve"> vsebin OPH</w:t>
      </w:r>
      <w:r>
        <w:t>.</w:t>
      </w:r>
      <w:r w:rsidRPr="001A73DF">
        <w:t> </w:t>
      </w:r>
    </w:p>
    <w:p w:rsidR="00AE2968" w:rsidRDefault="00AE2968" w:rsidP="000B573A">
      <w:pPr>
        <w:spacing w:before="0" w:after="0" w:line="240" w:lineRule="auto"/>
        <w:jc w:val="left"/>
      </w:pPr>
    </w:p>
    <w:p w:rsidR="00406B73" w:rsidRPr="00733C08" w:rsidRDefault="00406B73" w:rsidP="00406B73">
      <w:pPr>
        <w:pStyle w:val="Naslov1"/>
        <w:rPr>
          <w:b/>
        </w:rPr>
      </w:pPr>
      <w:r>
        <w:rPr>
          <w:b/>
        </w:rPr>
        <w:lastRenderedPageBreak/>
        <w:t>Ukrepi za zagotavljanje biološke varnosti</w:t>
      </w:r>
    </w:p>
    <w:p w:rsidR="000B573A" w:rsidRDefault="000B573A" w:rsidP="000B573A">
      <w:pPr>
        <w:spacing w:before="0" w:after="0" w:line="240" w:lineRule="auto"/>
        <w:jc w:val="left"/>
      </w:pPr>
    </w:p>
    <w:p w:rsidR="00406B73" w:rsidRPr="005B5B4E" w:rsidRDefault="00406B73" w:rsidP="00406B73">
      <w:pPr>
        <w:spacing w:after="0" w:line="240" w:lineRule="auto"/>
      </w:pPr>
      <w:r w:rsidRPr="005B5B4E">
        <w:t>Biotehnologija v svetovnem merilu velja za eno od najbolj hitro razvijajočih se ved na področju znanosti o življenju. Hiter napredek na tem področju omogoča razvoj novih tehnik in dejavnosti skoraj v vsakem sektorju. Intenzivno vključevanje biotehnoloških procesov v preostale tehnologije v zadnjem obdobju pomeni še dodaten izziv, obenem pa naslavlja nove politične in zakonodajne tematike. V Sloveniji poteka največja aktivnost na področju sodobne biotehnologije v okviru raziskav v zaprtih sistemih ter v zanemarljivi meri tudi poskusnega sproščanja v okolje. Pogosto so aktivnosti usmerjene v področje medicine in zdravja človeka.</w:t>
      </w:r>
    </w:p>
    <w:p w:rsidR="00406B73" w:rsidRDefault="00406B73" w:rsidP="00406B73">
      <w:pPr>
        <w:spacing w:after="0" w:line="240" w:lineRule="auto"/>
      </w:pPr>
      <w:r>
        <w:t>V okviru tega poglavje je bil z</w:t>
      </w:r>
      <w:r w:rsidRPr="000D76AD">
        <w:t>aključen prenos Uredbe (EU) 2019/1381 o preglednosti in trajnosti ocenjevanja tveganja v prehranski verigi v EU</w:t>
      </w:r>
      <w:r w:rsidR="00D95277">
        <w:t>, poteka i</w:t>
      </w:r>
      <w:r w:rsidRPr="000D76AD">
        <w:t>zdaja potrdil</w:t>
      </w:r>
      <w:r w:rsidR="00D95277">
        <w:t xml:space="preserve"> in</w:t>
      </w:r>
      <w:r w:rsidRPr="000D76AD">
        <w:t xml:space="preserve"> dovoljenj za delo v zaprtih sistemih in sproščanju GSO v okolje</w:t>
      </w:r>
      <w:r>
        <w:t>.  Prav tako se i</w:t>
      </w:r>
      <w:r w:rsidRPr="000D76AD">
        <w:t>zvajanja kontroln</w:t>
      </w:r>
      <w:r>
        <w:t>e</w:t>
      </w:r>
      <w:r w:rsidRPr="000D76AD">
        <w:t xml:space="preserve"> ukrep</w:t>
      </w:r>
      <w:r>
        <w:t>e</w:t>
      </w:r>
      <w:r w:rsidRPr="000D76AD">
        <w:t xml:space="preserve"> in načrtn</w:t>
      </w:r>
      <w:r>
        <w:t>o</w:t>
      </w:r>
      <w:r w:rsidRPr="000D76AD">
        <w:t xml:space="preserve"> spremljanj</w:t>
      </w:r>
      <w:r>
        <w:t>e</w:t>
      </w:r>
      <w:r w:rsidRPr="000D76AD">
        <w:t xml:space="preserve"> (monitoringa) za zagotavljanje varne uporabe sodobne biotehnologije in njenih produktov</w:t>
      </w:r>
      <w:r w:rsidR="00D95277">
        <w:t>.</w:t>
      </w:r>
      <w:r>
        <w:t xml:space="preserve"> </w:t>
      </w:r>
    </w:p>
    <w:p w:rsidR="007B6579" w:rsidRDefault="007B6579" w:rsidP="00406B73">
      <w:pPr>
        <w:spacing w:after="0" w:line="240" w:lineRule="auto"/>
      </w:pPr>
    </w:p>
    <w:p w:rsidR="007B6579" w:rsidRDefault="007B6579" w:rsidP="007B6579">
      <w:pPr>
        <w:pStyle w:val="Naslov1"/>
        <w:rPr>
          <w:rFonts w:eastAsia="Times New Roman" w:cs="Times New Roman"/>
        </w:rPr>
      </w:pPr>
      <w:r>
        <w:rPr>
          <w:b/>
        </w:rPr>
        <w:t>U</w:t>
      </w:r>
      <w:r w:rsidRPr="005B5B4E">
        <w:rPr>
          <w:b/>
        </w:rPr>
        <w:t>krepi za obvladovanje obremenjevanje okolja z elektromagnetnim poljem</w:t>
      </w:r>
      <w:r w:rsidRPr="005B5B4E">
        <w:rPr>
          <w:rFonts w:eastAsia="Times New Roman" w:cs="Times New Roman"/>
        </w:rPr>
        <w:t xml:space="preserve"> </w:t>
      </w:r>
      <w:r>
        <w:rPr>
          <w:b/>
        </w:rPr>
        <w:t xml:space="preserve">ter </w:t>
      </w:r>
      <w:r w:rsidRPr="005B5B4E">
        <w:rPr>
          <w:b/>
        </w:rPr>
        <w:t xml:space="preserve">za obvladovanje </w:t>
      </w:r>
      <w:r>
        <w:rPr>
          <w:b/>
        </w:rPr>
        <w:t>s svetlobnim onesnaževanjem</w:t>
      </w:r>
    </w:p>
    <w:p w:rsidR="007B6579" w:rsidRPr="005B5B4E" w:rsidRDefault="007B6579" w:rsidP="00D21AA8">
      <w:pPr>
        <w:spacing w:after="0" w:line="240" w:lineRule="auto"/>
      </w:pPr>
      <w:r w:rsidRPr="005B5B4E">
        <w:t xml:space="preserve">. </w:t>
      </w:r>
      <w:r>
        <w:t>Izvajanje ukrepov za obvladovanje obremenjevanja okolja z magnetnim poljem (EMS) je predvideno v naslednjih letih, deloma tudi v povezavi z morebitno vzpostavitvijo EU zakonodaje na področju EMS. Aktivnosti na tem področju so bile predvsem v smislu preverjanja možnosti vzpostavitve</w:t>
      </w:r>
      <w:r w:rsidRPr="005B5B4E">
        <w:t xml:space="preserve"> registra virov EMS. </w:t>
      </w:r>
    </w:p>
    <w:p w:rsidR="00D95277" w:rsidRDefault="00D95277" w:rsidP="00D21AA8">
      <w:pPr>
        <w:spacing w:after="0" w:line="240" w:lineRule="auto"/>
      </w:pPr>
      <w:r>
        <w:t>Na področju  priprave novega predpisa glede svetlobnega onesnaževanja, so bili o</w:t>
      </w:r>
      <w:r w:rsidRPr="00E53129">
        <w:t>pravljeni</w:t>
      </w:r>
      <w:r w:rsidRPr="007B6579">
        <w:t xml:space="preserve"> trije</w:t>
      </w:r>
      <w:r>
        <w:t xml:space="preserve"> </w:t>
      </w:r>
      <w:r w:rsidRPr="00E53129">
        <w:t>sestanki delovne skupine za novelacijo predpisa za obravnavo svetlobnega onesnaževanja z uporabo fotometrične veličine namesto povprečne električne moči svetilk na enoto površine in uvedbo večstopenjskega sistema ukrepov za zmanjšanje svetlobnega onesnaženja</w:t>
      </w:r>
      <w:r w:rsidRPr="007B6579">
        <w:t xml:space="preserve"> </w:t>
      </w:r>
      <w:r w:rsidRPr="00E53129">
        <w:t xml:space="preserve">(januar, marec, junij). Zaradi epidemije COVID-19 so se </w:t>
      </w:r>
      <w:r w:rsidRPr="007B6579">
        <w:t>nadaljnje</w:t>
      </w:r>
      <w:r w:rsidRPr="00E53129">
        <w:t xml:space="preserve"> aktivnosti zaustavile.</w:t>
      </w:r>
    </w:p>
    <w:p w:rsidR="000B573A" w:rsidRDefault="000B573A" w:rsidP="000B573A">
      <w:pPr>
        <w:spacing w:before="0" w:after="0" w:line="240" w:lineRule="auto"/>
        <w:jc w:val="left"/>
      </w:pPr>
    </w:p>
    <w:p w:rsidR="00093D3A" w:rsidRPr="00733C08" w:rsidRDefault="00093D3A" w:rsidP="00093D3A">
      <w:pPr>
        <w:pStyle w:val="Naslov1"/>
        <w:rPr>
          <w:b/>
        </w:rPr>
      </w:pPr>
      <w:r>
        <w:rPr>
          <w:b/>
        </w:rPr>
        <w:t>Ukrepi na področju podnebnih sprememb</w:t>
      </w:r>
    </w:p>
    <w:p w:rsidR="00093D3A" w:rsidRDefault="00093D3A" w:rsidP="007B6579">
      <w:pPr>
        <w:spacing w:after="0" w:line="240" w:lineRule="auto"/>
      </w:pPr>
      <w:r>
        <w:t xml:space="preserve">Na področju </w:t>
      </w:r>
      <w:r w:rsidRPr="001F77B5">
        <w:t>zmanjšanje</w:t>
      </w:r>
      <w:r>
        <w:t xml:space="preserve"> prilagajanja podnebnim spremembam,</w:t>
      </w:r>
      <w:r w:rsidRPr="001F77B5">
        <w:t xml:space="preserve"> izpustov </w:t>
      </w:r>
      <w:r>
        <w:t>toplogrednih plinov (TPG)</w:t>
      </w:r>
      <w:r w:rsidRPr="001F77B5">
        <w:t>, učinkovit</w:t>
      </w:r>
      <w:r>
        <w:t>ega</w:t>
      </w:r>
      <w:r w:rsidRPr="001F77B5">
        <w:t xml:space="preserve"> ravnanje z viri ter preprečevanje odpadkov in učinkovito ravnanje z</w:t>
      </w:r>
      <w:r>
        <w:t xml:space="preserve"> njimi je potrebno v prvi vrsti izpostaviti pripravo in sprejetje </w:t>
      </w:r>
      <w:r w:rsidRPr="005C38D6">
        <w:t>Resolucij</w:t>
      </w:r>
      <w:r>
        <w:t>e</w:t>
      </w:r>
      <w:r w:rsidRPr="005C38D6">
        <w:t xml:space="preserve"> o Dolgoročni podnebni strategiji Slovenije do leta 2050 (Uradni list RS, št. </w:t>
      </w:r>
      <w:hyperlink r:id="rId9" w:tgtFrame="_blank" w:tooltip="Resolucija o Dolgoročni podnebni strategiji Slovenije do leta 2050 (ReDPS50)" w:history="1">
        <w:r w:rsidRPr="005C38D6">
          <w:t>119/21</w:t>
        </w:r>
      </w:hyperlink>
      <w:r w:rsidRPr="005C38D6">
        <w:t>)</w:t>
      </w:r>
      <w:r>
        <w:t>.</w:t>
      </w:r>
    </w:p>
    <w:p w:rsidR="00093D3A" w:rsidRPr="001F77B5" w:rsidRDefault="00093D3A" w:rsidP="007B6579">
      <w:pPr>
        <w:spacing w:after="0" w:line="240" w:lineRule="auto"/>
      </w:pPr>
      <w:r>
        <w:t>V okviru ukrepov za prilagajanje na podneben spremembe je bilo poskrbljeno za</w:t>
      </w:r>
      <w:r w:rsidR="00D95277">
        <w:t xml:space="preserve"> </w:t>
      </w:r>
      <w:r>
        <w:t xml:space="preserve">izboljšanje </w:t>
      </w:r>
      <w:r w:rsidRPr="001F77B5">
        <w:t xml:space="preserve"> zagotavljanj</w:t>
      </w:r>
      <w:r>
        <w:t>a</w:t>
      </w:r>
      <w:r w:rsidRPr="001F77B5">
        <w:t xml:space="preserve"> in posredovanj</w:t>
      </w:r>
      <w:r>
        <w:t>a</w:t>
      </w:r>
      <w:r w:rsidRPr="001F77B5">
        <w:t xml:space="preserve"> informacij o podnebnih razmerah in pričakovanih spremembah podnebja</w:t>
      </w:r>
      <w:r w:rsidR="00D95277">
        <w:t xml:space="preserve"> tako, da so bili</w:t>
      </w:r>
      <w:r>
        <w:t xml:space="preserve"> na </w:t>
      </w:r>
      <w:r w:rsidRPr="001F77B5">
        <w:t>portal Odprti podatki Slovenije</w:t>
      </w:r>
      <w:r>
        <w:t xml:space="preserve"> (</w:t>
      </w:r>
      <w:r w:rsidRPr="001F77B5">
        <w:t>OPSI</w:t>
      </w:r>
      <w:r>
        <w:t>)</w:t>
      </w:r>
      <w:r w:rsidRPr="001F77B5">
        <w:t xml:space="preserve"> prenesen</w:t>
      </w:r>
      <w:r w:rsidR="00D95277">
        <w:t>e</w:t>
      </w:r>
      <w:r w:rsidRPr="001F77B5">
        <w:t xml:space="preserve"> Projekcije podnebnih sprememb v ločljivosti 12 km- podatki na dnevni ravni in povzetki za 5 podnebnih spremenljivk in rezultati za 30-letna obdobja</w:t>
      </w:r>
      <w:r>
        <w:t>, v nadaljevanju so v pripravi</w:t>
      </w:r>
      <w:r w:rsidRPr="00F04E9C">
        <w:t xml:space="preserve"> </w:t>
      </w:r>
      <w:r w:rsidRPr="001F77B5">
        <w:t>v ločljivosti 1 km</w:t>
      </w:r>
      <w:r>
        <w:t xml:space="preserve">. </w:t>
      </w:r>
      <w:r w:rsidRPr="001F77B5">
        <w:t>Nadgra</w:t>
      </w:r>
      <w:r>
        <w:t>juje se</w:t>
      </w:r>
      <w:r w:rsidRPr="001F77B5">
        <w:t xml:space="preserve"> Atlas podnebnih sprememb z novimi vsebinami.</w:t>
      </w:r>
    </w:p>
    <w:p w:rsidR="00D95277" w:rsidRDefault="00093D3A" w:rsidP="007B6579">
      <w:pPr>
        <w:spacing w:after="0" w:line="240" w:lineRule="auto"/>
      </w:pPr>
      <w:r>
        <w:t>Za pripravo o</w:t>
      </w:r>
      <w:r w:rsidRPr="001F77B5">
        <w:t>cen</w:t>
      </w:r>
      <w:r>
        <w:t>e</w:t>
      </w:r>
      <w:r w:rsidRPr="001F77B5">
        <w:t xml:space="preserve"> ranljivosti po občinah</w:t>
      </w:r>
      <w:r>
        <w:t xml:space="preserve"> je v pripravi </w:t>
      </w:r>
      <w:r w:rsidRPr="001F77B5">
        <w:t>pooblastil</w:t>
      </w:r>
      <w:r>
        <w:t>o za</w:t>
      </w:r>
      <w:r w:rsidRPr="001F77B5">
        <w:t xml:space="preserve"> ARSO za pripravo podatkov</w:t>
      </w:r>
      <w:r>
        <w:t xml:space="preserve"> in</w:t>
      </w:r>
      <w:r w:rsidRPr="00F04E9C">
        <w:t xml:space="preserve"> </w:t>
      </w:r>
      <w:r w:rsidRPr="001F77B5">
        <w:t>kazalc</w:t>
      </w:r>
      <w:r>
        <w:t>ev</w:t>
      </w:r>
      <w:r w:rsidRPr="001F77B5">
        <w:t xml:space="preserve"> ranljivosti občin</w:t>
      </w:r>
      <w:r>
        <w:t>. Za o</w:t>
      </w:r>
      <w:r w:rsidRPr="001F77B5">
        <w:t>cen</w:t>
      </w:r>
      <w:r>
        <w:t>o</w:t>
      </w:r>
      <w:r w:rsidRPr="001F77B5">
        <w:t xml:space="preserve"> ranljivosti po sektorjih</w:t>
      </w:r>
      <w:r w:rsidR="00D95277">
        <w:t xml:space="preserve"> </w:t>
      </w:r>
      <w:r>
        <w:t xml:space="preserve">je </w:t>
      </w:r>
      <w:r w:rsidRPr="001F77B5">
        <w:t>pripravljen in usklajevan osnutek prijavnice LIFE projekta, ki bi omogočal izdelavo ocen ranljivosti za najbolj ranljive sektorje</w:t>
      </w:r>
      <w:r>
        <w:t xml:space="preserve">, v usklajevanju je tudi </w:t>
      </w:r>
      <w:r w:rsidRPr="001F77B5">
        <w:t xml:space="preserve"> priprava ocene ranljivosti za sektor zdravja, gozdarstva, kmetijstva, smučarski turizem, velike požare v naravi</w:t>
      </w:r>
      <w:r w:rsidR="00D95277">
        <w:t xml:space="preserve"> in </w:t>
      </w:r>
      <w:r w:rsidRPr="001F77B5">
        <w:t>za obalo</w:t>
      </w:r>
      <w:r>
        <w:t>.</w:t>
      </w:r>
    </w:p>
    <w:p w:rsidR="00093D3A" w:rsidRDefault="00093D3A" w:rsidP="007B6579">
      <w:pPr>
        <w:spacing w:after="0" w:line="240" w:lineRule="auto"/>
      </w:pPr>
      <w:r>
        <w:lastRenderedPageBreak/>
        <w:t xml:space="preserve">V okviru ukrepa priprave </w:t>
      </w:r>
      <w:r w:rsidRPr="001F77B5">
        <w:t>Smernic za presojo vplivov podnebnih sprememb v upravnih postopkih</w:t>
      </w:r>
      <w:r>
        <w:t xml:space="preserve">, so </w:t>
      </w:r>
      <w:r w:rsidR="002F0670" w:rsidRPr="001F77B5">
        <w:t>v okviru projekta NVO</w:t>
      </w:r>
      <w:r w:rsidR="002F0670">
        <w:t xml:space="preserve">, </w:t>
      </w:r>
      <w:r>
        <w:t>v pripravi</w:t>
      </w:r>
      <w:r w:rsidRPr="001F77B5">
        <w:t xml:space="preserve"> </w:t>
      </w:r>
      <w:r>
        <w:t xml:space="preserve">predlogi za </w:t>
      </w:r>
      <w:r w:rsidRPr="001F77B5">
        <w:t>smernic</w:t>
      </w:r>
      <w:r>
        <w:t>e</w:t>
      </w:r>
      <w:r w:rsidRPr="001F77B5">
        <w:t xml:space="preserve"> za CPVO, </w:t>
      </w:r>
      <w:r>
        <w:t xml:space="preserve">sodelovanje </w:t>
      </w:r>
      <w:r w:rsidR="002F0670">
        <w:t xml:space="preserve">je vzpostavljeno </w:t>
      </w:r>
      <w:r>
        <w:t>preko</w:t>
      </w:r>
      <w:r w:rsidRPr="001F77B5">
        <w:t xml:space="preserve"> usmerjevalne</w:t>
      </w:r>
      <w:r>
        <w:t>ga</w:t>
      </w:r>
      <w:r w:rsidRPr="001F77B5">
        <w:t xml:space="preserve"> odbor</w:t>
      </w:r>
      <w:r>
        <w:t xml:space="preserve">a, predlogi za </w:t>
      </w:r>
      <w:r w:rsidRPr="001F77B5">
        <w:t>smernic</w:t>
      </w:r>
      <w:r>
        <w:t>e</w:t>
      </w:r>
      <w:r w:rsidRPr="001F77B5">
        <w:t xml:space="preserve"> za PVO </w:t>
      </w:r>
      <w:r>
        <w:t xml:space="preserve">pa so bile že pripravljene </w:t>
      </w:r>
      <w:r w:rsidRPr="001F77B5">
        <w:t xml:space="preserve">v okviru projekta NVO, rezultati objavljeni na </w:t>
      </w:r>
      <w:hyperlink r:id="rId10" w:history="1">
        <w:r w:rsidRPr="001F77B5">
          <w:rPr>
            <w:rStyle w:val="Hiperpovezava"/>
          </w:rPr>
          <w:t>http://zagovorniki-okolja.si/za-podnebje/</w:t>
        </w:r>
      </w:hyperlink>
      <w:r>
        <w:t>. Pripravljene Smernice bo treba</w:t>
      </w:r>
      <w:r w:rsidRPr="001F77B5">
        <w:t xml:space="preserve"> preuči in odločitev, v kolikšni meri so lahko uporabljene kot podlaga za upoštevanje pri pripravi analize podnebnih dejavnikov v poročilih PVO in CPVO.</w:t>
      </w:r>
    </w:p>
    <w:p w:rsidR="00093D3A" w:rsidRPr="005C38D6" w:rsidRDefault="00093D3A" w:rsidP="007B6579">
      <w:pPr>
        <w:spacing w:after="0" w:line="240" w:lineRule="auto"/>
      </w:pPr>
      <w:r>
        <w:t xml:space="preserve">Za podporo ukrepu </w:t>
      </w:r>
      <w:r w:rsidRPr="005C38D6">
        <w:t xml:space="preserve">Učinkovito ravnanje z viri in emisijska produktivnost v podjetjih </w:t>
      </w:r>
      <w:r>
        <w:t>je bila zagotovljena p</w:t>
      </w:r>
      <w:r w:rsidRPr="005C38D6">
        <w:t>odpora investicijam v nizkoogljične in krožne procese, tehnologije, izdelke, storitve, ki se s prihranki (energija, materiali …) v določenem času povrnejo in prinašajo dobiček, zagotavljajo konkurenčnost v evropskem oziroma svetovnem merilu, ob tem pa koristijo tudi zdravju ljudi in naravnemu okolju. Pripravljena je bila analiza ukrepov za zmanjšanje nacionalnega ekološkega odtisa do 2030 ter vzpostavljena metodologija za izračun ekološkega odtisa statističnih regij po metodi od zgoraj navzdol. Pripravljena je tudi publikacija o nacionalnem ekološkem odtisu ter brošura in video o pomenu regionalnega ekološkega odtisa.</w:t>
      </w:r>
      <w:r w:rsidRPr="00C10185">
        <w:t xml:space="preserve"> </w:t>
      </w:r>
      <w:r w:rsidRPr="005C38D6">
        <w:t>Okoljska zasnova in tehnologije se spodbujajo s sredstvi SI proračuna in EU skladi.</w:t>
      </w:r>
    </w:p>
    <w:p w:rsidR="00093D3A" w:rsidRPr="005C38D6" w:rsidRDefault="00093D3A" w:rsidP="007B6579">
      <w:pPr>
        <w:spacing w:after="0" w:line="240" w:lineRule="auto"/>
      </w:pPr>
      <w:r w:rsidRPr="005C38D6">
        <w:t> </w:t>
      </w:r>
      <w:r>
        <w:t xml:space="preserve">Za namene uvedbe okolijskih </w:t>
      </w:r>
      <w:r w:rsidRPr="005C38D6">
        <w:t>inštrument</w:t>
      </w:r>
      <w:r>
        <w:t>ov se pripravlja a</w:t>
      </w:r>
      <w:r w:rsidRPr="005C38D6">
        <w:t>naliza učinkovitosti sheme</w:t>
      </w:r>
      <w:r>
        <w:t xml:space="preserve"> </w:t>
      </w:r>
      <w:r w:rsidRPr="005C38D6">
        <w:t xml:space="preserve">shem okoljskega vodenja organizacij </w:t>
      </w:r>
      <w:r>
        <w:t>(</w:t>
      </w:r>
      <w:r w:rsidRPr="00C10185">
        <w:t>The EU Eco-Management and Audit Scheme</w:t>
      </w:r>
      <w:r>
        <w:t xml:space="preserve">) – </w:t>
      </w:r>
      <w:r w:rsidRPr="005C38D6">
        <w:t>EMAS</w:t>
      </w:r>
      <w:r>
        <w:t>. Deloma je</w:t>
      </w:r>
      <w:r w:rsidRPr="005C38D6">
        <w:t xml:space="preserve"> bila pripravljena v okviru </w:t>
      </w:r>
      <w:r w:rsidR="002F0670">
        <w:t>LIFE</w:t>
      </w:r>
      <w:r w:rsidRPr="005C38D6">
        <w:t xml:space="preserve"> projekta Braver. </w:t>
      </w:r>
      <w:r w:rsidR="002F0670">
        <w:t>Analiza je p</w:t>
      </w:r>
      <w:r w:rsidRPr="005C38D6">
        <w:t>okazala možnosti za izboljšanje</w:t>
      </w:r>
      <w:r w:rsidR="002F0670">
        <w:t xml:space="preserve"> </w:t>
      </w:r>
      <w:r w:rsidRPr="005C38D6">
        <w:t>predvsem pri zmanjšanju administrativnih ovir in spodbujanju organizacij za vključitev v sistem EMAS. Nekateri predlogi  za zmanjšanje  administrativnih ovir so bili izvedeni (vključitev vrednotenja nosilcev EMAS v primere za zeleno javno naročanje). Novembra 2019 je bila izvedena Delavnica EMAS o poti v krožno gospodarstvo in spodbujanju uvajanja EMAS v Sloveniji.</w:t>
      </w:r>
    </w:p>
    <w:p w:rsidR="00093D3A" w:rsidRPr="005C38D6" w:rsidRDefault="00093D3A" w:rsidP="007B6579">
      <w:pPr>
        <w:spacing w:after="0" w:line="240" w:lineRule="auto"/>
      </w:pPr>
      <w:r w:rsidRPr="005C38D6">
        <w:t xml:space="preserve">Zelena javna naročila </w:t>
      </w:r>
      <w:r>
        <w:t xml:space="preserve">so del vsebin </w:t>
      </w:r>
      <w:r w:rsidR="002F0670">
        <w:t>LIFE</w:t>
      </w:r>
      <w:r w:rsidRPr="005C38D6">
        <w:t xml:space="preserve"> IP Care4Climate</w:t>
      </w:r>
      <w:r>
        <w:t xml:space="preserve">. </w:t>
      </w:r>
      <w:r w:rsidRPr="005C38D6">
        <w:t xml:space="preserve">Redno </w:t>
      </w:r>
      <w:r>
        <w:t xml:space="preserve">se </w:t>
      </w:r>
      <w:r w:rsidRPr="005C38D6">
        <w:t xml:space="preserve">posodabljajo </w:t>
      </w:r>
      <w:r>
        <w:t xml:space="preserve">primeri in sicer v  </w:t>
      </w:r>
      <w:r w:rsidRPr="005C38D6">
        <w:t>skladu z razvojem tehnologije, trga in znanja</w:t>
      </w:r>
      <w:r>
        <w:t xml:space="preserve"> ter</w:t>
      </w:r>
      <w:r w:rsidRPr="005C38D6">
        <w:t xml:space="preserve"> obstoječih ciljev, zahtev in meril</w:t>
      </w:r>
      <w:r>
        <w:t xml:space="preserve">. </w:t>
      </w:r>
      <w:r w:rsidRPr="005C38D6">
        <w:t>Primeri so objavljeni na spletni strani MJU.</w:t>
      </w:r>
      <w:r>
        <w:t xml:space="preserve"> </w:t>
      </w:r>
      <w:r w:rsidRPr="005C38D6">
        <w:t>Izvajanj</w:t>
      </w:r>
      <w:r>
        <w:t>a se</w:t>
      </w:r>
      <w:r w:rsidRPr="005C38D6">
        <w:t xml:space="preserve"> izobraževanj za naročnike in ponudnike, zagotavlja</w:t>
      </w:r>
      <w:r>
        <w:t xml:space="preserve"> se</w:t>
      </w:r>
      <w:r w:rsidRPr="005C38D6">
        <w:t xml:space="preserve"> staln</w:t>
      </w:r>
      <w:r>
        <w:t>a</w:t>
      </w:r>
      <w:r w:rsidRPr="005C38D6">
        <w:t xml:space="preserve"> pomoč z usposobljeno pisarno »help-desk« z mrežo strokovnjakov.</w:t>
      </w:r>
      <w:r>
        <w:t xml:space="preserve"> </w:t>
      </w:r>
      <w:r w:rsidRPr="005C38D6">
        <w:t xml:space="preserve">Izobraževanja naročnikov in ponudnikov redno potekajo od jeseni 2020, predvsem v okviru projekta </w:t>
      </w:r>
      <w:r w:rsidR="002F0670">
        <w:t>LIFE</w:t>
      </w:r>
      <w:r w:rsidRPr="005C38D6">
        <w:t xml:space="preserve"> IP Care4Climate. Strokovnjaki so dodatno usposobljeni.</w:t>
      </w:r>
      <w:r>
        <w:t xml:space="preserve"> </w:t>
      </w:r>
      <w:r w:rsidRPr="005C38D6">
        <w:t xml:space="preserve">V okviru </w:t>
      </w:r>
      <w:r w:rsidR="002F0670">
        <w:t>LIFE</w:t>
      </w:r>
      <w:r w:rsidRPr="005C38D6">
        <w:t xml:space="preserve"> IP care4Climate so bile pripravljene smernice za partnerje in druge organizacije</w:t>
      </w:r>
      <w:r>
        <w:t xml:space="preserve"> ter</w:t>
      </w:r>
      <w:r w:rsidRPr="005C38D6">
        <w:t xml:space="preserve"> za prebivalce za ravnanje v vsakdanjem življenju, tudi z napotili za trajnostno potrošnjo in prepoznavo »zelenega zavajanja« (angl. »green washing«) ter informacijami o okoljskem označevanju.</w:t>
      </w:r>
    </w:p>
    <w:p w:rsidR="00093D3A" w:rsidRPr="00C41297" w:rsidRDefault="00093D3A" w:rsidP="007B6579">
      <w:pPr>
        <w:spacing w:after="0" w:line="240" w:lineRule="auto"/>
      </w:pPr>
      <w:r w:rsidRPr="00C41297">
        <w:t xml:space="preserve">Intenzivirano je bilo delo na področju mednarodnih podnebnih pogajanj </w:t>
      </w:r>
      <w:r>
        <w:t xml:space="preserve"> - okrepljeno je bilo vsebinsko in organizacijsko sodelovanje ter priprave za kakovosti</w:t>
      </w:r>
      <w:r w:rsidRPr="00C41297">
        <w:t xml:space="preserve"> vodenje delovne skupine Sveta EU za mednarodna okoljska vprašanja – podnebne spremembe (WPIEI-CC)</w:t>
      </w:r>
      <w:r>
        <w:t xml:space="preserve"> z vsemi delovnimi podskupinami. V okviru tega dela je bil poleg voden</w:t>
      </w:r>
      <w:r w:rsidR="002F0670">
        <w:t xml:space="preserve">ja </w:t>
      </w:r>
      <w:r>
        <w:t>delovane skupine in podskupin</w:t>
      </w:r>
      <w:r w:rsidR="002F0670">
        <w:t xml:space="preserve"> ter udeležbe na UNFCCC sestankih</w:t>
      </w:r>
      <w:r>
        <w:t xml:space="preserve">, izpeljana </w:t>
      </w:r>
      <w:r w:rsidRPr="00C41297">
        <w:t>neformaln</w:t>
      </w:r>
      <w:r>
        <w:t>a</w:t>
      </w:r>
      <w:r w:rsidRPr="00C41297">
        <w:t xml:space="preserve"> EU </w:t>
      </w:r>
      <w:r>
        <w:t>delavnica</w:t>
      </w:r>
      <w:r w:rsidRPr="00C41297">
        <w:t xml:space="preserve"> o podnebnih spremembah</w:t>
      </w:r>
      <w:r>
        <w:t xml:space="preserve">, pripravljene in zastopane vsebine podnebja na </w:t>
      </w:r>
      <w:r w:rsidRPr="00C41297">
        <w:t>neformalne</w:t>
      </w:r>
      <w:r>
        <w:t>m</w:t>
      </w:r>
      <w:r w:rsidRPr="00C41297">
        <w:t xml:space="preserve"> Svet</w:t>
      </w:r>
      <w:r>
        <w:t>u</w:t>
      </w:r>
      <w:r w:rsidRPr="00C41297">
        <w:t xml:space="preserve"> ministrov </w:t>
      </w:r>
      <w:r>
        <w:t>za okolje kot tudi na posvetovanjih ministrov v okviru priprav na COP 26 v Glasgowu. Osrednja naloga pa je priprava</w:t>
      </w:r>
      <w:r w:rsidRPr="00C41297">
        <w:t xml:space="preserve"> sklep</w:t>
      </w:r>
      <w:r>
        <w:t>ov</w:t>
      </w:r>
      <w:r w:rsidRPr="00C41297">
        <w:t xml:space="preserve"> Sveta</w:t>
      </w:r>
      <w:r>
        <w:t xml:space="preserve"> za </w:t>
      </w:r>
      <w:r w:rsidRPr="00C41297">
        <w:t>mandat EU za COP26</w:t>
      </w:r>
      <w:r>
        <w:t xml:space="preserve"> ter </w:t>
      </w:r>
      <w:r w:rsidRPr="00C41297">
        <w:t xml:space="preserve">vodenje EU delegacije na COP26. </w:t>
      </w:r>
    </w:p>
    <w:p w:rsidR="00093D3A" w:rsidRPr="00B80D47" w:rsidRDefault="00093D3A" w:rsidP="00093D3A">
      <w:pPr>
        <w:spacing w:after="0" w:line="240" w:lineRule="auto"/>
        <w:jc w:val="left"/>
        <w:rPr>
          <w:b/>
          <w:bCs/>
        </w:rPr>
      </w:pPr>
    </w:p>
    <w:p w:rsidR="00093D3A" w:rsidRPr="00733C08" w:rsidRDefault="00093D3A" w:rsidP="00093D3A">
      <w:pPr>
        <w:pStyle w:val="Naslov1"/>
        <w:rPr>
          <w:b/>
        </w:rPr>
      </w:pPr>
      <w:r>
        <w:rPr>
          <w:b/>
        </w:rPr>
        <w:t>Ukrepi na področju odpadkov</w:t>
      </w:r>
      <w:r w:rsidR="00D93C0B">
        <w:rPr>
          <w:b/>
        </w:rPr>
        <w:t xml:space="preserve"> in sanacije v preteklosti prekomerno onesnaženih območij</w:t>
      </w:r>
    </w:p>
    <w:p w:rsidR="00093D3A" w:rsidRDefault="001B5361" w:rsidP="001B5361">
      <w:pPr>
        <w:pStyle w:val="Naslov2"/>
        <w:rPr>
          <w:rFonts w:eastAsia="Times New Roman" w:cs="Times New Roman"/>
        </w:rPr>
      </w:pPr>
      <w:r>
        <w:t>Odpadki</w:t>
      </w:r>
    </w:p>
    <w:p w:rsidR="00093D3A" w:rsidRPr="005C38D6" w:rsidRDefault="00093D3A" w:rsidP="00093D3A">
      <w:pPr>
        <w:spacing w:after="0" w:line="240" w:lineRule="auto"/>
      </w:pPr>
      <w:r>
        <w:t>V okviru pregleda</w:t>
      </w:r>
      <w:r w:rsidRPr="005C38D6">
        <w:t xml:space="preserve"> odpadkov v Sloveniji, ki so lahko vir</w:t>
      </w:r>
      <w:r>
        <w:t xml:space="preserve"> so bile narejene </w:t>
      </w:r>
      <w:r w:rsidRPr="005C38D6">
        <w:t xml:space="preserve"> strokovne podlage za kriterije za prenehanje statusa odpadka za gradbene odpadke in druge primerne inertne/nenevarne odpadke</w:t>
      </w:r>
      <w:r>
        <w:t>.</w:t>
      </w:r>
    </w:p>
    <w:p w:rsidR="00412632" w:rsidRDefault="00412632" w:rsidP="00412632">
      <w:pPr>
        <w:spacing w:after="0" w:line="240" w:lineRule="auto"/>
      </w:pPr>
      <w:bookmarkStart w:id="1" w:name="_Hlk80711140"/>
      <w:r w:rsidRPr="00412632">
        <w:lastRenderedPageBreak/>
        <w:t xml:space="preserve">V okviru </w:t>
      </w:r>
      <w:r>
        <w:t>p</w:t>
      </w:r>
      <w:r w:rsidRPr="00412632">
        <w:t xml:space="preserve">reprečevanja odpadne hrane </w:t>
      </w:r>
      <w:r>
        <w:t xml:space="preserve">je bila med nalogami </w:t>
      </w:r>
      <w:r w:rsidRPr="00412632">
        <w:t xml:space="preserve">projekta LIFE IP </w:t>
      </w:r>
      <w:r w:rsidR="002F0670" w:rsidRPr="005C38D6">
        <w:t xml:space="preserve">care4Climate </w:t>
      </w:r>
      <w:r w:rsidRPr="00412632">
        <w:t>objav</w:t>
      </w:r>
      <w:r>
        <w:t>ljena</w:t>
      </w:r>
      <w:r w:rsidRPr="00412632">
        <w:t xml:space="preserve"> metodologijo sortirne analize bioloških odpadkov s poudarkom na določanju količine odpadne hrane ter med marcem in julijem 2021 prvič izvede</w:t>
      </w:r>
      <w:r>
        <w:t xml:space="preserve">na </w:t>
      </w:r>
      <w:r w:rsidRPr="00412632">
        <w:t>takšn</w:t>
      </w:r>
      <w:r>
        <w:t>a</w:t>
      </w:r>
      <w:r w:rsidRPr="00412632">
        <w:t xml:space="preserve"> analiz</w:t>
      </w:r>
      <w:r>
        <w:t>a</w:t>
      </w:r>
      <w:r w:rsidRPr="00412632">
        <w:t xml:space="preserve"> v Sloveniji in med prvimi v Evropi. Drugi del analize bo izveden med novembrom 2021 in marcem 2022. Trenutno je v razvoju aplikacija za merjenje količin odpadne hrane v gospodinjstvih s pomočjo  kuhinjskega dnevnika. </w:t>
      </w:r>
      <w:r>
        <w:t xml:space="preserve">Pripravlja se tudi </w:t>
      </w:r>
      <w:r w:rsidRPr="00412632">
        <w:t>vseslovensko akcijo izpolnjevanja</w:t>
      </w:r>
      <w:r>
        <w:t xml:space="preserve"> kuhinjskih dnevnikov.</w:t>
      </w:r>
    </w:p>
    <w:p w:rsidR="00412632" w:rsidRDefault="00412632" w:rsidP="00412632">
      <w:pPr>
        <w:spacing w:after="0" w:line="240" w:lineRule="auto"/>
      </w:pPr>
      <w:r>
        <w:t>Hkrati potekajo tudi</w:t>
      </w:r>
      <w:r w:rsidRPr="00412632">
        <w:t xml:space="preserve"> ozaveščevalne kampanje o preprečevanju in zmanjševanju količin odpadne hrane v gospodinjstvih z enotnim sloganom "Stran pa ne bomo metal!". Kampanje se v največjem obsegu osredotočajo na gospodinjstva oz. potrošnike kot največje povzročitelje odpadne hrane. Poleg izpostavitve problema povzročanja odpadne hrane kot moralno spornega, tematiko odpadne hrane povezujemo s povzročanjem podnebnih sprememb in nesmotrno porabo naravnih virov.</w:t>
      </w:r>
      <w:r>
        <w:t xml:space="preserve"> </w:t>
      </w:r>
      <w:r w:rsidRPr="00412632">
        <w:t>V okviru projekta je vzpostavljeno sodelovanje v iniciativi Evropske Komisije (Platforma za izgube hrane in odpadno hrano) ter vzpostavljeno sodelovanje z Ministrstvom za kmetijstvo, gozdarstvo in prehrano ter drugimi deležniki prehranske verige</w:t>
      </w:r>
      <w:r>
        <w:t xml:space="preserve"> </w:t>
      </w:r>
    </w:p>
    <w:p w:rsidR="00093D3A" w:rsidRPr="00BF6523" w:rsidRDefault="00093D3A" w:rsidP="00412632">
      <w:pPr>
        <w:spacing w:after="0" w:line="240" w:lineRule="auto"/>
      </w:pPr>
      <w:r w:rsidRPr="005C38D6">
        <w:t> </w:t>
      </w:r>
      <w:bookmarkEnd w:id="1"/>
      <w:r>
        <w:t xml:space="preserve">V okviru ukrepa </w:t>
      </w:r>
      <w:r w:rsidRPr="005C38D6">
        <w:t>Preprečevanje in prepoved uporabe določenih plastičnih izdelkov</w:t>
      </w:r>
      <w:r>
        <w:t xml:space="preserve"> je bila sprejeta  Uredba </w:t>
      </w:r>
      <w:r w:rsidRPr="00BF6523">
        <w:t>o prepovedi dajanja nekaterih plastičnih proizvodov za enkratno uporabo na trg v Republiki Sloveniji in o označevanju nekaterih plastičnih proizvodov (Uradni list  131/ 2021)</w:t>
      </w:r>
      <w:r>
        <w:t>.</w:t>
      </w:r>
    </w:p>
    <w:p w:rsidR="00093D3A" w:rsidRPr="005C38D6" w:rsidRDefault="00093D3A" w:rsidP="00093D3A">
      <w:pPr>
        <w:spacing w:after="0" w:line="240" w:lineRule="auto"/>
      </w:pPr>
      <w:r>
        <w:t xml:space="preserve">V okviru ukrepa </w:t>
      </w:r>
      <w:r w:rsidRPr="005C38D6">
        <w:t>Izdelava scenarija za ravnanje z nevarnimi odpadki ob izrednih dogodkih</w:t>
      </w:r>
      <w:r>
        <w:t xml:space="preserve"> so bila izvedena dogovarjanja gleda ukrepanja pri večjih </w:t>
      </w:r>
      <w:r w:rsidRPr="005C38D6">
        <w:t xml:space="preserve"> nesrečah na morju (predvsem večje količine izlitja naftnih derivatov) so potekala dogovarjanja z MZI, Upravo za pomorstvo, Upravo RS  za zaščito in reševanje, DRSV, kako izdelati scenarij odstranitve odpadkov, ki nastanejo ob večji nesreči. </w:t>
      </w:r>
    </w:p>
    <w:p w:rsidR="00093D3A" w:rsidRDefault="00093D3A" w:rsidP="00093D3A">
      <w:pPr>
        <w:spacing w:after="0" w:line="240" w:lineRule="auto"/>
      </w:pPr>
      <w:r>
        <w:t xml:space="preserve">Pristopilo se je tudi k </w:t>
      </w:r>
      <w:r w:rsidRPr="005C38D6">
        <w:t>Izboljšanje vodenja evidenc, poročil, sledenja in analiziranja podatkov o ravnanju z odpadki z nadgradnjo evidenc iz registra varstva okolja in informacijskega sistema o odpadkih.</w:t>
      </w:r>
      <w:r>
        <w:t xml:space="preserve"> </w:t>
      </w:r>
      <w:r w:rsidRPr="005C38D6">
        <w:t>Ustanovljena je bila delovna skupina za izboljšanje</w:t>
      </w:r>
      <w:r>
        <w:t xml:space="preserve"> informacijskega </w:t>
      </w:r>
      <w:r w:rsidRPr="005C38D6">
        <w:t xml:space="preserve">sistema </w:t>
      </w:r>
      <w:r>
        <w:t>za</w:t>
      </w:r>
      <w:r w:rsidRPr="005C38D6">
        <w:t xml:space="preserve"> odpadk</w:t>
      </w:r>
      <w:r>
        <w:t>e</w:t>
      </w:r>
      <w:r w:rsidRPr="005C38D6">
        <w:t xml:space="preserve">. </w:t>
      </w:r>
    </w:p>
    <w:p w:rsidR="00093D3A" w:rsidRPr="005C38D6" w:rsidRDefault="00093D3A" w:rsidP="00412632">
      <w:pPr>
        <w:spacing w:after="0" w:line="240" w:lineRule="auto"/>
      </w:pPr>
      <w:r>
        <w:t>V okviru priprave novega Zakona o varstvu okolja poteka tudi debata ter se pripravljajo rešitve  glede s</w:t>
      </w:r>
      <w:r w:rsidRPr="005C38D6">
        <w:t>istemsk</w:t>
      </w:r>
      <w:r>
        <w:t>e</w:t>
      </w:r>
      <w:r w:rsidRPr="005C38D6">
        <w:t xml:space="preserve"> ureditv</w:t>
      </w:r>
      <w:r>
        <w:t>e</w:t>
      </w:r>
      <w:r w:rsidRPr="005C38D6">
        <w:t xml:space="preserve"> izvajanja obveznih državnih in občinskih gospodarskih javnih služb varstva okolja s področja ravnanja z odpadki</w:t>
      </w:r>
      <w:r>
        <w:t>, n</w:t>
      </w:r>
      <w:r w:rsidRPr="005C38D6">
        <w:t>oveliranj</w:t>
      </w:r>
      <w:r>
        <w:t>a</w:t>
      </w:r>
      <w:r w:rsidRPr="005C38D6">
        <w:t xml:space="preserve"> in učinkovitejše</w:t>
      </w:r>
      <w:r>
        <w:t>ga</w:t>
      </w:r>
      <w:r w:rsidRPr="005C38D6">
        <w:t xml:space="preserve"> izvajanje načela razširjene odgovornosti proizvajalcev ter obveznosti posameznih deležnikov, ki iz tega izhajajo,</w:t>
      </w:r>
      <w:r>
        <w:t xml:space="preserve"> n</w:t>
      </w:r>
      <w:r w:rsidRPr="005C38D6">
        <w:t>oveliranje ureditve prihodkov in stroškov nosilcev skupnih sistemov, tudi obveznost enotnih in javno objavljenih cenikov storitev za vse udeležence posameznega skupnega sistema, poročanje pristojnim organom ter nadzor verodostojnosti njihovega izkazovanja</w:t>
      </w:r>
      <w:r>
        <w:t>; n</w:t>
      </w:r>
      <w:r w:rsidRPr="005C38D6">
        <w:t>oveliranje pogojev za vzpostavitev nosilcev skupnih sistemov, ureditev obsega njihovega poslovanja ter lastniške povezave s podjetji, ki se ukvarjajo z zbiranjem in obdelavo odpadkov</w:t>
      </w:r>
      <w:r>
        <w:t>. V istem okviru poteka p</w:t>
      </w:r>
      <w:r w:rsidRPr="005C38D6">
        <w:t>renova sistema okol</w:t>
      </w:r>
      <w:r>
        <w:t>j</w:t>
      </w:r>
      <w:r w:rsidRPr="005C38D6">
        <w:t>skih dajatev do polne uveljavitve načela »povzročitelj plača« in ureditev  njihove ustrezne višine.</w:t>
      </w:r>
    </w:p>
    <w:p w:rsidR="000B573A" w:rsidRDefault="000B573A" w:rsidP="000B573A">
      <w:pPr>
        <w:spacing w:before="0" w:after="0" w:line="240" w:lineRule="auto"/>
        <w:jc w:val="left"/>
      </w:pPr>
    </w:p>
    <w:p w:rsidR="001B5361" w:rsidRDefault="001B5361" w:rsidP="001B5361">
      <w:pPr>
        <w:pStyle w:val="Naslov2"/>
      </w:pPr>
      <w:r>
        <w:t>Č</w:t>
      </w:r>
      <w:r w:rsidRPr="00F172F4">
        <w:t>ezmerno onesnažen</w:t>
      </w:r>
      <w:r>
        <w:t>a</w:t>
      </w:r>
      <w:r w:rsidRPr="00F172F4">
        <w:t xml:space="preserve"> območj</w:t>
      </w:r>
      <w:r>
        <w:t>a</w:t>
      </w:r>
    </w:p>
    <w:p w:rsidR="00D93C0B" w:rsidRPr="001B5361" w:rsidRDefault="00D93C0B" w:rsidP="00F1075F">
      <w:pPr>
        <w:spacing w:after="0" w:line="240" w:lineRule="auto"/>
      </w:pPr>
      <w:r w:rsidRPr="001B5361">
        <w:t xml:space="preserve">Izdelana je tudi </w:t>
      </w:r>
      <w:r w:rsidRPr="00F172F4">
        <w:t>aplikacij</w:t>
      </w:r>
      <w:r w:rsidRPr="001B5361">
        <w:t>a za e</w:t>
      </w:r>
      <w:r w:rsidRPr="00F172F4">
        <w:t>videntiranje</w:t>
      </w:r>
      <w:r w:rsidRPr="001B5361">
        <w:t>, v</w:t>
      </w:r>
      <w:r w:rsidRPr="00F172F4">
        <w:t xml:space="preserve"> aplikaciji je vnesenih cca 700 lokacij</w:t>
      </w:r>
      <w:r w:rsidRPr="001B5361">
        <w:t xml:space="preserve">, v pripravi sta tudi </w:t>
      </w:r>
      <w:r w:rsidRPr="00F172F4">
        <w:t>metodologij</w:t>
      </w:r>
      <w:r w:rsidRPr="001B5361">
        <w:t>a</w:t>
      </w:r>
      <w:r w:rsidRPr="00F172F4">
        <w:t xml:space="preserve"> za določitev vrstnega reda sanacije območij</w:t>
      </w:r>
      <w:r w:rsidRPr="001B5361">
        <w:t xml:space="preserve">, </w:t>
      </w:r>
      <w:r w:rsidRPr="00F172F4">
        <w:t>program</w:t>
      </w:r>
      <w:r w:rsidRPr="001B5361">
        <w:t>a</w:t>
      </w:r>
      <w:r w:rsidRPr="00F172F4">
        <w:t xml:space="preserve"> sanacije onesnaženih območij</w:t>
      </w:r>
      <w:r w:rsidRPr="001B5361">
        <w:t xml:space="preserve"> ter  izhodišča za pri</w:t>
      </w:r>
      <w:r w:rsidRPr="00F172F4">
        <w:t>prav letnih programov sanacije, izdelava sanacijskih projektov in njihova izvedba.</w:t>
      </w:r>
      <w:r w:rsidR="001B5361">
        <w:t xml:space="preserve"> </w:t>
      </w:r>
    </w:p>
    <w:p w:rsidR="000B573A" w:rsidRDefault="000B573A" w:rsidP="00D93C0B">
      <w:pPr>
        <w:spacing w:after="0" w:line="240" w:lineRule="auto"/>
        <w:jc w:val="left"/>
      </w:pPr>
    </w:p>
    <w:p w:rsidR="000A41DA" w:rsidRPr="00733C08" w:rsidRDefault="000A41DA" w:rsidP="000A41DA">
      <w:pPr>
        <w:pStyle w:val="Naslov1"/>
        <w:rPr>
          <w:b/>
        </w:rPr>
      </w:pPr>
      <w:r>
        <w:rPr>
          <w:b/>
        </w:rPr>
        <w:t>Ukrepi na področju varstva voda</w:t>
      </w:r>
    </w:p>
    <w:p w:rsidR="000A41DA" w:rsidRPr="00A86FFA" w:rsidRDefault="000A41DA" w:rsidP="000A41DA">
      <w:pPr>
        <w:spacing w:after="0" w:line="240" w:lineRule="auto"/>
      </w:pPr>
      <w:r>
        <w:t>V okviru i</w:t>
      </w:r>
      <w:r w:rsidRPr="00A86FFA">
        <w:t>zdelava načrtov upravljanja voda na vodnih območjih Donave in Jadranskega morja</w:t>
      </w:r>
      <w:r>
        <w:t xml:space="preserve"> je bil pri</w:t>
      </w:r>
      <w:r w:rsidRPr="00A86FFA">
        <w:t>pravljen in objavljen</w:t>
      </w:r>
      <w:r>
        <w:t xml:space="preserve"> bil </w:t>
      </w:r>
      <w:r w:rsidRPr="00A86FFA">
        <w:t>dokument Pomembne zadeve upravljanja voda</w:t>
      </w:r>
      <w:r>
        <w:t xml:space="preserve"> </w:t>
      </w:r>
      <w:r w:rsidRPr="00A86FFA">
        <w:t>na vodnih območjih Donave in Jadranskega morja</w:t>
      </w:r>
      <w:r w:rsidR="002F0670">
        <w:t>,</w:t>
      </w:r>
      <w:r w:rsidRPr="00A86FFA">
        <w:t xml:space="preserve"> ki podaja pregled nad ključnimi zaznanimi okoljskimi problemi na</w:t>
      </w:r>
      <w:r>
        <w:t xml:space="preserve"> </w:t>
      </w:r>
      <w:r w:rsidRPr="00A86FFA">
        <w:t>področju upravljanja voda, za katere je ugotovljeno, da povzročajo večje vplive na vodno okolje</w:t>
      </w:r>
      <w:r>
        <w:t xml:space="preserve">, nadaljevala </w:t>
      </w:r>
      <w:r w:rsidRPr="00A86FFA">
        <w:t xml:space="preserve">se je </w:t>
      </w:r>
      <w:r w:rsidRPr="00A86FFA">
        <w:lastRenderedPageBreak/>
        <w:t>izdelava strokovnih podlag za izdelavo osnutka načrtov upravljanja voda na vodnih območjih Donave in Jadranskega morja</w:t>
      </w:r>
      <w:r>
        <w:t>.</w:t>
      </w:r>
    </w:p>
    <w:p w:rsidR="000A41DA" w:rsidRPr="00A86FFA" w:rsidRDefault="000A41DA" w:rsidP="000A41DA">
      <w:pPr>
        <w:spacing w:after="0" w:line="240" w:lineRule="auto"/>
      </w:pPr>
      <w:r>
        <w:t>V okviru i</w:t>
      </w:r>
      <w:r w:rsidRPr="00A86FFA">
        <w:t>zdelav</w:t>
      </w:r>
      <w:r>
        <w:t>e</w:t>
      </w:r>
      <w:r w:rsidRPr="00A86FFA">
        <w:t xml:space="preserve"> načrta upravljanja z morskim okoljem</w:t>
      </w:r>
      <w:r>
        <w:t xml:space="preserve"> je bil p</w:t>
      </w:r>
      <w:r w:rsidRPr="00A86FFA">
        <w:t>ripravljen predlog posodobljenega Programa monitoringa stanja morskega okolja</w:t>
      </w:r>
      <w:r w:rsidR="009D24BB">
        <w:t xml:space="preserve">, ki je bil tudi </w:t>
      </w:r>
      <w:r w:rsidR="002F0670">
        <w:t>p</w:t>
      </w:r>
      <w:r w:rsidRPr="00A86FFA">
        <w:t>otr</w:t>
      </w:r>
      <w:r w:rsidR="009D24BB">
        <w:t>jen</w:t>
      </w:r>
      <w:r w:rsidRPr="00A86FFA">
        <w:t xml:space="preserve"> </w:t>
      </w:r>
      <w:r w:rsidR="009D24BB">
        <w:t xml:space="preserve">in se je po njem že poročalo </w:t>
      </w:r>
      <w:r w:rsidRPr="00A86FFA">
        <w:t xml:space="preserve"> na EK</w:t>
      </w:r>
      <w:r>
        <w:t>. V p</w:t>
      </w:r>
      <w:r w:rsidRPr="00A86FFA">
        <w:t>riprav</w:t>
      </w:r>
      <w:r>
        <w:t>i je</w:t>
      </w:r>
      <w:r w:rsidRPr="00A86FFA">
        <w:t xml:space="preserve"> posodob</w:t>
      </w:r>
      <w:r w:rsidR="002F0670">
        <w:t>itev</w:t>
      </w:r>
      <w:r w:rsidRPr="00A86FFA">
        <w:t xml:space="preserve"> Programa ukrepov načrta upravljanja z morskim okoljem ter s tem Načrta upravljanja z morskim okoljem za obdobje 2022-2027.</w:t>
      </w:r>
    </w:p>
    <w:p w:rsidR="000A41DA" w:rsidRPr="00A86FFA" w:rsidRDefault="000A41DA" w:rsidP="000A41DA">
      <w:pPr>
        <w:spacing w:after="0" w:line="240" w:lineRule="auto"/>
      </w:pPr>
      <w:r>
        <w:t>V okviru i</w:t>
      </w:r>
      <w:r w:rsidRPr="00A86FFA">
        <w:t>zdelav</w:t>
      </w:r>
      <w:r>
        <w:t>e</w:t>
      </w:r>
      <w:r w:rsidRPr="00A86FFA">
        <w:t xml:space="preserve"> načrta zmanjšanja poplavne ogroženosti</w:t>
      </w:r>
      <w:r>
        <w:t xml:space="preserve"> so bile p</w:t>
      </w:r>
      <w:r w:rsidRPr="00A86FFA">
        <w:t>osodob</w:t>
      </w:r>
      <w:r>
        <w:t>ljene</w:t>
      </w:r>
      <w:r w:rsidRPr="00A86FFA">
        <w:t xml:space="preserve"> predhodne ocene poplavne ogroženosti z določitvijo posodobljenih območij pomembnega vpliva poplav </w:t>
      </w:r>
      <w:r>
        <w:t>(</w:t>
      </w:r>
      <w:r w:rsidRPr="00A86FFA">
        <w:t>OPVP</w:t>
      </w:r>
      <w:r>
        <w:t>)</w:t>
      </w:r>
      <w:r w:rsidRPr="00A86FFA">
        <w:t xml:space="preserve">,  </w:t>
      </w:r>
      <w:r>
        <w:t>p</w:t>
      </w:r>
      <w:r w:rsidRPr="00A86FFA">
        <w:t xml:space="preserve">ripravljene </w:t>
      </w:r>
      <w:r>
        <w:t xml:space="preserve">so bile </w:t>
      </w:r>
      <w:r w:rsidRPr="00A86FFA">
        <w:t>karte poplavne nevarnosti in poplavne ogroženosti za območja OPVP, pripravljen dokument Poročilo o izvajanju gradbenih in ne gradbenih protipoplavnih ukrepov</w:t>
      </w:r>
      <w:r>
        <w:t>, nadaljevalo se bo z p</w:t>
      </w:r>
      <w:r w:rsidRPr="00A86FFA">
        <w:t>osodobit</w:t>
      </w:r>
      <w:r>
        <w:t>vijo n</w:t>
      </w:r>
      <w:r w:rsidRPr="00A86FFA">
        <w:t>ačrta katerim se z ukrepanjem naslovi poplavno ogroženost na identificiranih območjih OPVP</w:t>
      </w:r>
    </w:p>
    <w:p w:rsidR="000A41DA" w:rsidRPr="00A86FFA" w:rsidRDefault="000A41DA" w:rsidP="000A41DA">
      <w:pPr>
        <w:spacing w:after="0" w:line="240" w:lineRule="auto"/>
      </w:pPr>
      <w:r w:rsidRPr="00A86FFA">
        <w:t>Operativni program odvajanja in čiščenja komunalne odpadne vode (OP KOV)</w:t>
      </w:r>
      <w:r>
        <w:t xml:space="preserve"> je bil sprejet</w:t>
      </w:r>
      <w:r w:rsidRPr="00A86FFA">
        <w:t xml:space="preserve"> 17. 9. 202</w:t>
      </w:r>
      <w:r w:rsidR="002F0670">
        <w:t>0.</w:t>
      </w:r>
      <w:r w:rsidRPr="00A86FFA">
        <w:t xml:space="preserve"> Aglomeracije, ki so predmet OP KOV in priloge 3 veljavne uredbe, so v primerjavi s predhodnim operativnim programom spremenjene ob upoštevanju meril iz uredbe in ob upoštevanju poselitve oziroma trenda rasti prebivalstva ter iz geografskih značilnosti. Na podlagi preliminarne ocene skladnosti in določene prioritetne lestvice izvajanja ukrepov iz OP KOV je IRSOP v letu 2021 pričel z izvajanjem akcije nadzora odvajanja komunalnih odpadnih vod po javni kanalizaciji - opremljenost aglomeracij 2021. V teku je izdelava projektne naloge za nadgradnjo sistema IJSVO.</w:t>
      </w:r>
    </w:p>
    <w:p w:rsidR="000A41DA" w:rsidRPr="00A86FFA" w:rsidRDefault="000A41DA" w:rsidP="000A41DA">
      <w:pPr>
        <w:spacing w:after="0" w:line="240" w:lineRule="auto"/>
      </w:pPr>
      <w:r>
        <w:t xml:space="preserve">V pripravi je tudi </w:t>
      </w:r>
      <w:r w:rsidRPr="00A86FFA">
        <w:t>Operativni program oskrbe s pitno vodo</w:t>
      </w:r>
      <w:r>
        <w:t>.</w:t>
      </w:r>
    </w:p>
    <w:p w:rsidR="000B573A" w:rsidRDefault="000B573A" w:rsidP="000B573A">
      <w:pPr>
        <w:spacing w:before="0" w:after="0" w:line="240" w:lineRule="auto"/>
        <w:jc w:val="left"/>
      </w:pPr>
    </w:p>
    <w:p w:rsidR="00166413" w:rsidRPr="00733C08" w:rsidRDefault="00166413" w:rsidP="00166413">
      <w:pPr>
        <w:pStyle w:val="Naslov1"/>
        <w:rPr>
          <w:b/>
        </w:rPr>
      </w:pPr>
      <w:r>
        <w:rPr>
          <w:b/>
        </w:rPr>
        <w:t xml:space="preserve">Ukrepi na </w:t>
      </w:r>
      <w:r w:rsidRPr="00166413">
        <w:rPr>
          <w:b/>
        </w:rPr>
        <w:t xml:space="preserve">področja vzgoje in izobraževanja za varstvo okolja  </w:t>
      </w:r>
      <w:r>
        <w:rPr>
          <w:b/>
        </w:rPr>
        <w:t xml:space="preserve">ter raziskav, razvoja in inovacij </w:t>
      </w:r>
      <w:r w:rsidRPr="00166413">
        <w:rPr>
          <w:b/>
        </w:rPr>
        <w:t>za varstvo oko</w:t>
      </w:r>
      <w:r>
        <w:rPr>
          <w:b/>
        </w:rPr>
        <w:t>lja</w:t>
      </w:r>
    </w:p>
    <w:p w:rsidR="00166413" w:rsidRPr="00166413" w:rsidRDefault="00166413" w:rsidP="00F1075F">
      <w:pPr>
        <w:spacing w:after="0" w:line="240" w:lineRule="auto"/>
      </w:pPr>
      <w:r w:rsidRPr="00166413">
        <w:t xml:space="preserve">Ukrepi iz področja vzgoje in izobraževanja za varstvo okolja  se izvajajo na podlagi vključitve v ukrep </w:t>
      </w:r>
      <w:r w:rsidRPr="00734B6D">
        <w:t>Podnebni cilji in vsebine v vzgoji in izobraževanju</w:t>
      </w:r>
      <w:r w:rsidRPr="00166413">
        <w:t xml:space="preserve"> v okviru</w:t>
      </w:r>
      <w:r w:rsidRPr="00734B6D">
        <w:t xml:space="preserve"> Sklada za podnebne spremembe</w:t>
      </w:r>
      <w:r w:rsidRPr="00166413">
        <w:t xml:space="preserve"> ali v okviru </w:t>
      </w:r>
      <w:r w:rsidRPr="00734B6D">
        <w:t>LIFE Care4climate</w:t>
      </w:r>
      <w:r w:rsidRPr="00166413">
        <w:t xml:space="preserve"> ter s sodelovanjem predstavnikov MOP v del</w:t>
      </w:r>
      <w:r w:rsidR="002F0670">
        <w:t>u</w:t>
      </w:r>
      <w:r w:rsidRPr="00166413">
        <w:t xml:space="preserve"> medresorskih in drugih skupin s tega področja</w:t>
      </w:r>
    </w:p>
    <w:p w:rsidR="00166413" w:rsidRPr="00166413" w:rsidRDefault="00166413" w:rsidP="00166413">
      <w:pPr>
        <w:spacing w:after="0" w:line="240" w:lineRule="auto"/>
        <w:jc w:val="left"/>
      </w:pPr>
      <w:r w:rsidRPr="00166413">
        <w:t>V okviru Sklada za podnebne spremembe se pripravljajo</w:t>
      </w:r>
      <w:r w:rsidR="002F0670">
        <w:t>:</w:t>
      </w:r>
    </w:p>
    <w:p w:rsidR="00166413" w:rsidRPr="000A41DA" w:rsidRDefault="00166413" w:rsidP="00166413">
      <w:pPr>
        <w:pStyle w:val="Odstavekseznama"/>
        <w:numPr>
          <w:ilvl w:val="0"/>
          <w:numId w:val="5"/>
        </w:numPr>
        <w:spacing w:after="0" w:line="240" w:lineRule="auto"/>
        <w:rPr>
          <w:rFonts w:asciiTheme="majorHAnsi" w:hAnsiTheme="majorHAnsi" w:cstheme="majorHAnsi"/>
        </w:rPr>
      </w:pPr>
      <w:r w:rsidRPr="000A41DA">
        <w:rPr>
          <w:rFonts w:asciiTheme="majorHAnsi" w:hAnsiTheme="majorHAnsi" w:cstheme="majorHAnsi"/>
        </w:rPr>
        <w:t>posodobitev Smernic za vzgojo in izobraževanje za trajnostni razvoj (VITR);</w:t>
      </w:r>
    </w:p>
    <w:p w:rsidR="00166413" w:rsidRPr="000A41DA" w:rsidRDefault="00166413" w:rsidP="00166413">
      <w:pPr>
        <w:pStyle w:val="Odstavekseznama"/>
        <w:numPr>
          <w:ilvl w:val="0"/>
          <w:numId w:val="5"/>
        </w:numPr>
        <w:spacing w:after="0" w:line="240" w:lineRule="auto"/>
        <w:rPr>
          <w:rFonts w:asciiTheme="majorHAnsi" w:hAnsiTheme="majorHAnsi" w:cstheme="majorHAnsi"/>
        </w:rPr>
      </w:pPr>
      <w:r w:rsidRPr="000A41DA">
        <w:rPr>
          <w:rFonts w:asciiTheme="majorHAnsi" w:hAnsiTheme="majorHAnsi" w:cstheme="majorHAnsi"/>
        </w:rPr>
        <w:t>nadaljevanje sistematičnega in celostnega ovrednotenja izvajanja Smernic VITR na vseh področjih in ravneh vzgoje in izobraževanja s pregledom znanja in usposobljenosti - izdelava predlogov za odpravo ugotovljenih pomanjkljivosti;</w:t>
      </w:r>
    </w:p>
    <w:p w:rsidR="00166413" w:rsidRPr="000A41DA" w:rsidRDefault="00166413" w:rsidP="00166413">
      <w:pPr>
        <w:pStyle w:val="Odstavekseznama"/>
        <w:numPr>
          <w:ilvl w:val="0"/>
          <w:numId w:val="5"/>
        </w:numPr>
        <w:spacing w:after="0" w:line="240" w:lineRule="auto"/>
        <w:rPr>
          <w:rFonts w:asciiTheme="majorHAnsi" w:hAnsiTheme="majorHAnsi" w:cstheme="majorHAnsi"/>
        </w:rPr>
      </w:pPr>
      <w:r w:rsidRPr="000A41DA">
        <w:rPr>
          <w:rFonts w:asciiTheme="majorHAnsi" w:hAnsiTheme="majorHAnsi" w:cstheme="majorHAnsi"/>
        </w:rPr>
        <w:t>Izvedba celostnih posodobitev učnih načrtov in drugih kurikularnih dokumentov ter drugih ukrepov za zagotovitev sistemskega okvira za VITR;</w:t>
      </w:r>
    </w:p>
    <w:p w:rsidR="00166413" w:rsidRPr="000A41DA" w:rsidRDefault="008207E6" w:rsidP="00166413">
      <w:pPr>
        <w:pStyle w:val="Odstavekseznama"/>
        <w:numPr>
          <w:ilvl w:val="0"/>
          <w:numId w:val="5"/>
        </w:numPr>
        <w:spacing w:after="0" w:line="240" w:lineRule="auto"/>
        <w:rPr>
          <w:rFonts w:asciiTheme="majorHAnsi" w:hAnsiTheme="majorHAnsi" w:cstheme="majorHAnsi"/>
        </w:rPr>
      </w:pPr>
      <w:r>
        <w:rPr>
          <w:rFonts w:asciiTheme="majorHAnsi" w:hAnsiTheme="majorHAnsi" w:cstheme="majorHAnsi"/>
        </w:rPr>
        <w:t>p</w:t>
      </w:r>
      <w:r w:rsidR="00166413" w:rsidRPr="000A41DA">
        <w:rPr>
          <w:rFonts w:asciiTheme="majorHAnsi" w:hAnsiTheme="majorHAnsi" w:cstheme="majorHAnsi"/>
        </w:rPr>
        <w:t>revod posodobljenih ključnih mednarodnih dokumentov in strokovnih gradiv za področje VITR z ustreznimi prilagoditvami za Slovenijo in EU.</w:t>
      </w:r>
    </w:p>
    <w:p w:rsidR="00166413" w:rsidRPr="00166413" w:rsidRDefault="00166413" w:rsidP="000A41DA">
      <w:pPr>
        <w:spacing w:after="0" w:line="240" w:lineRule="auto"/>
      </w:pPr>
      <w:r w:rsidRPr="00166413">
        <w:t>Uvajanje načel trajnostnega razvoja in VITR v mladinski sektor  - v okviru izvajanja Programa porabe sredstev sklada za podnebne spremembe v obdobju 2020 – 2023 je bil v letu 2020 izveden Projekt predstavitve dobre prakse vzgoje, izobraževanja in ozaveščanja o podnebnih spremembah in trajnostnem razvoju v predšolski vzgoji, v povezavi s celostnim razvojem manjše lokalne skupnosti. Vrtec Slovenske Konjice, konkretno Dislocirani oddelek Špitalič.</w:t>
      </w:r>
    </w:p>
    <w:p w:rsidR="00166413" w:rsidRPr="00166413" w:rsidRDefault="00166413" w:rsidP="00166413">
      <w:pPr>
        <w:spacing w:after="0" w:line="240" w:lineRule="auto"/>
        <w:jc w:val="left"/>
      </w:pPr>
      <w:r w:rsidRPr="00734B6D">
        <w:t xml:space="preserve">V okviru izvajanja projekta LIFE Care4climate so bile izdelane sledeče analize: </w:t>
      </w:r>
    </w:p>
    <w:p w:rsidR="00166413" w:rsidRPr="00166413" w:rsidRDefault="00166413" w:rsidP="00166413">
      <w:pPr>
        <w:spacing w:after="0" w:line="240" w:lineRule="auto"/>
        <w:jc w:val="left"/>
      </w:pPr>
    </w:p>
    <w:p w:rsidR="00166413" w:rsidRPr="000A41DA" w:rsidRDefault="00166413" w:rsidP="00166413">
      <w:pPr>
        <w:pStyle w:val="Odstavekseznama"/>
        <w:numPr>
          <w:ilvl w:val="0"/>
          <w:numId w:val="5"/>
        </w:numPr>
        <w:spacing w:after="0" w:line="240" w:lineRule="auto"/>
        <w:rPr>
          <w:rFonts w:asciiTheme="majorHAnsi" w:hAnsiTheme="majorHAnsi" w:cstheme="majorHAnsi"/>
        </w:rPr>
      </w:pPr>
      <w:r w:rsidRPr="000A41DA">
        <w:rPr>
          <w:rFonts w:asciiTheme="majorHAnsi" w:hAnsiTheme="majorHAnsi" w:cstheme="majorHAnsi"/>
        </w:rPr>
        <w:t>analiza obstoječih programov višjega in visokega šolstva</w:t>
      </w:r>
      <w:r w:rsidR="008207E6">
        <w:rPr>
          <w:rFonts w:asciiTheme="majorHAnsi" w:hAnsiTheme="majorHAnsi" w:cstheme="majorHAnsi"/>
        </w:rPr>
        <w:t>;</w:t>
      </w:r>
    </w:p>
    <w:p w:rsidR="00166413" w:rsidRPr="000A41DA" w:rsidRDefault="00166413" w:rsidP="00166413">
      <w:pPr>
        <w:pStyle w:val="Odstavekseznama"/>
        <w:numPr>
          <w:ilvl w:val="0"/>
          <w:numId w:val="5"/>
        </w:numPr>
        <w:spacing w:after="0" w:line="240" w:lineRule="auto"/>
        <w:rPr>
          <w:rFonts w:asciiTheme="majorHAnsi" w:hAnsiTheme="majorHAnsi" w:cstheme="majorHAnsi"/>
        </w:rPr>
      </w:pPr>
      <w:r w:rsidRPr="000A41DA">
        <w:rPr>
          <w:rFonts w:asciiTheme="majorHAnsi" w:hAnsiTheme="majorHAnsi" w:cstheme="majorHAnsi"/>
        </w:rPr>
        <w:lastRenderedPageBreak/>
        <w:t>analiza programov neformalnega izobraževanja in priložnostnega učenja o podnebnih spremembah in nizkoogljični družbi;</w:t>
      </w:r>
    </w:p>
    <w:p w:rsidR="00166413" w:rsidRPr="000A41DA" w:rsidRDefault="00166413" w:rsidP="00166413">
      <w:pPr>
        <w:pStyle w:val="Odstavekseznama"/>
        <w:numPr>
          <w:ilvl w:val="0"/>
          <w:numId w:val="5"/>
        </w:numPr>
        <w:spacing w:after="0" w:line="240" w:lineRule="auto"/>
        <w:rPr>
          <w:rFonts w:asciiTheme="majorHAnsi" w:hAnsiTheme="majorHAnsi" w:cstheme="majorHAnsi"/>
        </w:rPr>
      </w:pPr>
      <w:r w:rsidRPr="000A41DA">
        <w:rPr>
          <w:rFonts w:asciiTheme="majorHAnsi" w:hAnsiTheme="majorHAnsi" w:cstheme="majorHAnsi"/>
        </w:rPr>
        <w:t>analiza potreb gospodarstva po znanjih in kompetencah, ključnih za prehod v nizkoogljično družbo in gospodarstvo;</w:t>
      </w:r>
    </w:p>
    <w:p w:rsidR="00166413" w:rsidRPr="000A41DA" w:rsidRDefault="00166413" w:rsidP="00166413">
      <w:pPr>
        <w:pStyle w:val="Odstavekseznama"/>
        <w:numPr>
          <w:ilvl w:val="0"/>
          <w:numId w:val="5"/>
        </w:numPr>
        <w:spacing w:after="0" w:line="240" w:lineRule="auto"/>
        <w:rPr>
          <w:rFonts w:asciiTheme="majorHAnsi" w:hAnsiTheme="majorHAnsi" w:cstheme="majorHAnsi"/>
        </w:rPr>
      </w:pPr>
      <w:r w:rsidRPr="000A41DA">
        <w:rPr>
          <w:rFonts w:asciiTheme="majorHAnsi" w:hAnsiTheme="majorHAnsi" w:cstheme="majorHAnsi"/>
        </w:rPr>
        <w:t>primerjava slovenskih in 25 evropskih univerz z vidika pokrivanja tem okolja, podnebnih sprememb in prehoda v nizkoogljično družbo:</w:t>
      </w:r>
    </w:p>
    <w:p w:rsidR="00166413" w:rsidRPr="000A41DA" w:rsidRDefault="00166413" w:rsidP="00166413">
      <w:pPr>
        <w:pStyle w:val="Odstavekseznama"/>
        <w:numPr>
          <w:ilvl w:val="0"/>
          <w:numId w:val="5"/>
        </w:numPr>
        <w:spacing w:after="0" w:line="240" w:lineRule="auto"/>
        <w:rPr>
          <w:rFonts w:asciiTheme="majorHAnsi" w:hAnsiTheme="majorHAnsi" w:cstheme="majorHAnsi"/>
        </w:rPr>
      </w:pPr>
      <w:r w:rsidRPr="000A41DA">
        <w:rPr>
          <w:rFonts w:asciiTheme="majorHAnsi" w:hAnsiTheme="majorHAnsi" w:cstheme="majorHAnsi"/>
        </w:rPr>
        <w:t xml:space="preserve">v pripravi je sistemske prenove in 'ozelenitev' vseh strokovnih podlag za poklicne standarde, relevantnih za stopnjo SOK 6. </w:t>
      </w:r>
    </w:p>
    <w:p w:rsidR="00166413" w:rsidRPr="00166413" w:rsidRDefault="00166413" w:rsidP="000A41DA">
      <w:pPr>
        <w:spacing w:after="0" w:line="240" w:lineRule="auto"/>
      </w:pPr>
      <w:r w:rsidRPr="00734B6D">
        <w:t>Vključitev VITR v politike, načrte, strategije, programe in procese na državni, regionalni in lokalni ravni, ki se nanašajo na trajnostni razvoj – podobno pri dvostranskih in večstranskih okvirih za razvojno sodelovanje</w:t>
      </w:r>
      <w:r w:rsidRPr="00166413">
        <w:t xml:space="preserve"> ter v</w:t>
      </w:r>
      <w:r w:rsidRPr="00734B6D">
        <w:t>ključevanje kompetence za trajnostni razvoj v vse poklicne standarde</w:t>
      </w:r>
      <w:r w:rsidRPr="00166413">
        <w:t xml:space="preserve"> so v pristojnosti CPI oz. </w:t>
      </w:r>
      <w:r w:rsidRPr="00734B6D">
        <w:t>MDDSZ</w:t>
      </w:r>
      <w:r w:rsidRPr="00166413">
        <w:t>, vendar se predstavniki MOP aktivno vključujejo v delo medresorskih in drugih skupin.</w:t>
      </w:r>
    </w:p>
    <w:p w:rsidR="000B573A" w:rsidRDefault="00166413" w:rsidP="000A41DA">
      <w:pPr>
        <w:spacing w:after="0" w:line="240" w:lineRule="auto"/>
      </w:pPr>
      <w:r>
        <w:t xml:space="preserve">Ukrepi </w:t>
      </w:r>
      <w:r w:rsidRPr="00166413">
        <w:t>raziskav, razvoja in inovacij za varstvo okolja</w:t>
      </w:r>
      <w:r>
        <w:t xml:space="preserve"> se niso izvajali.</w:t>
      </w:r>
    </w:p>
    <w:p w:rsidR="000B573A" w:rsidRDefault="000B573A" w:rsidP="000A41DA">
      <w:pPr>
        <w:spacing w:before="0" w:after="0" w:line="240" w:lineRule="auto"/>
      </w:pPr>
    </w:p>
    <w:p w:rsidR="000B573A" w:rsidRDefault="000B573A" w:rsidP="000B573A">
      <w:pPr>
        <w:spacing w:before="0" w:after="0" w:line="240" w:lineRule="auto"/>
        <w:jc w:val="left"/>
      </w:pPr>
    </w:p>
    <w:p w:rsidR="00162692" w:rsidRPr="00162692" w:rsidRDefault="00162692" w:rsidP="00162692">
      <w:pPr>
        <w:pStyle w:val="Naslov1"/>
        <w:rPr>
          <w:b/>
        </w:rPr>
      </w:pPr>
      <w:r w:rsidRPr="00162692">
        <w:rPr>
          <w:b/>
        </w:rPr>
        <w:t xml:space="preserve">Ukrepi </w:t>
      </w:r>
      <w:r w:rsidRPr="001E7E4F">
        <w:rPr>
          <w:b/>
        </w:rPr>
        <w:t>izboljša</w:t>
      </w:r>
      <w:r w:rsidRPr="00162692">
        <w:rPr>
          <w:b/>
        </w:rPr>
        <w:t>nja</w:t>
      </w:r>
      <w:r w:rsidRPr="001E7E4F">
        <w:rPr>
          <w:b/>
        </w:rPr>
        <w:t xml:space="preserve"> inšpekcijskega nadzora </w:t>
      </w:r>
    </w:p>
    <w:p w:rsidR="00162692" w:rsidRPr="001E7E4F" w:rsidRDefault="00162692" w:rsidP="00162692">
      <w:pPr>
        <w:spacing w:after="0" w:line="240" w:lineRule="auto"/>
      </w:pPr>
      <w:r>
        <w:t>Na področju izboljšanja inšpekcijskega nadzora je treba poudariti, da se trenutno z</w:t>
      </w:r>
      <w:r w:rsidRPr="001E7E4F">
        <w:t>aradi velikega števila prejetih prijav več kot polovica inšpekcijskih nadzorov opravi v okviru izrednega nadzora</w:t>
      </w:r>
      <w:r>
        <w:t xml:space="preserve">, tako da je potrebno veliko organizacijske spodobnosti za izvajanje z </w:t>
      </w:r>
      <w:r w:rsidR="008207E6">
        <w:t>l</w:t>
      </w:r>
      <w:r w:rsidRPr="001E7E4F">
        <w:t>etni</w:t>
      </w:r>
      <w:r>
        <w:t>m</w:t>
      </w:r>
      <w:r w:rsidRPr="001E7E4F">
        <w:t xml:space="preserve"> načrt</w:t>
      </w:r>
      <w:r>
        <w:t>i</w:t>
      </w:r>
      <w:r w:rsidRPr="001E7E4F">
        <w:t xml:space="preserve"> dela</w:t>
      </w:r>
      <w:r>
        <w:t xml:space="preserve"> predvidenih </w:t>
      </w:r>
      <w:r w:rsidRPr="001E7E4F">
        <w:t>prioritet izvajanje rednega nadzora nad zavezanci (redni pregledi in dogovorjene akcije nadzora)</w:t>
      </w:r>
      <w:r>
        <w:t xml:space="preserve">. </w:t>
      </w:r>
      <w:r w:rsidRPr="001E7E4F">
        <w:t xml:space="preserve">Pri pripravi nabora zavezancev se za IED naprave in naprave, ki ravnajo z odpadki, za ocenjevanje uporablja IRAM (Integrated Risk Assesment Method), razvita v okviru IMPEL organizacije. Za ostale zavezance se </w:t>
      </w:r>
      <w:r>
        <w:t>razvrstitev</w:t>
      </w:r>
      <w:r w:rsidRPr="001E7E4F">
        <w:t xml:space="preserve"> </w:t>
      </w:r>
      <w:r>
        <w:t xml:space="preserve">opravi </w:t>
      </w:r>
      <w:r w:rsidRPr="001E7E4F">
        <w:t xml:space="preserve"> v okviru OIS aplikacije.</w:t>
      </w:r>
    </w:p>
    <w:p w:rsidR="00162692" w:rsidRPr="001E7E4F" w:rsidRDefault="00162692" w:rsidP="00162692">
      <w:pPr>
        <w:spacing w:after="0" w:line="240" w:lineRule="auto"/>
      </w:pPr>
      <w:r w:rsidRPr="001E7E4F">
        <w:t xml:space="preserve">Ustanovljena </w:t>
      </w:r>
      <w:r w:rsidR="008207E6">
        <w:t xml:space="preserve">je </w:t>
      </w:r>
      <w:r w:rsidRPr="001E7E4F">
        <w:t>projektn</w:t>
      </w:r>
      <w:r w:rsidR="008207E6">
        <w:t xml:space="preserve">a </w:t>
      </w:r>
      <w:r w:rsidRPr="001E7E4F">
        <w:t>skupin</w:t>
      </w:r>
      <w:r w:rsidR="008207E6">
        <w:t>a</w:t>
      </w:r>
      <w:r w:rsidRPr="001E7E4F">
        <w:t xml:space="preserve"> za pripravo projekta  »Nadgradnja informacijskega sistema IRSOP in prenos podatkov med informacijskim sistemom IS IRSOP in IS OKOLJE</w:t>
      </w:r>
      <w:r>
        <w:t>.</w:t>
      </w:r>
    </w:p>
    <w:p w:rsidR="00162692" w:rsidRDefault="00162692" w:rsidP="00162692">
      <w:pPr>
        <w:spacing w:after="0" w:line="240" w:lineRule="auto"/>
      </w:pPr>
      <w:r>
        <w:t xml:space="preserve">Z namenom </w:t>
      </w:r>
      <w:r w:rsidRPr="001E7E4F">
        <w:t>izboljšati usposobljenost inšpektorjev</w:t>
      </w:r>
      <w:r>
        <w:t>, so bila i</w:t>
      </w:r>
      <w:r w:rsidRPr="001E7E4F">
        <w:t>zvedena različna izobraževanja iz delovnih področij Inšpekcije za okolje in naravo (npr.</w:t>
      </w:r>
      <w:r>
        <w:t xml:space="preserve"> </w:t>
      </w:r>
      <w:r w:rsidRPr="001E7E4F">
        <w:t>zemeljski izkopi, čezmejno pošiljanje odpadkov, področje narave, itd.)</w:t>
      </w:r>
      <w:r>
        <w:t>.</w:t>
      </w:r>
      <w:r w:rsidRPr="001E7E4F">
        <w:t xml:space="preserve">Zaradi pandemije COVID 19 večino izobraževanj izvedeno </w:t>
      </w:r>
      <w:r>
        <w:t>preko AVK.</w:t>
      </w:r>
      <w:r w:rsidRPr="00C44C33">
        <w:t xml:space="preserve"> </w:t>
      </w:r>
    </w:p>
    <w:p w:rsidR="00162692" w:rsidRPr="001E7E4F" w:rsidRDefault="00162692" w:rsidP="00162692">
      <w:pPr>
        <w:spacing w:after="0" w:line="240" w:lineRule="auto"/>
      </w:pPr>
      <w:r>
        <w:t xml:space="preserve">Za krepitev </w:t>
      </w:r>
      <w:r w:rsidRPr="001E7E4F">
        <w:t>izmenjav</w:t>
      </w:r>
      <w:r>
        <w:t>e</w:t>
      </w:r>
      <w:r w:rsidRPr="001E7E4F">
        <w:t xml:space="preserve"> izkušenj in prenos</w:t>
      </w:r>
      <w:r>
        <w:t>a</w:t>
      </w:r>
      <w:r w:rsidRPr="001E7E4F">
        <w:t xml:space="preserve"> znanja na državni in mednarodni ravni </w:t>
      </w:r>
      <w:r>
        <w:t>je vzpostavljeno</w:t>
      </w:r>
      <w:r w:rsidRPr="001E7E4F">
        <w:t xml:space="preserve"> sodelovanje v programu IMPEL</w:t>
      </w:r>
      <w:r>
        <w:t>. Z</w:t>
      </w:r>
      <w:r w:rsidRPr="001E7E4F">
        <w:t>a nadzor zahtevnih vsebin, kot sta na primer onesnaževanje večjega obsega in večje nesreče z nevarnimi snovmi</w:t>
      </w:r>
      <w:r>
        <w:t xml:space="preserve"> se izobraževanja izvajajo v okviru </w:t>
      </w:r>
      <w:r w:rsidRPr="001E7E4F">
        <w:t>IMPEL seminarj</w:t>
      </w:r>
      <w:r>
        <w:t>a</w:t>
      </w:r>
      <w:r w:rsidRPr="001E7E4F">
        <w:t xml:space="preserve"> "Lessons learnt from accidents"</w:t>
      </w:r>
    </w:p>
    <w:p w:rsidR="00162692" w:rsidRPr="001E7E4F" w:rsidRDefault="00162692" w:rsidP="00162692">
      <w:pPr>
        <w:spacing w:after="0" w:line="240" w:lineRule="auto"/>
      </w:pPr>
      <w:r w:rsidRPr="001E7E4F">
        <w:t xml:space="preserve"> IRSOP kot projektni partner v projektu Waste Force je med 30.3 in 1.4.2021 organiziral tridnevno online izobraževanje na področju nadzora pošiljk odpadkov s temo izvajanja nadzorov nad čezmejnim pošiljanjem odpadkov v pristaniščih, vključena tudi vsebina kriminalitete na področju ravnanja z odpadki.</w:t>
      </w:r>
    </w:p>
    <w:p w:rsidR="00162692" w:rsidRPr="00C44C33" w:rsidRDefault="00162692" w:rsidP="00162692">
      <w:pPr>
        <w:spacing w:after="0" w:line="240" w:lineRule="auto"/>
      </w:pPr>
      <w:r w:rsidRPr="001E7E4F">
        <w:t>IRSOP aktivno sodeluje pri podajanju pripomb pri spremembi zakonodaje, pri čemer je poseben poudarek na samem inšpekcijskem nadzoru glede na izkušnje in težave s terena.</w:t>
      </w:r>
    </w:p>
    <w:p w:rsidR="00162692" w:rsidRPr="00C44C33" w:rsidRDefault="00162692" w:rsidP="00162692">
      <w:pPr>
        <w:spacing w:after="0" w:line="240" w:lineRule="auto"/>
      </w:pPr>
      <w:r>
        <w:t xml:space="preserve">Na prekrškovnem področju je </w:t>
      </w:r>
      <w:r w:rsidRPr="001E7E4F">
        <w:t>Inšpekcija za okolje in naravo je v letu 2020 uvedla 1056  prekrškovnih postopkov. Izdanih je bilo 278  odločb o prekršku v skupni višini izrečenih glob 449.270,00 € in 43  plačilnih nalogov po ZP-1 v skupni višini izrečenih glob 77.600,00 €. Izdanih je bilo tudi 402 prekrškovnih opominov.</w:t>
      </w:r>
    </w:p>
    <w:p w:rsidR="00162692" w:rsidRPr="00C44C33" w:rsidRDefault="00162692" w:rsidP="00162692">
      <w:pPr>
        <w:spacing w:after="0" w:line="240" w:lineRule="auto"/>
      </w:pPr>
      <w:r>
        <w:t xml:space="preserve">Krepijo se tudi povezave </w:t>
      </w:r>
      <w:r w:rsidRPr="001E7E4F">
        <w:t>okrepiti povezave in sodelova</w:t>
      </w:r>
      <w:r>
        <w:t xml:space="preserve">nje </w:t>
      </w:r>
      <w:r w:rsidRPr="001E7E4F">
        <w:t xml:space="preserve">z </w:t>
      </w:r>
      <w:r>
        <w:t xml:space="preserve">drugimi </w:t>
      </w:r>
      <w:r w:rsidRPr="001E7E4F">
        <w:t>nadzornimi službami (navarovarstveni nadzorniki, rečni nadzorniki) in inšpektorati drugih resorjev.</w:t>
      </w:r>
      <w:r>
        <w:t xml:space="preserve"> Tako so bile i</w:t>
      </w:r>
      <w:r w:rsidRPr="001E7E4F">
        <w:t xml:space="preserve">zvedene skupne akcije nadzora s policijo in FURS na </w:t>
      </w:r>
      <w:r w:rsidR="008207E6" w:rsidRPr="001E7E4F">
        <w:t>področju</w:t>
      </w:r>
      <w:r w:rsidRPr="001E7E4F">
        <w:t xml:space="preserve"> čezmejnega pošiljanja odpadkov</w:t>
      </w:r>
      <w:r>
        <w:t>, p</w:t>
      </w:r>
      <w:r w:rsidRPr="001E7E4F">
        <w:t xml:space="preserve">redvidene </w:t>
      </w:r>
      <w:r w:rsidRPr="001E7E4F">
        <w:lastRenderedPageBreak/>
        <w:t xml:space="preserve">skupne akcije nadzora s policijo in FURS na področju ravnanja z odpadki (nelegalni </w:t>
      </w:r>
      <w:r w:rsidR="008207E6" w:rsidRPr="001E7E4F">
        <w:t>avto odpadi</w:t>
      </w:r>
      <w:r w:rsidRPr="001E7E4F">
        <w:t>) in čezmejnega pošiljanja odpadkov</w:t>
      </w:r>
      <w:r>
        <w:t>.</w:t>
      </w:r>
    </w:p>
    <w:p w:rsidR="000B573A" w:rsidRDefault="000B573A" w:rsidP="000B573A">
      <w:pPr>
        <w:spacing w:before="0" w:after="0" w:line="240" w:lineRule="auto"/>
        <w:jc w:val="left"/>
      </w:pPr>
    </w:p>
    <w:p w:rsidR="000B573A" w:rsidRDefault="000B573A" w:rsidP="000B573A">
      <w:pPr>
        <w:spacing w:before="0" w:after="0" w:line="240" w:lineRule="auto"/>
        <w:jc w:val="left"/>
      </w:pPr>
    </w:p>
    <w:p w:rsidR="000B573A" w:rsidRDefault="000B573A" w:rsidP="000B573A">
      <w:pPr>
        <w:spacing w:before="0" w:after="0" w:line="240" w:lineRule="auto"/>
        <w:jc w:val="left"/>
      </w:pPr>
    </w:p>
    <w:p w:rsidR="008207E6" w:rsidRPr="008207E6" w:rsidRDefault="008207E6" w:rsidP="008207E6">
      <w:pPr>
        <w:pStyle w:val="Naslov1"/>
        <w:rPr>
          <w:b/>
        </w:rPr>
      </w:pPr>
      <w:r w:rsidRPr="00F1142F">
        <w:rPr>
          <w:b/>
        </w:rPr>
        <w:t xml:space="preserve">Izvajanje </w:t>
      </w:r>
      <w:r>
        <w:rPr>
          <w:b/>
        </w:rPr>
        <w:t>operativnih programov</w:t>
      </w:r>
    </w:p>
    <w:p w:rsidR="00B658A4" w:rsidRPr="0026005D" w:rsidRDefault="00B658A4" w:rsidP="00B658A4">
      <w:pPr>
        <w:pStyle w:val="Naslov1"/>
        <w:rPr>
          <w:b/>
          <w:bCs/>
          <w:sz w:val="36"/>
          <w:szCs w:val="36"/>
        </w:rPr>
      </w:pPr>
      <w:r w:rsidRPr="4971392D">
        <w:rPr>
          <w:b/>
          <w:bCs/>
          <w:sz w:val="36"/>
          <w:szCs w:val="36"/>
        </w:rPr>
        <w:t>Program upravljanja območij Natura 2000 za leta 2015-2020</w:t>
      </w:r>
    </w:p>
    <w:p w:rsidR="00B658A4" w:rsidRPr="0044397D" w:rsidRDefault="00B658A4" w:rsidP="00B658A4">
      <w:pPr>
        <w:spacing w:after="0" w:line="240" w:lineRule="auto"/>
        <w:rPr>
          <w:rFonts w:ascii="Calibri" w:hAnsi="Calibri" w:cs="Calibri"/>
        </w:rPr>
      </w:pPr>
      <w:r w:rsidRPr="0044397D">
        <w:rPr>
          <w:rFonts w:ascii="Calibri" w:hAnsi="Calibri" w:cs="Calibri"/>
        </w:rPr>
        <w:t xml:space="preserve">Program upravljanja območij Natura 2000 </w:t>
      </w:r>
      <w:r>
        <w:rPr>
          <w:rFonts w:ascii="Calibri" w:hAnsi="Calibri" w:cs="Calibri"/>
        </w:rPr>
        <w:t xml:space="preserve">za leta </w:t>
      </w:r>
      <w:r w:rsidRPr="0044397D">
        <w:rPr>
          <w:rFonts w:ascii="Calibri" w:hAnsi="Calibri" w:cs="Calibri"/>
        </w:rPr>
        <w:t>2015-2020 (v nadaljevanju PUN 2015-20) v skladu z Uredbo o posebnih varstvenih območjih (območjih Natura 2000) določa varstvene cilje za posamična območje Natura 2000 in varstvene ukrepe oziroma usmeritve za njihovo doseganje ter izvajalce teh ukrepov oz. usmeritev. Določa varstvene ukrepe, ki so potrebni za doseganje varstvenih ciljev območij Natura, ureja njihovo vključevanje v zakonske ukrepe, upravne ukrepe, pogodbene ukrepe, v največ primerih pa vključevanje v druge načrte (npr. načrt upravljanja zavarovanega območja, gozdnogospodarske načrte, načrte upravljanja ribištva oz. ribiško gojitvene načrte, načrt upravljanja z vodami)..</w:t>
      </w:r>
    </w:p>
    <w:p w:rsidR="00B658A4" w:rsidRPr="0044397D" w:rsidRDefault="00B658A4" w:rsidP="00B658A4">
      <w:pPr>
        <w:spacing w:after="0" w:line="240" w:lineRule="auto"/>
        <w:rPr>
          <w:rFonts w:ascii="Calibri" w:hAnsi="Calibri" w:cs="Calibri"/>
        </w:rPr>
      </w:pPr>
      <w:r w:rsidRPr="0044397D">
        <w:rPr>
          <w:rFonts w:ascii="Calibri" w:hAnsi="Calibri" w:cs="Calibri"/>
        </w:rPr>
        <w:t xml:space="preserve">Vlada Republike Slovenije je 7.1.2021 sprejela Sklep o podaljšanju uporabe podrobnih varstvenih ciljev in ukrepov za njihovo doseganje, ki so določeni v Operativnem programu – Programu upravljanja območij Natura 2000 (2015-2020) do sprejema novega programa upravljanja v letu 2022. </w:t>
      </w:r>
    </w:p>
    <w:p w:rsidR="00B658A4" w:rsidRPr="0044397D" w:rsidRDefault="00B658A4" w:rsidP="00B658A4">
      <w:pPr>
        <w:spacing w:after="0" w:line="240" w:lineRule="auto"/>
        <w:rPr>
          <w:rFonts w:ascii="Calibri" w:hAnsi="Calibri" w:cs="Calibri"/>
        </w:rPr>
      </w:pPr>
      <w:r w:rsidRPr="0044397D">
        <w:rPr>
          <w:rFonts w:ascii="Calibri" w:hAnsi="Calibri" w:cs="Calibri"/>
        </w:rPr>
        <w:t>V okviru analize spremljanja izvajanja PUN je bilo ugotovljeno, da je bilo do leta 2020 izvedenih, delno izvedenih ali je v fazi izvajanja štiri petine ukrepov, 7 % ukrepov še ni v postopku izvajanja, ker njihovo izvajanje še ni predvideno (vezano predvsem na načrte); 10 % ukrepov pa ni izvedenih.</w:t>
      </w:r>
    </w:p>
    <w:p w:rsidR="00B658A4" w:rsidRPr="0044397D" w:rsidRDefault="00B658A4" w:rsidP="00B658A4">
      <w:pPr>
        <w:spacing w:after="0" w:line="240" w:lineRule="auto"/>
        <w:rPr>
          <w:rFonts w:ascii="Calibri" w:hAnsi="Calibri" w:cs="Calibri"/>
        </w:rPr>
      </w:pPr>
      <w:r w:rsidRPr="0044397D">
        <w:rPr>
          <w:rFonts w:ascii="Calibri" w:hAnsi="Calibri" w:cs="Calibri"/>
        </w:rPr>
        <w:t>Znotraj posameznih sektorjev je slika glede izvajanja ukrepov precej različna. Izstopajo sektorji upravljanje voda, ribištvo in prostor, kjer je zelo visok delež izvedenih ukrepov oz. ukrepov, ki so v fazi izvajanja – preko 90 %. Pri vseh treh gre predvsem za podajanje naravovarstvenih smernic in mnenj  ter vključevanje le teh v plane, programe oz. načrte.</w:t>
      </w:r>
    </w:p>
    <w:p w:rsidR="00B658A4" w:rsidRPr="0044397D" w:rsidRDefault="00B658A4" w:rsidP="00B658A4">
      <w:pPr>
        <w:spacing w:after="0" w:line="240" w:lineRule="auto"/>
        <w:rPr>
          <w:rFonts w:ascii="Calibri" w:hAnsi="Calibri" w:cs="Calibri"/>
        </w:rPr>
      </w:pPr>
      <w:r w:rsidRPr="0044397D">
        <w:rPr>
          <w:rFonts w:ascii="Calibri" w:hAnsi="Calibri" w:cs="Calibri"/>
        </w:rPr>
        <w:t xml:space="preserve">Podobno tudi sektor gozdarstvo dosega visoko stopnjo realizacije, saj je večina ukrepov vezanih na podajanje naravovarstvenih smernic in mnenj, ki se sistemsko vključujejo v gozdno gospodarske načrte (GGN). Tukaj je več kot 90 % ukrepov izvedenih ali v izvajanju. Izvedeni niso ukrepi, kjer še ni bilo redne prenove GGN-jev (8 %), zelo nizek je delež neizvedenih ukrepov (pod 2 %). V sektorju lovstvo, se ukrepi v celoti izvajajo, saj so bili do konca leta 2020 veljavni dolgoročni načrti za vsa lovsko upravljavska območja za obdobje 2011 – 2020.  </w:t>
      </w:r>
    </w:p>
    <w:p w:rsidR="00B658A4" w:rsidRPr="0044397D" w:rsidRDefault="00B658A4" w:rsidP="00B658A4">
      <w:pPr>
        <w:spacing w:after="0" w:line="240" w:lineRule="auto"/>
        <w:rPr>
          <w:rFonts w:ascii="Calibri" w:hAnsi="Calibri" w:cs="Calibri"/>
        </w:rPr>
      </w:pPr>
      <w:r w:rsidRPr="0044397D">
        <w:rPr>
          <w:rFonts w:ascii="Calibri" w:hAnsi="Calibri" w:cs="Calibri"/>
        </w:rPr>
        <w:t xml:space="preserve">Dokaj visok delež izvedenih ukrepov oz. ukrepov v izvajanju je tudi znotraj sektorja kmetijstvo (80 %), kjer pa je večji tudi delež neizvedenih ukrepov (20 %). Kot ključni instrument so bili prepoznani ukrepi druge osi iz Programa razvoja podeželja Republike Slovenije za obdobje 2014–2020. </w:t>
      </w:r>
    </w:p>
    <w:p w:rsidR="00B658A4" w:rsidRPr="0044397D" w:rsidRDefault="00B658A4" w:rsidP="00B658A4">
      <w:pPr>
        <w:spacing w:after="0" w:line="240" w:lineRule="auto"/>
        <w:rPr>
          <w:rFonts w:ascii="Calibri" w:hAnsi="Calibri" w:cs="Calibri"/>
        </w:rPr>
      </w:pPr>
      <w:r w:rsidRPr="0044397D">
        <w:rPr>
          <w:rFonts w:ascii="Calibri" w:hAnsi="Calibri" w:cs="Calibri"/>
        </w:rPr>
        <w:t>Znotraj sektorja varstvo narave je izvedenih ali v izvajanju 65 % ukrepov, nekaj ukrepov še ni v postopku izvajanja (19 %), medtem ko delež neizvedenih ukrepov znaša 14 %. Pri monitoringih in raziskavah je najvišji delež neizvedenih ukrepov (53 %).</w:t>
      </w:r>
    </w:p>
    <w:p w:rsidR="00B658A4" w:rsidRPr="0044397D" w:rsidRDefault="00B658A4" w:rsidP="00B658A4">
      <w:pPr>
        <w:spacing w:after="0" w:line="240" w:lineRule="auto"/>
        <w:rPr>
          <w:rFonts w:ascii="Calibri" w:hAnsi="Calibri" w:cs="Calibri"/>
        </w:rPr>
      </w:pPr>
      <w:r w:rsidRPr="0044397D">
        <w:rPr>
          <w:rFonts w:ascii="Calibri" w:hAnsi="Calibri" w:cs="Calibri"/>
        </w:rPr>
        <w:t>Pri določenih sektorjih, ki imajo sicer predvideno manjše število ukrepov, so le-ti v izvajanju v nižjem deležu. Znotraj sektorja varstvo kulturne dediščine je sicer največ ukrepov takšnih, ki še niso v postopku izvajanja (66 %). Pri nadzoru 81 % ukrepov še ni v postopku. Znotraj drugih sektorjev (infrastruktura, raba mineralnih snovi, občinske javne službe in ukrepi brez sektorja) pa je izvedenih 56 % ukrepov, 27 % ukrepov ni izvedenih, 7 % ukrepov pa še ni v postopku.</w:t>
      </w:r>
    </w:p>
    <w:p w:rsidR="00B658A4" w:rsidRPr="0044397D" w:rsidRDefault="00B658A4" w:rsidP="00B658A4">
      <w:pPr>
        <w:spacing w:after="0" w:line="240" w:lineRule="auto"/>
        <w:rPr>
          <w:rFonts w:ascii="Calibri" w:hAnsi="Calibri" w:cs="Calibri"/>
        </w:rPr>
      </w:pPr>
      <w:r w:rsidRPr="4971392D">
        <w:rPr>
          <w:rFonts w:ascii="Calibri" w:hAnsi="Calibri" w:cs="Calibri"/>
        </w:rPr>
        <w:lastRenderedPageBreak/>
        <w:t>Za izvajanje PUN 2015-20 je bilo pomembno, da so bili v PUN opredeljeni konkretni ukrepi za upravljavce zavarovanih območij te da so bila na voljo tudi namenska projektna sredstva, poleg sredstev LIFE so bila še posebej pomembna sredstva evropske kohezijske politike, delno tudi Podnebni sklad. Na podlagi teh izkušenj bo treba v novi program upravljanja območij Natura 2000 ponovno vključiti konkretne ukrepe za upravljavce, hkrati pa zagotoviti tudi sredstva za njihovo izvedbo.</w:t>
      </w:r>
    </w:p>
    <w:p w:rsidR="00B658A4" w:rsidRPr="0044397D" w:rsidRDefault="00B658A4" w:rsidP="00B658A4">
      <w:pPr>
        <w:spacing w:after="0" w:line="240" w:lineRule="auto"/>
        <w:rPr>
          <w:rFonts w:ascii="Calibri" w:hAnsi="Calibri" w:cs="Calibri"/>
        </w:rPr>
      </w:pPr>
      <w:r w:rsidRPr="4971392D">
        <w:rPr>
          <w:rFonts w:ascii="Calibri" w:hAnsi="Calibri" w:cs="Calibri"/>
        </w:rPr>
        <w:t xml:space="preserve">Po drugi strani pa je potrebno opozoriti na sistemsko ureditev zagotavljanja ustreznih kadrov v zadostnem številu (na MOP, v JZ, ki upravljajo z zavarovanimi območji, in ZRSVN), da bo mogoče načrtovane aktivnosti tudi izvajati. </w:t>
      </w:r>
    </w:p>
    <w:p w:rsidR="00B658A4" w:rsidRDefault="00B658A4" w:rsidP="00B658A4">
      <w:pPr>
        <w:spacing w:before="0" w:after="0"/>
        <w:rPr>
          <w:rFonts w:ascii="Calibri" w:hAnsi="Calibri" w:cs="Calibri"/>
          <w:szCs w:val="24"/>
        </w:rPr>
      </w:pPr>
    </w:p>
    <w:p w:rsidR="00B658A4" w:rsidRPr="0044397D" w:rsidRDefault="00B658A4" w:rsidP="00B658A4">
      <w:pPr>
        <w:spacing w:after="0" w:line="240" w:lineRule="auto"/>
        <w:rPr>
          <w:rFonts w:ascii="Calibri" w:hAnsi="Calibri" w:cs="Calibri"/>
        </w:rPr>
      </w:pPr>
      <w:r w:rsidRPr="0044397D">
        <w:rPr>
          <w:rFonts w:ascii="Calibri" w:hAnsi="Calibri" w:cs="Calibri"/>
        </w:rPr>
        <w:t xml:space="preserve">Ocenjujemo, da bodo ukrepi iz  PUN izvedeni v več kot 90 % primerov. Glede na to, da je bilo v PUN precej ukrepov vezanih na načrtovalske naloge, bo v bodoče potrebno okrepiti pregled nad izvajanjem z akti naloženih ukrepov oz. usmeritev na terenu samem. V nadaljevanju je nujno treba nadgraditi obstoječi sistem PUN, ki bo okrepil načrtovanje, izvajanje in spremljanje izvedbe konkretnih ukrepov na terenu samem. </w:t>
      </w:r>
    </w:p>
    <w:p w:rsidR="00B658A4" w:rsidRPr="0044397D" w:rsidRDefault="00B658A4" w:rsidP="00B658A4">
      <w:pPr>
        <w:spacing w:after="0" w:line="240" w:lineRule="auto"/>
        <w:rPr>
          <w:rFonts w:ascii="Calibri" w:hAnsi="Calibri" w:cs="Calibri"/>
        </w:rPr>
      </w:pPr>
      <w:r w:rsidRPr="0044397D">
        <w:rPr>
          <w:rFonts w:ascii="Calibri" w:hAnsi="Calibri" w:cs="Calibri"/>
        </w:rPr>
        <w:t>V teku je priprava novega Operativnega programa – Programa upravljanja območij Natura 2000 za obdobje 2022-2028, ki poteka v okviru LIFE-IP NATURA.SI, ki ga vodi Ministrstvo za okolje in prostor v sodelovanju s 14 partnerji.</w:t>
      </w:r>
    </w:p>
    <w:p w:rsidR="00B658A4" w:rsidRPr="0044397D" w:rsidRDefault="00B658A4" w:rsidP="00B658A4">
      <w:pPr>
        <w:pStyle w:val="Naslov1"/>
        <w:rPr>
          <w:b/>
          <w:bCs/>
          <w:sz w:val="36"/>
          <w:szCs w:val="36"/>
        </w:rPr>
      </w:pPr>
      <w:r w:rsidRPr="4971392D">
        <w:rPr>
          <w:b/>
          <w:bCs/>
          <w:sz w:val="36"/>
          <w:szCs w:val="36"/>
        </w:rPr>
        <w:t>Operativni program ukrepov zmanjšanja emisij toplogrednih plinov do leta 2020</w:t>
      </w:r>
    </w:p>
    <w:p w:rsidR="00B658A4" w:rsidRDefault="00B658A4" w:rsidP="00B658A4">
      <w:pPr>
        <w:spacing w:after="0" w:line="240" w:lineRule="auto"/>
        <w:rPr>
          <w:rFonts w:ascii="Calibri" w:hAnsi="Calibri" w:cs="Calibri"/>
        </w:rPr>
      </w:pPr>
      <w:r>
        <w:rPr>
          <w:rFonts w:ascii="Calibri" w:hAnsi="Calibri" w:cs="Calibri"/>
        </w:rPr>
        <w:t>V okviru četrtega letnega poročila o izvajanju Operativnega programa ukrepov zmanjšanja emisij toplogrednih plinov do leta 2020 (v nadaljnjem besedilu: OP TGP 2020) je podana ocena doseganja emisijskih ciljev in pregled izvajanja ukrepov za ne-ETS sektorje, ki so predmet Odločbe 406/2009/ES</w:t>
      </w:r>
      <w:r>
        <w:rPr>
          <w:rStyle w:val="Sprotnaopomba-sklic"/>
          <w:rFonts w:ascii="Calibri" w:hAnsi="Calibri" w:cs="Calibri"/>
        </w:rPr>
        <w:footnoteReference w:id="1"/>
      </w:r>
      <w:r>
        <w:rPr>
          <w:rFonts w:ascii="Calibri" w:hAnsi="Calibri" w:cs="Calibri"/>
        </w:rPr>
        <w:t xml:space="preserve">. </w:t>
      </w:r>
    </w:p>
    <w:p w:rsidR="00B658A4" w:rsidRDefault="00B658A4" w:rsidP="00B658A4">
      <w:pPr>
        <w:spacing w:after="0" w:line="240" w:lineRule="auto"/>
        <w:rPr>
          <w:rFonts w:ascii="Calibri" w:hAnsi="Calibri" w:cs="Calibri"/>
        </w:rPr>
      </w:pPr>
      <w:r>
        <w:rPr>
          <w:rFonts w:ascii="Calibri" w:hAnsi="Calibri" w:cs="Calibri"/>
        </w:rPr>
        <w:t xml:space="preserve">Četrto letno poročilo o izvajanju OP TGP 2020 kaže, da je Slovenija v letih 2017 in 2018 svoje obveznosti po Odločbi 406/2009/ES izpolnila. Zastavljene letne cilje je v obeh letih presegla, saj so bile emisije toplogrednih plinov iz ne-ETS sektorjev nižje od dovoljenih, in sicer v letu 2017 za 11,5 % ter v letu 2018 za 10,0 %. V obdobju 2005-2018 so se </w:t>
      </w:r>
      <w:r>
        <w:rPr>
          <w:rFonts w:ascii="Calibri" w:hAnsi="Calibri" w:cs="Calibri"/>
          <w:bCs/>
        </w:rPr>
        <w:t>skupne ne-ETS emisije zmanjšale za 5,9 %. Glavni razlog za manjše zmanjšanje emisij v ne-ETS sektorjih je povečevanje emisij v sektorju promet, ki je v letu 2018 v skupnih ne-ETS emisijah dosegal že skoraj 53 %.</w:t>
      </w:r>
      <w:r>
        <w:rPr>
          <w:rFonts w:ascii="Calibri" w:hAnsi="Calibri" w:cs="Calibri"/>
        </w:rPr>
        <w:t xml:space="preserve"> Emisije se povečujejo tudi v sektorjih industrija ne-ETS in energetika ne-ETS. Emisije v sektorjih široka raba in ravnanje z odpadki se od leta 2016 zmanjšujejo. Emisije v sektorju kmetijstvo so se v letu 2017 zmanjšale za 2 %, v letu 2018 so ostale na enaki ravni kot v letu prej. Dolgoročni trendi za kmetijstvo so stabilni. </w:t>
      </w:r>
    </w:p>
    <w:p w:rsidR="00B658A4" w:rsidRDefault="00B658A4" w:rsidP="00B658A4">
      <w:pPr>
        <w:spacing w:line="240" w:lineRule="auto"/>
      </w:pPr>
      <w:r>
        <w:rPr>
          <w:rFonts w:ascii="Calibri" w:hAnsi="Calibri" w:cs="Calibri"/>
        </w:rPr>
        <w:t>Promet zahteva prednostno obravnavo ukrepov predvsem na področju povečanja deleža obnovljivih virov energije v prometu, povečanja obsega javnega potniškega prometa ter drugih področjih trajnostne mobilnosti. Pri ostalih sektorjih je med drugim v ospredju spodbujanje soproizvodnje v daljinskem ogrevanju, povečevanje deleža in rabe obnovljivih virov, povečanje energetske učinkovitosti, energetska sanacija stavb, spodbujanje krožnega gospodarstva, učinkovita reja živali, racionalno gnojenje, zmanjšanje količine odpadkov ter ozaveščanje.</w:t>
      </w:r>
    </w:p>
    <w:p w:rsidR="00B658A4" w:rsidRDefault="00B658A4" w:rsidP="00B658A4">
      <w:pPr>
        <w:spacing w:line="240" w:lineRule="auto"/>
      </w:pPr>
      <w:r>
        <w:rPr>
          <w:rFonts w:ascii="Calibri" w:hAnsi="Calibri" w:cs="Calibri"/>
        </w:rPr>
        <w:t xml:space="preserve">V času sprejemanja ciljev za leto 2020, je bilo zavedanje o resnosti podnebne krize manjše in zato tudi ni bilo širšega političnega soglasja za zastavljanje ambicioznejših podnebnih ciljev. Cilj se v obdobju 2021-2030 povečuje, in sicer na 15 % glede na leto 2005. Omenjeni cilj Evropska komisija s svežnjem Pripravljeni na 55 povečuje še za 12 odstotnih točk. Zato trenutno doseganje cilja tako še ne pomeni </w:t>
      </w:r>
      <w:r>
        <w:rPr>
          <w:rFonts w:ascii="Calibri" w:hAnsi="Calibri" w:cs="Calibri"/>
        </w:rPr>
        <w:lastRenderedPageBreak/>
        <w:t>dolgoročnega obvladovanja emisij, torej dosego cilja v letu 2030 ter tudi cilja podnebno nevtralne družbe v letu 2050.</w:t>
      </w:r>
    </w:p>
    <w:p w:rsidR="00B658A4" w:rsidRDefault="00B658A4" w:rsidP="00B658A4">
      <w:pPr>
        <w:rPr>
          <w:rFonts w:ascii="Arial" w:hAnsi="Arial" w:cs="Arial"/>
          <w:sz w:val="20"/>
          <w:szCs w:val="20"/>
        </w:rPr>
      </w:pPr>
      <w:r w:rsidRPr="0030716B">
        <w:rPr>
          <w:rFonts w:eastAsiaTheme="majorEastAsia" w:cstheme="majorBidi"/>
          <w:b/>
          <w:sz w:val="32"/>
          <w:szCs w:val="32"/>
        </w:rPr>
        <w:t>Operativni program oskrbe s pitno vodo za obdobje od 2016 do 2021</w:t>
      </w:r>
    </w:p>
    <w:p w:rsidR="00B658A4" w:rsidRDefault="00B658A4" w:rsidP="00B658A4">
      <w:pPr>
        <w:spacing w:line="240" w:lineRule="auto"/>
        <w:rPr>
          <w:rFonts w:ascii="Calibri" w:hAnsi="Calibri" w:cs="Calibri"/>
        </w:rPr>
      </w:pPr>
      <w:r w:rsidRPr="0030716B">
        <w:rPr>
          <w:rFonts w:ascii="Calibri" w:hAnsi="Calibri" w:cs="Calibri"/>
        </w:rPr>
        <w:t xml:space="preserve">Operativni program oskrbe s pitno vodo za obdobje od 2016 do 2021 je določil cilje in ukrepe, povezane z varstvom zajetij za pitno vodo pred onesnaženjem, monitoringom kakovosti podzemne vode oziroma površinske vode, ki se uporablja za oskrbo s pitno vodo, zmanjšanjem vodnih izgub v javnih vodovodih, zagotavljanjem rezervnih zajetij za pitno vodo, doseganjem standardov opremljenosti iz 9. člena te uredbe, povečanjem varnosti oskrbe s pitno vodo na območjih javnih vodovodov, povečanjem učinkovitosti in gospodarnosti izvajanja javne službe in spodbujanjem varčne rabe pitne vode. Ukrepi so v izvajanju do konca leta 2021. V pripravi je nov Operativni program oskrbe s pitno vodo za obdobje od 2022 do 2027. </w:t>
      </w:r>
    </w:p>
    <w:p w:rsidR="00B658A4" w:rsidRDefault="00B658A4" w:rsidP="00B658A4">
      <w:r w:rsidRPr="4971392D">
        <w:rPr>
          <w:rFonts w:eastAsiaTheme="majorEastAsia" w:cstheme="majorBidi"/>
          <w:b/>
          <w:bCs/>
          <w:sz w:val="36"/>
          <w:szCs w:val="36"/>
        </w:rPr>
        <w:t>Operativni program za odvajanje in čiščenje komunalne odpadne vode</w:t>
      </w:r>
      <w:r w:rsidRPr="4971392D">
        <w:rPr>
          <w:rFonts w:ascii="Arial" w:hAnsi="Arial" w:cs="Arial"/>
          <w:b/>
          <w:bCs/>
          <w:sz w:val="20"/>
          <w:szCs w:val="20"/>
        </w:rPr>
        <w:t xml:space="preserve"> </w:t>
      </w:r>
    </w:p>
    <w:p w:rsidR="00B658A4" w:rsidRDefault="00B658A4" w:rsidP="00B658A4">
      <w:pPr>
        <w:spacing w:line="240" w:lineRule="auto"/>
        <w:rPr>
          <w:rFonts w:ascii="Calibri" w:hAnsi="Calibri" w:cs="Calibri"/>
        </w:rPr>
      </w:pPr>
      <w:r w:rsidRPr="0030716B">
        <w:rPr>
          <w:rFonts w:ascii="Calibri" w:hAnsi="Calibri" w:cs="Calibri"/>
        </w:rPr>
        <w:t>V okviru operativnega programa je določen prednostni vrstni red izvajanja ukrepov iz zahtev v zvezi z opremljanjem z infrastrukturo za odvajanje in čiščenje komunalne odpadne vode in rokov</w:t>
      </w:r>
      <w:r>
        <w:rPr>
          <w:rFonts w:ascii="Calibri" w:hAnsi="Calibri" w:cs="Calibri"/>
        </w:rPr>
        <w:t xml:space="preserve"> za zagotovitev opremljenosti.</w:t>
      </w:r>
    </w:p>
    <w:p w:rsidR="00B658A4" w:rsidRPr="0030716B" w:rsidRDefault="00B658A4" w:rsidP="00B658A4">
      <w:pPr>
        <w:spacing w:line="240" w:lineRule="auto"/>
        <w:rPr>
          <w:rFonts w:ascii="Calibri" w:hAnsi="Calibri" w:cs="Calibri"/>
        </w:rPr>
      </w:pPr>
      <w:r w:rsidRPr="0030716B">
        <w:rPr>
          <w:rFonts w:ascii="Calibri" w:hAnsi="Calibri" w:cs="Calibri"/>
        </w:rPr>
        <w:t xml:space="preserve">Ukrepi se izvajajo glede na prednostni vrstni red investicij. V sklopu prve prioritete se izvajajo ukrepi za zagotovitev skladnosti glede na zahteve Direktive o čiščenju komunalne odpadne vode, in sicer se izvajajo investicije v javno kanalizacijsko omrežje in komunalne ali skupne čistilne naprave v aglomeracijah s skupno obremenitvijo, enako ali večjo od 2.000 PE, ki so po preliminarni oceni ocenjene kot neskladne z direktivo. Zadnji razpoložljivi podatki za leto 2018 iz poročila o stanju glede izvajanja direktive namreč še vedno izkazujejo nezadovoljivo skladnost s predpisanimi zahtevami, vendar pa je opazen velik napredek glede na predhodna leta. Od 158 aglomeracij s skupno obremenitvijo, enako ali večjo od 2.000 PE, katerim roki so potekli v letih 2008, 2010, 2015 in 2016 je skladnih 85 aglomeracij (23,5% oziroma 20 več kot v predhodnem poročilu za leto 2016). </w:t>
      </w:r>
    </w:p>
    <w:p w:rsidR="00B658A4" w:rsidRPr="0030716B" w:rsidRDefault="00B658A4" w:rsidP="00B658A4">
      <w:pPr>
        <w:spacing w:line="240" w:lineRule="auto"/>
        <w:rPr>
          <w:rFonts w:ascii="Calibri" w:hAnsi="Calibri" w:cs="Calibri"/>
        </w:rPr>
      </w:pPr>
      <w:r w:rsidRPr="0030716B">
        <w:rPr>
          <w:rFonts w:ascii="Calibri" w:hAnsi="Calibri" w:cs="Calibri"/>
        </w:rPr>
        <w:t xml:space="preserve">V sklopu druge prioritete se izvajajo ukrepi za zagotovitev dobrega stanja na območju vodnega telesa podzemnih vod, in sicer na območjih Savinjske, Dravske in Murske kotline. </w:t>
      </w:r>
    </w:p>
    <w:p w:rsidR="00B658A4" w:rsidRPr="0030716B" w:rsidRDefault="00B658A4" w:rsidP="00B658A4">
      <w:pPr>
        <w:spacing w:line="240" w:lineRule="auto"/>
        <w:rPr>
          <w:rFonts w:ascii="Calibri" w:hAnsi="Calibri" w:cs="Calibri"/>
        </w:rPr>
      </w:pPr>
      <w:r w:rsidRPr="0030716B">
        <w:rPr>
          <w:rFonts w:ascii="Calibri" w:hAnsi="Calibri" w:cs="Calibri"/>
        </w:rPr>
        <w:t xml:space="preserve">Investicije v javno kanalizacijsko omrežje in v čistilno napravo v aglomeracijah s skupno obremenitvijo, manjšo od 2.000 PE se izvajajo v okviru tretje prioritete, kjer se zagotavlja skladnost v zvezi z zahtevami Uredbe o odvajanju in čiščenju komunalne odpadne vode. </w:t>
      </w:r>
    </w:p>
    <w:p w:rsidR="00B658A4" w:rsidRPr="0030716B" w:rsidRDefault="00B658A4" w:rsidP="00B658A4">
      <w:pPr>
        <w:spacing w:line="240" w:lineRule="auto"/>
        <w:rPr>
          <w:rFonts w:ascii="Calibri" w:hAnsi="Calibri" w:cs="Calibri"/>
        </w:rPr>
      </w:pPr>
      <w:r w:rsidRPr="0030716B">
        <w:rPr>
          <w:rFonts w:ascii="Calibri" w:hAnsi="Calibri" w:cs="Calibri"/>
        </w:rPr>
        <w:t xml:space="preserve">V okviru četrte prioritete pa se za zagotavlja skladnost na območju zunaj meja aglomeracij z investicijami v individualno ureditev za posamezen objekt ali skupino objektov. </w:t>
      </w:r>
    </w:p>
    <w:p w:rsidR="00B658A4" w:rsidRDefault="00B658A4" w:rsidP="00B658A4">
      <w:pPr>
        <w:spacing w:line="240" w:lineRule="auto"/>
        <w:rPr>
          <w:rFonts w:ascii="Calibri" w:hAnsi="Calibri" w:cs="Calibri"/>
        </w:rPr>
      </w:pPr>
      <w:r w:rsidRPr="0030716B">
        <w:rPr>
          <w:rFonts w:ascii="Calibri" w:hAnsi="Calibri" w:cs="Calibri"/>
        </w:rPr>
        <w:t xml:space="preserve">Eden izmed ukrepov za izboljšanje in lažje upravljanje s podatkovnimi zbirkami podatkov na področju odvajanja in čiščenja komunalne odpadne vode je razvoj in nadgradnja prostorsko informacijskega sistema, namenjenega izboljšanju vedenja o izvajanju zahtev veljavnih predpisov na evropski in nacionalni ravni in odzivnost Slovenije pri poročanju mednarodnim ustanovam. Trenutno se izvaja analiza stanja obstoječe informacijske rešitve za potrebe določitve minimalnih zahtev za </w:t>
      </w:r>
      <w:r>
        <w:rPr>
          <w:rFonts w:ascii="Calibri" w:hAnsi="Calibri" w:cs="Calibri"/>
        </w:rPr>
        <w:t xml:space="preserve"> nameščanje informacijske rešitve na centralno infrastrukturo MJU.</w:t>
      </w:r>
    </w:p>
    <w:p w:rsidR="00B658A4" w:rsidRPr="00532BB6" w:rsidRDefault="00B658A4" w:rsidP="00B658A4">
      <w:pPr>
        <w:rPr>
          <w:rFonts w:eastAsiaTheme="majorEastAsia" w:cstheme="majorBidi"/>
          <w:b/>
          <w:bCs/>
          <w:sz w:val="32"/>
          <w:szCs w:val="32"/>
        </w:rPr>
      </w:pPr>
      <w:r w:rsidRPr="4971392D">
        <w:rPr>
          <w:rFonts w:eastAsiaTheme="majorEastAsia" w:cstheme="majorBidi"/>
          <w:b/>
          <w:bCs/>
          <w:sz w:val="36"/>
          <w:szCs w:val="36"/>
        </w:rPr>
        <w:lastRenderedPageBreak/>
        <w:t>Operativni program varstva pred hrupom</w:t>
      </w:r>
    </w:p>
    <w:p w:rsidR="00B658A4" w:rsidRDefault="00B658A4" w:rsidP="00B658A4">
      <w:pPr>
        <w:spacing w:before="60" w:after="120" w:line="240" w:lineRule="atLeast"/>
        <w:rPr>
          <w:rFonts w:cs="Arial"/>
          <w:szCs w:val="20"/>
        </w:rPr>
      </w:pPr>
      <w:r>
        <w:rPr>
          <w:rFonts w:cs="Arial"/>
          <w:szCs w:val="20"/>
        </w:rPr>
        <w:t xml:space="preserve">Operativni program varstva pred hrupom (v nadaljevanju: OPH) pripravljamo na Ministrstvu za okolje in prostor, v sodelovanju z Ministrstvom za infrastrukturo, Ministrstvom za zdravje ter mestnima občinama Ljubljana in Maribor. Priprava OPH je naloga, ki izhaja iz Uredbe o ocenjevanju hrupa v okolju. Namen OPH je, da se na podlagi podatkov iz strateških kart hrupa opredeli prioritetna območja sanacije hrupa ter določi protihrupne ukrepe s katerimi se bo obremenjenost prebivalcev s hrupom ob najbolj prometnih cestah in železniških progah zmanjšala. </w:t>
      </w:r>
    </w:p>
    <w:p w:rsidR="00B658A4" w:rsidRDefault="00B658A4" w:rsidP="00B658A4">
      <w:pPr>
        <w:spacing w:before="60" w:after="120" w:line="240" w:lineRule="atLeast"/>
        <w:rPr>
          <w:rFonts w:cs="Arial"/>
          <w:szCs w:val="20"/>
        </w:rPr>
      </w:pPr>
      <w:r>
        <w:rPr>
          <w:rFonts w:cs="Arial"/>
          <w:szCs w:val="20"/>
        </w:rPr>
        <w:t xml:space="preserve">Načrtovanje ukrepov, ki obsegajo tako ukrepe za zmanjšanje emisije hrupa in širjenja hrupa v okolje kot tudi ukrepe za zmanjšanje izpostavljenosti hrupu na območjih, kjer vir hrupa povzroča čezmerno obremenjevanje okolja, načrtujejo upravljavci virov hrupa. Ti upoštevajoč objektivne kriterije kot so ocena obremenjenosti, tehnične zmožnosti za zmanjšanje hrupa, količine finančnih sredstev in ne nazadnje tudi predvidenih rekonstrukcij na posameznih odsekih cest ali železnic, pripravijo načrt ukrepov tako, da se predvideni protihrupni ukrepi izvedejo na najbolj gospodaren način. </w:t>
      </w:r>
    </w:p>
    <w:p w:rsidR="00B658A4" w:rsidRDefault="00B658A4" w:rsidP="00B658A4">
      <w:pPr>
        <w:spacing w:before="60" w:after="120" w:line="240" w:lineRule="atLeast"/>
        <w:rPr>
          <w:rFonts w:cs="Arial"/>
          <w:szCs w:val="20"/>
        </w:rPr>
      </w:pPr>
      <w:r>
        <w:rPr>
          <w:rFonts w:cs="Arial"/>
          <w:szCs w:val="20"/>
        </w:rPr>
        <w:t>V skladu z zakonodajo se OPH, v primeru pomembnejšega dogajanja, ki bi utegnilo vplivati na obstoječe razmere na področju hrupa pregleda, ter če je treba, popravi, najmanj vsakih pet let po datumu njegovega sprejema na Vladi Republike Slovenije. Gre za programski dokument, ki ni omejen na določeno obdobje, pač pa ostaja veljaven do novih sprememb sprejetih na Vladi RS.</w:t>
      </w:r>
    </w:p>
    <w:p w:rsidR="00B658A4" w:rsidRDefault="00B658A4" w:rsidP="00B658A4">
      <w:pPr>
        <w:spacing w:before="60" w:after="120" w:line="240" w:lineRule="atLeast"/>
        <w:rPr>
          <w:rFonts w:cs="Arial"/>
          <w:szCs w:val="20"/>
        </w:rPr>
      </w:pPr>
      <w:r>
        <w:rPr>
          <w:rFonts w:cs="Arial"/>
          <w:szCs w:val="20"/>
        </w:rPr>
        <w:t>Aktualni, veljavni OPH, je bil na Vladi RS sprejet 1. 3. 2018. Iz analize izvajanja ukrepov za doseganje ciljev varstva pred hrupom, ki so bili načrtovani v OPH je razvidno, da je bilo za:</w:t>
      </w:r>
    </w:p>
    <w:p w:rsidR="00B658A4" w:rsidRDefault="00B658A4" w:rsidP="00B658A4">
      <w:pPr>
        <w:pStyle w:val="Odstavekseznama"/>
        <w:numPr>
          <w:ilvl w:val="0"/>
          <w:numId w:val="7"/>
        </w:numPr>
        <w:spacing w:before="60" w:after="120" w:line="240" w:lineRule="atLeast"/>
        <w:jc w:val="both"/>
        <w:rPr>
          <w:rFonts w:cs="Arial"/>
          <w:szCs w:val="20"/>
          <w:u w:val="single"/>
        </w:rPr>
      </w:pPr>
      <w:r>
        <w:rPr>
          <w:rFonts w:cs="Arial"/>
          <w:szCs w:val="20"/>
          <w:u w:val="single"/>
        </w:rPr>
        <w:t xml:space="preserve">omrežje železniških prog </w:t>
      </w:r>
    </w:p>
    <w:p w:rsidR="00B658A4" w:rsidRPr="00532BB6" w:rsidRDefault="00B658A4" w:rsidP="00B658A4">
      <w:pPr>
        <w:pStyle w:val="Odstavekseznama"/>
        <w:numPr>
          <w:ilvl w:val="0"/>
          <w:numId w:val="8"/>
        </w:numPr>
        <w:spacing w:before="60" w:after="120" w:line="240" w:lineRule="atLeast"/>
        <w:jc w:val="both"/>
        <w:rPr>
          <w:rFonts w:asciiTheme="majorHAnsi" w:hAnsiTheme="majorHAnsi"/>
          <w:lang w:eastAsia="en-GB"/>
        </w:rPr>
      </w:pPr>
      <w:r w:rsidRPr="00532BB6">
        <w:rPr>
          <w:rFonts w:asciiTheme="majorHAnsi" w:hAnsiTheme="majorHAnsi"/>
          <w:lang w:eastAsia="en-GB"/>
        </w:rPr>
        <w:t>Predvidena postavitev 8 protihrupnih ograj, izvedba pasivne zaščite na stanovanjskih objektih na treh območjih ter izvajanje postopne posodobitve železniške infrastrukture in vozne mreže.</w:t>
      </w:r>
    </w:p>
    <w:p w:rsidR="00B658A4" w:rsidRDefault="00B658A4" w:rsidP="00B658A4">
      <w:pPr>
        <w:pStyle w:val="Odstavekseznama"/>
        <w:numPr>
          <w:ilvl w:val="0"/>
          <w:numId w:val="7"/>
        </w:numPr>
        <w:spacing w:before="60" w:after="120" w:line="240" w:lineRule="atLeast"/>
        <w:jc w:val="both"/>
        <w:rPr>
          <w:rFonts w:cs="Arial"/>
          <w:szCs w:val="20"/>
          <w:u w:val="single"/>
        </w:rPr>
      </w:pPr>
      <w:r>
        <w:rPr>
          <w:rFonts w:cs="Arial"/>
          <w:szCs w:val="20"/>
          <w:u w:val="single"/>
        </w:rPr>
        <w:t xml:space="preserve">omrežje avtocest in hitrih cest </w:t>
      </w:r>
    </w:p>
    <w:p w:rsidR="00B658A4" w:rsidRPr="00532BB6" w:rsidRDefault="00B658A4" w:rsidP="00B658A4">
      <w:pPr>
        <w:pStyle w:val="Odstavekseznama"/>
        <w:numPr>
          <w:ilvl w:val="0"/>
          <w:numId w:val="8"/>
        </w:numPr>
        <w:spacing w:before="60" w:after="120" w:line="240" w:lineRule="atLeast"/>
        <w:jc w:val="both"/>
        <w:rPr>
          <w:rFonts w:asciiTheme="majorHAnsi" w:hAnsiTheme="majorHAnsi"/>
          <w:lang w:eastAsia="en-GB"/>
        </w:rPr>
      </w:pPr>
      <w:r w:rsidRPr="00532BB6">
        <w:rPr>
          <w:rFonts w:asciiTheme="majorHAnsi" w:hAnsiTheme="majorHAnsi"/>
          <w:lang w:eastAsia="en-GB"/>
        </w:rPr>
        <w:t>Predvidena postavitev 12 protihrupnih ograj, izvedba pasivne zaščite 10 stanovanjskih objektov ter kontinuirano izvajanje obnov avtocest in hitrih cest.</w:t>
      </w:r>
    </w:p>
    <w:p w:rsidR="00B658A4" w:rsidRDefault="00B658A4" w:rsidP="00B658A4">
      <w:pPr>
        <w:pStyle w:val="Odstavekseznama"/>
        <w:numPr>
          <w:ilvl w:val="0"/>
          <w:numId w:val="7"/>
        </w:numPr>
        <w:spacing w:before="60" w:after="120" w:line="240" w:lineRule="atLeast"/>
        <w:jc w:val="both"/>
        <w:rPr>
          <w:rFonts w:cs="Arial"/>
          <w:szCs w:val="20"/>
          <w:u w:val="single"/>
        </w:rPr>
      </w:pPr>
      <w:r>
        <w:rPr>
          <w:rFonts w:cs="Arial"/>
          <w:szCs w:val="20"/>
        </w:rPr>
        <w:t xml:space="preserve"> </w:t>
      </w:r>
      <w:r>
        <w:rPr>
          <w:rFonts w:cs="Arial"/>
          <w:szCs w:val="20"/>
          <w:u w:val="single"/>
        </w:rPr>
        <w:t xml:space="preserve">omrežje glavnih in regionalnih cest </w:t>
      </w:r>
    </w:p>
    <w:p w:rsidR="00B658A4" w:rsidRPr="00532BB6" w:rsidRDefault="00B658A4" w:rsidP="00B658A4">
      <w:pPr>
        <w:pStyle w:val="Odstavekseznama"/>
        <w:numPr>
          <w:ilvl w:val="0"/>
          <w:numId w:val="8"/>
        </w:numPr>
        <w:spacing w:before="60" w:after="120" w:line="240" w:lineRule="atLeast"/>
        <w:jc w:val="both"/>
        <w:rPr>
          <w:rFonts w:asciiTheme="majorHAnsi" w:hAnsiTheme="majorHAnsi"/>
          <w:lang w:eastAsia="en-GB"/>
        </w:rPr>
      </w:pPr>
      <w:r w:rsidRPr="00532BB6">
        <w:rPr>
          <w:rFonts w:asciiTheme="majorHAnsi" w:hAnsiTheme="majorHAnsi"/>
          <w:lang w:eastAsia="en-GB"/>
        </w:rPr>
        <w:t>Predvidena postavitev aktivne protihrupne zaščite na dveh območjih, izvedba pasivne zaščite na stanovanjskih objektih ob štirih odsekih cest ter za štiri odseke cest izdelava študij s predlogi protihrupnih ukrepov.</w:t>
      </w:r>
    </w:p>
    <w:p w:rsidR="00B658A4" w:rsidRPr="00532BB6" w:rsidRDefault="00B658A4" w:rsidP="00B658A4">
      <w:pPr>
        <w:pStyle w:val="Odstavekseznama"/>
        <w:numPr>
          <w:ilvl w:val="0"/>
          <w:numId w:val="8"/>
        </w:numPr>
        <w:spacing w:before="60" w:after="120" w:line="240" w:lineRule="atLeast"/>
        <w:jc w:val="both"/>
        <w:rPr>
          <w:rFonts w:asciiTheme="majorHAnsi" w:hAnsiTheme="majorHAnsi"/>
          <w:lang w:eastAsia="en-GB"/>
        </w:rPr>
      </w:pPr>
      <w:r w:rsidRPr="00532BB6">
        <w:rPr>
          <w:rFonts w:asciiTheme="majorHAnsi" w:hAnsiTheme="majorHAnsi"/>
          <w:lang w:eastAsia="en-GB"/>
        </w:rPr>
        <w:t>Vsi načrtovani ukrepi so bili realizirani.</w:t>
      </w:r>
    </w:p>
    <w:p w:rsidR="00B658A4" w:rsidRDefault="00B658A4" w:rsidP="00B658A4">
      <w:pPr>
        <w:pStyle w:val="Odstavekseznama"/>
        <w:numPr>
          <w:ilvl w:val="0"/>
          <w:numId w:val="7"/>
        </w:numPr>
        <w:spacing w:before="60" w:after="120" w:line="240" w:lineRule="atLeast"/>
        <w:jc w:val="both"/>
        <w:rPr>
          <w:rFonts w:cs="Arial"/>
          <w:szCs w:val="20"/>
          <w:u w:val="single"/>
        </w:rPr>
      </w:pPr>
      <w:r>
        <w:rPr>
          <w:rFonts w:cs="Arial"/>
          <w:szCs w:val="20"/>
          <w:u w:val="single"/>
        </w:rPr>
        <w:t xml:space="preserve">območje Ljubljane </w:t>
      </w:r>
    </w:p>
    <w:p w:rsidR="00B658A4" w:rsidRPr="00532BB6" w:rsidRDefault="00B658A4" w:rsidP="00B658A4">
      <w:pPr>
        <w:pStyle w:val="Odstavekseznama"/>
        <w:numPr>
          <w:ilvl w:val="0"/>
          <w:numId w:val="8"/>
        </w:numPr>
        <w:spacing w:before="60" w:after="120" w:line="240" w:lineRule="atLeast"/>
        <w:jc w:val="both"/>
        <w:rPr>
          <w:rFonts w:asciiTheme="majorHAnsi" w:hAnsiTheme="majorHAnsi"/>
          <w:lang w:eastAsia="en-GB"/>
        </w:rPr>
      </w:pPr>
      <w:r w:rsidRPr="00532BB6">
        <w:rPr>
          <w:rFonts w:asciiTheme="majorHAnsi" w:hAnsiTheme="majorHAnsi"/>
          <w:lang w:eastAsia="en-GB"/>
        </w:rPr>
        <w:t>Predvideno kontinuirano izvajanje ukrepov na področju prometnih ureditev v skladu s celostno prometno strategijo, vključevanje vidika varstva pred hrupom v proces priprave in sprejetja OPN ter izvedba protihrupne ograje in pasivne zaščite 51 objektov ob železniški progi G10.</w:t>
      </w:r>
    </w:p>
    <w:p w:rsidR="00B658A4" w:rsidRDefault="00B658A4" w:rsidP="00B658A4">
      <w:pPr>
        <w:pStyle w:val="Odstavekseznama"/>
        <w:numPr>
          <w:ilvl w:val="0"/>
          <w:numId w:val="7"/>
        </w:numPr>
        <w:spacing w:before="60" w:after="120" w:line="240" w:lineRule="atLeast"/>
        <w:jc w:val="both"/>
        <w:rPr>
          <w:rFonts w:cs="Arial"/>
          <w:szCs w:val="20"/>
          <w:u w:val="single"/>
        </w:rPr>
      </w:pPr>
      <w:r>
        <w:rPr>
          <w:rFonts w:cs="Arial"/>
          <w:szCs w:val="20"/>
          <w:u w:val="single"/>
        </w:rPr>
        <w:t xml:space="preserve">območje Maribora </w:t>
      </w:r>
    </w:p>
    <w:p w:rsidR="00B658A4" w:rsidRPr="00532BB6" w:rsidRDefault="00B658A4" w:rsidP="00B658A4">
      <w:pPr>
        <w:pStyle w:val="Odstavekseznama"/>
        <w:numPr>
          <w:ilvl w:val="0"/>
          <w:numId w:val="8"/>
        </w:numPr>
        <w:spacing w:before="60" w:after="120" w:line="240" w:lineRule="atLeast"/>
        <w:jc w:val="both"/>
        <w:rPr>
          <w:rFonts w:asciiTheme="majorHAnsi" w:hAnsiTheme="majorHAnsi"/>
          <w:lang w:eastAsia="en-GB"/>
        </w:rPr>
      </w:pPr>
      <w:r w:rsidRPr="00532BB6">
        <w:rPr>
          <w:rFonts w:asciiTheme="majorHAnsi" w:hAnsiTheme="majorHAnsi"/>
          <w:lang w:eastAsia="en-GB"/>
        </w:rPr>
        <w:t>Predvideno kontinuirano izvajanje ukrepov na področju prometnih ureditev v skladu s celostno prometno strategijo, vključevanje vidika varstva pred hrupom v proces priprave in sprejetja OPN, izvedba pasivne zaščite 36 stanovanjih objektov ob odseku glavne ceste ter postavitev dveh protihrupnih ograj ob železniški progi G30.</w:t>
      </w:r>
    </w:p>
    <w:p w:rsidR="00B658A4" w:rsidRPr="00532BB6" w:rsidRDefault="00B658A4" w:rsidP="00B658A4">
      <w:pPr>
        <w:pStyle w:val="Odstavekseznama"/>
        <w:numPr>
          <w:ilvl w:val="0"/>
          <w:numId w:val="8"/>
        </w:numPr>
        <w:spacing w:before="60" w:after="120" w:line="240" w:lineRule="atLeast"/>
        <w:jc w:val="both"/>
        <w:rPr>
          <w:rFonts w:asciiTheme="majorHAnsi" w:hAnsiTheme="majorHAnsi"/>
          <w:lang w:eastAsia="en-GB"/>
        </w:rPr>
      </w:pPr>
      <w:r w:rsidRPr="54AF0932">
        <w:rPr>
          <w:rFonts w:asciiTheme="majorHAnsi" w:hAnsiTheme="majorHAnsi"/>
          <w:lang w:eastAsia="en-GB"/>
        </w:rPr>
        <w:t>Realizirana je bila izvedba pasivne zaščite stanovanjskih objektov.</w:t>
      </w:r>
    </w:p>
    <w:p w:rsidR="00B658A4" w:rsidRDefault="00B658A4" w:rsidP="00B658A4">
      <w:pPr>
        <w:spacing w:before="60" w:after="120" w:line="240" w:lineRule="atLeast"/>
      </w:pPr>
      <w:r>
        <w:t xml:space="preserve">Primerjava ocene obremenjenosti prebivalcev s hrupom II. in III. faze strateškega kartiranja hrupa kaže, da se izpostavljenost prebivalcev hrupu, zaradi prometa najbolj </w:t>
      </w:r>
      <w:r w:rsidRPr="54AF0932">
        <w:rPr>
          <w:rFonts w:cs="Arial"/>
        </w:rPr>
        <w:t>učinkovito</w:t>
      </w:r>
      <w:r>
        <w:t xml:space="preserve"> zmanjšuje ob cestah izven urbanih območij. Izpostavljenost prebivalcev hrupu železniškega prometa ostaja na približno enaki ravni. </w:t>
      </w:r>
    </w:p>
    <w:p w:rsidR="00B658A4" w:rsidRDefault="00B658A4" w:rsidP="00B658A4">
      <w:pPr>
        <w:spacing w:before="60" w:after="120" w:line="240" w:lineRule="atLeast"/>
        <w:rPr>
          <w:rFonts w:cs="Arial"/>
        </w:rPr>
      </w:pPr>
      <w:r w:rsidRPr="54AF0932">
        <w:rPr>
          <w:rFonts w:cs="Arial"/>
        </w:rPr>
        <w:lastRenderedPageBreak/>
        <w:t>Ministrstvo v sodelovanju z deležniki, navedenih v prvem odstavku, pripravlja revizijo OPH. Na ministrstvu načrtujemo, da bomo osnutek revidiranega OPH posredovali v javno obravnavo v mesecu oktobru 2021, na sprejem na Vlado RS pa decembra 2021.</w:t>
      </w:r>
      <w:r>
        <w:t xml:space="preserve"> </w:t>
      </w:r>
    </w:p>
    <w:p w:rsidR="00B658A4" w:rsidRDefault="00B658A4" w:rsidP="00B658A4">
      <w:pPr>
        <w:spacing w:before="60" w:after="120" w:line="240" w:lineRule="atLeast"/>
        <w:rPr>
          <w:rFonts w:cs="Arial"/>
          <w:szCs w:val="20"/>
        </w:rPr>
      </w:pPr>
    </w:p>
    <w:p w:rsidR="00B658A4" w:rsidRDefault="00B658A4" w:rsidP="00B658A4">
      <w:pPr>
        <w:spacing w:line="240" w:lineRule="auto"/>
        <w:rPr>
          <w:rFonts w:ascii="Calibri" w:hAnsi="Calibri" w:cs="Calibri"/>
        </w:rPr>
      </w:pPr>
    </w:p>
    <w:p w:rsidR="00B658A4" w:rsidRDefault="00B658A4" w:rsidP="00B658A4">
      <w:pPr>
        <w:pStyle w:val="Naslov1"/>
        <w:rPr>
          <w:b/>
          <w:bCs/>
          <w:sz w:val="36"/>
          <w:szCs w:val="36"/>
        </w:rPr>
      </w:pPr>
      <w:r w:rsidRPr="4971392D">
        <w:rPr>
          <w:b/>
          <w:bCs/>
          <w:sz w:val="36"/>
          <w:szCs w:val="36"/>
        </w:rPr>
        <w:t>Program ravnanja z odpadki in program preprečevanja odpadkov</w:t>
      </w:r>
    </w:p>
    <w:p w:rsidR="00B658A4" w:rsidRDefault="00B658A4" w:rsidP="00B658A4">
      <w:pPr>
        <w:spacing w:line="276" w:lineRule="auto"/>
      </w:pPr>
      <w:r w:rsidRPr="007D30A7">
        <w:t xml:space="preserve">Program ravnanja z odpadki in Program preprečevanja odpadkov (v nadaljnjem besedilu: program) </w:t>
      </w:r>
      <w:r>
        <w:t>je instrument</w:t>
      </w:r>
      <w:r w:rsidRPr="007D30A7">
        <w:t xml:space="preserve"> Vlade Republike Slovenije za izpolnitev preprečevanja nastajanja odpadkov, zagotavljanje predpisanega ravnanja z odpadki in dosego ciljev ravnanja z odpadki za obdobje do leta 2035 in glede na nov</w:t>
      </w:r>
      <w:r>
        <w:t>e okoljske zahteve predstavlja</w:t>
      </w:r>
      <w:r w:rsidRPr="007D30A7">
        <w:t xml:space="preserve"> novelacijo sprejetega programa iz leta 2016.</w:t>
      </w:r>
      <w:r>
        <w:t xml:space="preserve"> O</w:t>
      </w:r>
      <w:r w:rsidRPr="007D30A7">
        <w:t xml:space="preserve">bveznost priprave načrtov ravnanja z odpadki ter programov preprečevanja nastajanja odpadkov, </w:t>
      </w:r>
      <w:r>
        <w:t xml:space="preserve">njihov obvezen pregled in oceno </w:t>
      </w:r>
      <w:r w:rsidRPr="007D30A7">
        <w:t>Direktiva 2008/98/ES o odpadkih</w:t>
      </w:r>
      <w:r>
        <w:t>. Program je</w:t>
      </w:r>
      <w:r w:rsidRPr="007D30A7">
        <w:t xml:space="preserve"> v skladu z Zakonom o varstvu okolja pripravljen za izvrševanje obveznosti iz predpisov EU, ki se nanašajo na oblikovanje programov na področju varstva okolja. Program sledi strateškim usmeritvam evropskih politik, ki ob poudarjanju preprečevanja nastajanja odpadkov dajejo prednost pripravi odpadkov za ponovno uporabo in njihovemu recikliranju pred energetsko predelavo odpadkov, predelavi odpadkov pa prednost pred njihovim odstranjevanjem, če in kjer je to najboljša možnost z vidika varstva okolja, ob upoštevanju tehnične izvedljivosti in ekonomske smiselnosti.</w:t>
      </w:r>
    </w:p>
    <w:p w:rsidR="00B658A4" w:rsidRDefault="00B658A4" w:rsidP="00B658A4">
      <w:pPr>
        <w:spacing w:line="276" w:lineRule="auto"/>
      </w:pPr>
      <w:r>
        <w:t xml:space="preserve">Program ravnanja z odpadki in program preprečevanja odpadkov je bil sprejet na 94. seji Vlade republike Slovenije dne 30. 6. 2016. Ministrstvo za okolje in prostor pripravlja </w:t>
      </w:r>
      <w:r>
        <w:rPr>
          <w:rFonts w:cs="Arial"/>
          <w:szCs w:val="20"/>
        </w:rPr>
        <w:t>osnutek novega programa, ki ga bomo predvidoma posredovali v javno obravnavo v mesecu oktobru 2021, na sprejem na Vlado RS pa decembra 2021.</w:t>
      </w:r>
    </w:p>
    <w:p w:rsidR="00B658A4" w:rsidRDefault="00B658A4" w:rsidP="00B658A4">
      <w:pPr>
        <w:spacing w:line="276" w:lineRule="auto"/>
      </w:pPr>
      <w:r>
        <w:t>V trenutnem programu je za skupno doseganje ciljev je v programu ravnanja z odpadki opredeljenih 31 ukrepov oz. skupaj 49 pod-ukrepov</w:t>
      </w:r>
      <w:r w:rsidRPr="00904689">
        <w:t xml:space="preserve"> </w:t>
      </w:r>
      <w:r>
        <w:t>za posamezne tokove odpadkov, preprečevanje, ločevanje in obdelavo odpadkov, pošiljanje odpadkov preko meja, v gospodarskih družbah, onesnaženih območjih, na področju okoljskega kriminala idr., ki zahtevajo sodelovanje tudi ostalih resorjev. Na podlagi analiziranih podatkov in informacij, zbranimi do leta 2019 je med drugim ugotovljeno</w:t>
      </w:r>
      <w:r w:rsidRPr="007D30A7">
        <w:t>, da so potrebna nadaljnja prizadevanja za izboljšanje statistik podatkov o ravnanju z odpadki</w:t>
      </w:r>
      <w:r>
        <w:t>, saj p</w:t>
      </w:r>
      <w:r w:rsidRPr="00410ED2">
        <w:t xml:space="preserve">ridobivanje točnih podatkov </w:t>
      </w:r>
      <w:r>
        <w:t>omogoča</w:t>
      </w:r>
      <w:r w:rsidRPr="00D26FD0">
        <w:t xml:space="preserve"> odločitve glede ustreznih usmeritev in politik na področju ravnanja z odpadki in preprečevanja odpadkov v RS </w:t>
      </w:r>
      <w:r>
        <w:t xml:space="preserve">ter je </w:t>
      </w:r>
      <w:r w:rsidRPr="00410ED2">
        <w:t>pomem</w:t>
      </w:r>
      <w:r>
        <w:t xml:space="preserve">bno </w:t>
      </w:r>
      <w:r w:rsidRPr="00410ED2">
        <w:t xml:space="preserve">za spremljanje doseganja okoljskih ciljev in poročanje </w:t>
      </w:r>
      <w:r>
        <w:t xml:space="preserve">Evropski </w:t>
      </w:r>
      <w:r w:rsidRPr="00410ED2">
        <w:t>Komisiji</w:t>
      </w:r>
      <w:r>
        <w:t>. V noveliranem programu bodo tako, kot na področju statistik podatkov, dopolnjeni ali na novo določeni tudi drugi ukrepi za boljše doseganje ciljev preprečevanja odpadkov in ravnanja z njimi.</w:t>
      </w:r>
    </w:p>
    <w:p w:rsidR="00B658A4" w:rsidRDefault="00B658A4" w:rsidP="00B658A4">
      <w:pPr>
        <w:spacing w:line="276" w:lineRule="auto"/>
      </w:pPr>
    </w:p>
    <w:p w:rsidR="00B658A4" w:rsidRDefault="00B658A4" w:rsidP="00B658A4">
      <w:pPr>
        <w:spacing w:line="240" w:lineRule="auto"/>
        <w:rPr>
          <w:rFonts w:ascii="Calibri" w:hAnsi="Calibri" w:cs="Calibri"/>
        </w:rPr>
      </w:pPr>
    </w:p>
    <w:p w:rsidR="00B658A4" w:rsidRDefault="00B658A4" w:rsidP="00B658A4">
      <w:pPr>
        <w:pStyle w:val="Naslov1"/>
        <w:rPr>
          <w:b/>
          <w:bCs/>
          <w:sz w:val="36"/>
          <w:szCs w:val="36"/>
        </w:rPr>
      </w:pPr>
      <w:r w:rsidRPr="4971392D">
        <w:rPr>
          <w:b/>
          <w:bCs/>
          <w:sz w:val="36"/>
          <w:szCs w:val="36"/>
        </w:rPr>
        <w:lastRenderedPageBreak/>
        <w:t>Operativni program nadzora nad onesnaževanjem zraka (OPNOZ)</w:t>
      </w:r>
    </w:p>
    <w:p w:rsidR="00B658A4" w:rsidRDefault="00B658A4" w:rsidP="00B658A4">
      <w:pPr>
        <w:pStyle w:val="Naslov1"/>
        <w:rPr>
          <w:b/>
        </w:rPr>
      </w:pPr>
      <w:r>
        <w:rPr>
          <w:b/>
        </w:rPr>
        <w:t xml:space="preserve">Uvod </w:t>
      </w:r>
    </w:p>
    <w:p w:rsidR="00B658A4" w:rsidRPr="006B3930" w:rsidRDefault="00B658A4" w:rsidP="00B658A4">
      <w:pPr>
        <w:spacing w:line="276" w:lineRule="auto"/>
      </w:pPr>
      <w:r>
        <w:t>Slovenija mora na podlagi Direktive (EU) 2016/2284 o zmanjšanju nacionalnih emisij za nekatera onesnaževala zraka (nova Direktiva NEC) znatno zmanjšati svoje emisije osnovnih onesnaževal zraka, in sicer do leta 2030 emisije SO</w:t>
      </w:r>
      <w:r w:rsidRPr="6FF7F006">
        <w:rPr>
          <w:vertAlign w:val="subscript"/>
        </w:rPr>
        <w:t>2</w:t>
      </w:r>
      <w:r>
        <w:t xml:space="preserve"> za vsaj 92 odstotkov glede na leto 2005, NOx za vsaj 65 odstotkov, NMVOC za vsaj 53 odstotkov, NH</w:t>
      </w:r>
      <w:r w:rsidRPr="6FF7F006">
        <w:rPr>
          <w:vertAlign w:val="subscript"/>
        </w:rPr>
        <w:t>3</w:t>
      </w:r>
      <w:r>
        <w:t xml:space="preserve"> za vsaj 15 odstotkov ter PM</w:t>
      </w:r>
      <w:r w:rsidRPr="6FF7F006">
        <w:rPr>
          <w:vertAlign w:val="subscript"/>
        </w:rPr>
        <w:t>2,5</w:t>
      </w:r>
      <w:r>
        <w:t xml:space="preserve"> za vsaj 60 odstotkov.  </w:t>
      </w:r>
    </w:p>
    <w:p w:rsidR="00B658A4" w:rsidRPr="006B3930" w:rsidRDefault="00B658A4" w:rsidP="00B658A4">
      <w:pPr>
        <w:spacing w:line="276" w:lineRule="auto"/>
      </w:pPr>
      <w:r w:rsidRPr="006B3930">
        <w:t>Za doseganje obveznosti zmanjšanja emisij za osnovna onesnaževala zunanjega zraka je bil leta 2019 sprejet Operativni program nadzora nad onesnaževanjem zraka (OPNOZ), kjer so  vključeni ukrepi v vseh ustreznih sektorjih, vključno s kmetijstvom, energetiko, industrijo, cestnim prometom, ogrevanjem v gospodinjstvih, topili in uporabo necestne mobilne mehanizacije. Pripravlja se revizija sprejetega programa, ki bo vseboval dodatne ukrepe za doseg obveznosti zmanjšanja emisij.</w:t>
      </w:r>
    </w:p>
    <w:p w:rsidR="00B658A4" w:rsidRPr="006B3930" w:rsidRDefault="00B658A4" w:rsidP="00B658A4">
      <w:pPr>
        <w:spacing w:line="276" w:lineRule="auto"/>
      </w:pPr>
      <w:r>
        <w:t>Najpomembnejši vir emisij SO</w:t>
      </w:r>
      <w:r w:rsidRPr="6FF7F006">
        <w:rPr>
          <w:vertAlign w:val="subscript"/>
        </w:rPr>
        <w:t>2</w:t>
      </w:r>
      <w:r>
        <w:t xml:space="preserve"> je proizvodnja električne energije, sledijo industrijski procesi, k emisijam NOx največ prispeva promet. Glavna vira emisij NMVOC sta raba topil in zgorevanje lesne biomase v malih kuriščih. Mala kurišča so tudi najpomembnejši vir emisij PM</w:t>
      </w:r>
      <w:r w:rsidRPr="6FF7F006">
        <w:rPr>
          <w:vertAlign w:val="subscript"/>
        </w:rPr>
        <w:t>2,5</w:t>
      </w:r>
      <w:r>
        <w:t>, k emisijam NH</w:t>
      </w:r>
      <w:r w:rsidRPr="6FF7F006">
        <w:rPr>
          <w:vertAlign w:val="subscript"/>
        </w:rPr>
        <w:t>3</w:t>
      </w:r>
      <w:r>
        <w:t xml:space="preserve"> pa daleč največ prispeva kmetijstvo. Kmetijstvo je tudi velik vir emisij NOx in NMVOC, vendar nova Direktiva NEC omogoča koriščenje fleksibilnosti, pri kateri se za ugotovitev skladnosti s cilji lahko izloči emisije, ki so bile v evidence vključene naknadno, po določitvi ciljev za države. Zato OPNOZ emisij NOx in NMVOC iz kmetijstva ne vključuje pri analizi skladnosti.</w:t>
      </w:r>
    </w:p>
    <w:p w:rsidR="00B658A4" w:rsidRDefault="00B658A4" w:rsidP="00B658A4">
      <w:pPr>
        <w:spacing w:line="276" w:lineRule="auto"/>
      </w:pPr>
      <w:r>
        <w:t>Emisije se po novih projekcijah z ambicioznim izvajanjem dodatnih ukrepov, ki je bil izbran scenarij v NEPN-u, močno zmanjšajo. Emisije NOx se  do leta 2030 zmanjšajo za 72% (brez kmetijstva), emisije SO</w:t>
      </w:r>
      <w:r w:rsidRPr="6FF7F006">
        <w:rPr>
          <w:vertAlign w:val="subscript"/>
        </w:rPr>
        <w:t>2</w:t>
      </w:r>
      <w:r>
        <w:t xml:space="preserve"> za 92%, emisije NMVOC za 56% (brez kmetijstva), emisije NH</w:t>
      </w:r>
      <w:r w:rsidRPr="6FF7F006">
        <w:rPr>
          <w:vertAlign w:val="subscript"/>
        </w:rPr>
        <w:t>3</w:t>
      </w:r>
      <w:r>
        <w:t xml:space="preserve"> za 21%  in emisije PM</w:t>
      </w:r>
      <w:r w:rsidRPr="6FF7F006">
        <w:rPr>
          <w:vertAlign w:val="subscript"/>
        </w:rPr>
        <w:t>2,5</w:t>
      </w:r>
      <w:r>
        <w:t xml:space="preserve"> za 61%.</w:t>
      </w:r>
    </w:p>
    <w:p w:rsidR="00B658A4" w:rsidRDefault="00B658A4" w:rsidP="00B658A4">
      <w:pPr>
        <w:spacing w:line="276" w:lineRule="auto"/>
        <w:rPr>
          <w:rFonts w:eastAsiaTheme="majorEastAsia" w:cstheme="majorBidi"/>
        </w:rPr>
      </w:pPr>
      <w:r w:rsidRPr="6FF7F006">
        <w:rPr>
          <w:rFonts w:eastAsiaTheme="majorEastAsia" w:cstheme="majorBidi"/>
        </w:rPr>
        <w:t>Za doseg predpisanih obveznosti zmanjšanja emisij do leta 2030 bo potrebno poskrbeti za dosledno izvajanje ukrepov, ki so bili upoštevani v projekciji, ki predvideva ambiciozno izvajanje dodatnih ukrepov in bodo vključeni v revidiran OPNOZ. Ob nadaljnjem izvajanju širokega nabora ukrepov, ki se že izvajajo in so vključeni v programe za blaženje podnebnih sprememb ter sektorske programe, ob upoštevanju okoljskih predpisov glede mejnih emisij ter drugih predpisov, je doseganje ciljev leta 2030 realno dosegljivo za NOx, SO</w:t>
      </w:r>
      <w:r w:rsidRPr="6FF7F006">
        <w:rPr>
          <w:rFonts w:eastAsiaTheme="majorEastAsia" w:cstheme="majorBidi"/>
          <w:vertAlign w:val="subscript"/>
        </w:rPr>
        <w:t>2</w:t>
      </w:r>
      <w:r w:rsidRPr="6FF7F006">
        <w:rPr>
          <w:rFonts w:eastAsiaTheme="majorEastAsia" w:cstheme="majorBidi"/>
        </w:rPr>
        <w:t xml:space="preserve"> in NH</w:t>
      </w:r>
      <w:r w:rsidRPr="6FF7F006">
        <w:rPr>
          <w:rFonts w:eastAsiaTheme="majorEastAsia" w:cstheme="majorBidi"/>
          <w:vertAlign w:val="subscript"/>
        </w:rPr>
        <w:t>3</w:t>
      </w:r>
      <w:r w:rsidRPr="6FF7F006">
        <w:rPr>
          <w:rFonts w:eastAsiaTheme="majorEastAsia" w:cstheme="majorBidi"/>
        </w:rPr>
        <w:t>. Za doseganje ciljnega zmanjšanja PM</w:t>
      </w:r>
      <w:r w:rsidRPr="6FF7F006">
        <w:rPr>
          <w:rFonts w:eastAsiaTheme="majorEastAsia" w:cstheme="majorBidi"/>
          <w:vertAlign w:val="subscript"/>
        </w:rPr>
        <w:t>2,5</w:t>
      </w:r>
      <w:r w:rsidRPr="6FF7F006">
        <w:rPr>
          <w:rFonts w:eastAsiaTheme="majorEastAsia" w:cstheme="majorBidi"/>
        </w:rPr>
        <w:t xml:space="preserve"> in NMVOC pa bodo poleg sedanjih ukrepov potrebni dodatni ukrepi. Identificirani so bili naslednji ukrepi:</w:t>
      </w:r>
    </w:p>
    <w:p w:rsidR="00B658A4" w:rsidRPr="00514054" w:rsidRDefault="00B658A4" w:rsidP="00B658A4">
      <w:pPr>
        <w:pStyle w:val="Odstavekseznama"/>
        <w:numPr>
          <w:ilvl w:val="0"/>
          <w:numId w:val="6"/>
        </w:numPr>
        <w:spacing w:after="0" w:line="240" w:lineRule="auto"/>
        <w:jc w:val="both"/>
        <w:rPr>
          <w:rFonts w:asciiTheme="majorHAnsi" w:eastAsiaTheme="majorEastAsia" w:hAnsiTheme="majorHAnsi" w:cstheme="majorBidi"/>
        </w:rPr>
      </w:pPr>
      <w:r w:rsidRPr="6FF7F006">
        <w:rPr>
          <w:rFonts w:asciiTheme="majorHAnsi" w:eastAsiaTheme="majorEastAsia" w:hAnsiTheme="majorHAnsi" w:cstheme="majorBidi"/>
        </w:rPr>
        <w:t xml:space="preserve">Intenzivnejše spodbujanje zamenjave starih kurilnih naprav na lesno biomaso s sodobnimi napravami na lesno biomaso ali toplotnimi črpalkami – potrebno je pripraviti lokalni/državni načrt zamenjave starih kotlov na lesno biomaso. </w:t>
      </w:r>
    </w:p>
    <w:p w:rsidR="00B658A4" w:rsidRPr="00B658A4" w:rsidRDefault="00B658A4" w:rsidP="00B658A4">
      <w:pPr>
        <w:pStyle w:val="Odstavekseznama"/>
        <w:numPr>
          <w:ilvl w:val="0"/>
          <w:numId w:val="6"/>
        </w:numPr>
        <w:spacing w:line="276" w:lineRule="auto"/>
      </w:pPr>
      <w:r w:rsidRPr="00B658A4">
        <w:t xml:space="preserve">Spodbujanje priključitev na sisteme daljinskega ogrevanja in tudi izgradnje manjših sistemov. </w:t>
      </w:r>
    </w:p>
    <w:p w:rsidR="00B658A4" w:rsidRPr="00B658A4" w:rsidRDefault="00B658A4" w:rsidP="00B658A4">
      <w:pPr>
        <w:pStyle w:val="Odstavekseznama"/>
        <w:numPr>
          <w:ilvl w:val="0"/>
          <w:numId w:val="6"/>
        </w:numPr>
        <w:spacing w:line="276" w:lineRule="auto"/>
      </w:pPr>
      <w:r w:rsidRPr="00B658A4">
        <w:t xml:space="preserve">Omejevanje prodaje neučinkovitih naprav na lesno biomaso, inštalacija nove naprave, ki jo izvede usposobljen izvajalec, z obveznim prikazom pravilne uporabe novo kupljene naprave, zagotovitev zaščite uporabnikov pred nakupom in vgraditvijo neustrezne naprave. Prodaja </w:t>
      </w:r>
      <w:r w:rsidRPr="00B658A4">
        <w:lastRenderedPageBreak/>
        <w:t>neučinkovitih kotlov na lesno biomaso je bila s 1.1.2020 omejena, saj so začele veljati zahteve Uredbe glede zahtev za okoljsko primerno zasnovo kotlov na trdno gorivo. S 1.1.2022 bodo stopile v veljavo tudi zahteve za lokalne naprave na trdna goriva skladno z Uredbo 2015/1185. Skladno s temi datumi je bilo/bo uvedeno tudi energijsko označevanje za kotle in lokalne naprave. Pravilnik o strokovnem usposabljanju za inštalaterje naprav na obnovljive vire energije je bil leta 2021 posodobljen (Ur. l. RS št 8/21). V teoretični del usposabljanju je bila dodana vsebina vpliv kakovosti goriva na emisije pri zgorevanju, pri predpisih pa predpisi s področja dimnikarstva, pravila stroke s področja izpolnjevanja osnovnih zahtev za male kurilne naprave ter ustrezne subvencije. S tem je bilo usposabljanje pomembno nadgrajeno, vendar bi bilo smiselno dodati še vsebine o načinu kurjenja, kar je zlasti pomembno pri lokalnih napravah na lesno biomaso. Prikaz pravilne uporabe novo kupljene naprave je prepuščen inštalaterjem.)</w:t>
      </w:r>
    </w:p>
    <w:p w:rsidR="00B658A4" w:rsidRPr="00B658A4" w:rsidRDefault="00B658A4" w:rsidP="00B658A4">
      <w:pPr>
        <w:pStyle w:val="Odstavekseznama"/>
        <w:numPr>
          <w:ilvl w:val="0"/>
          <w:numId w:val="6"/>
        </w:numPr>
        <w:spacing w:line="276" w:lineRule="auto"/>
      </w:pPr>
      <w:r w:rsidRPr="00B658A4">
        <w:t>Vzpostaviti pogoje za strokovno delovanje dimnikarskih služb, uvesti strokovni nadzor nad delom dimnikarskih služb, pripraviti dopolnilna usposabljanja dimnikarjev. (Zakon o dimnikarskih storitvah je ukinil koncesijska območja in omogočil uporabnikom, da si izberejo kateregakoli dimnikarja. Slabost obstoječe ureditve je, da omogoča uporabnikom izogibanje izvajanju dimnikarskih storitev. Da bo to onemogočeno, je potrebno bolj natančno opredeliti postopek izbire in menjave dimnikarske službe. Sistem se s strani dimnikarskih služb izkorišča tudi tako, da se nestrokovno opravlja dimnikarske storitve. Zato je potrebno zagotoviti strokovni nadzor nad dimnikarji in dimnikarskimi službami ter njihovo ustrezno strokovno usposobljenost.)</w:t>
      </w:r>
    </w:p>
    <w:p w:rsidR="00B658A4" w:rsidRPr="00B658A4" w:rsidRDefault="00B658A4" w:rsidP="00B658A4">
      <w:pPr>
        <w:pStyle w:val="Odstavekseznama"/>
        <w:numPr>
          <w:ilvl w:val="0"/>
          <w:numId w:val="6"/>
        </w:numPr>
        <w:spacing w:line="276" w:lineRule="auto"/>
      </w:pPr>
      <w:r w:rsidRPr="00B658A4">
        <w:t xml:space="preserve">Ozaveščanje in izobraževanje uporabnikov naprav na lesno biomaso glede primernega goriva in pravilnega načina kurjenja. </w:t>
      </w:r>
    </w:p>
    <w:p w:rsidR="00B658A4" w:rsidRPr="00B658A4" w:rsidRDefault="00B658A4" w:rsidP="00B658A4">
      <w:pPr>
        <w:pStyle w:val="Odstavekseznama"/>
        <w:numPr>
          <w:ilvl w:val="0"/>
          <w:numId w:val="6"/>
        </w:numPr>
        <w:spacing w:line="276" w:lineRule="auto"/>
      </w:pPr>
      <w:r w:rsidRPr="00B658A4">
        <w:t xml:space="preserve">Demonstracijski projekti pravilnega kurjenja – potujoči prikazi posledic nepravilnega kurjenja in demonstracija pravilne uporabe naprav. </w:t>
      </w:r>
    </w:p>
    <w:p w:rsidR="00B658A4" w:rsidRPr="00B658A4" w:rsidRDefault="00B658A4" w:rsidP="00B658A4">
      <w:pPr>
        <w:pStyle w:val="Odstavekseznama"/>
        <w:numPr>
          <w:ilvl w:val="0"/>
          <w:numId w:val="6"/>
        </w:numPr>
        <w:spacing w:line="276" w:lineRule="auto"/>
      </w:pPr>
      <w:r w:rsidRPr="00B658A4">
        <w:t xml:space="preserve">Priprava programa za zamenjavo naprav in ozaveščanje socialno šibkih gospodinjstev glede pravilne uporabe naprav na lesno biomaso. </w:t>
      </w:r>
    </w:p>
    <w:p w:rsidR="00B658A4" w:rsidRPr="00B658A4" w:rsidRDefault="00B658A4" w:rsidP="00B658A4">
      <w:pPr>
        <w:pStyle w:val="Odstavekseznama"/>
        <w:numPr>
          <w:ilvl w:val="0"/>
          <w:numId w:val="6"/>
        </w:numPr>
        <w:spacing w:line="276" w:lineRule="auto"/>
      </w:pPr>
      <w:r w:rsidRPr="00B658A4">
        <w:t>Okrepitev spodbud na področju alternativnih pogonov v prometu, skladno z akcijskim programom za alternativna goriva v prometu.</w:t>
      </w:r>
    </w:p>
    <w:p w:rsidR="00B658A4" w:rsidRPr="00B658A4" w:rsidRDefault="00B658A4" w:rsidP="00B658A4">
      <w:pPr>
        <w:pStyle w:val="Odstavekseznama"/>
        <w:numPr>
          <w:ilvl w:val="0"/>
          <w:numId w:val="6"/>
        </w:numPr>
        <w:spacing w:line="276" w:lineRule="auto"/>
      </w:pPr>
      <w:r w:rsidRPr="00B658A4">
        <w:t>Zelena območja v mestih, na katera je dovoljen vstop le ničemisijskim vozilom (vozila, ki v času uporabe ne povzročajo neposrednih emisij – baterijska električna vozila in vodikova vozila).</w:t>
      </w:r>
    </w:p>
    <w:p w:rsidR="00B658A4" w:rsidRPr="00B658A4" w:rsidRDefault="00B658A4" w:rsidP="00B658A4">
      <w:pPr>
        <w:pStyle w:val="Odstavekseznama"/>
        <w:numPr>
          <w:ilvl w:val="0"/>
          <w:numId w:val="6"/>
        </w:numPr>
        <w:spacing w:line="276" w:lineRule="auto"/>
      </w:pPr>
      <w:r w:rsidRPr="00B658A4">
        <w:t xml:space="preserve">Spodbude sprememb načina prevoza. </w:t>
      </w:r>
    </w:p>
    <w:p w:rsidR="00B658A4" w:rsidRPr="00B658A4" w:rsidRDefault="00B658A4" w:rsidP="00B658A4">
      <w:pPr>
        <w:pStyle w:val="Odstavekseznama"/>
        <w:numPr>
          <w:ilvl w:val="0"/>
          <w:numId w:val="6"/>
        </w:numPr>
        <w:spacing w:line="276" w:lineRule="auto"/>
      </w:pPr>
      <w:r w:rsidRPr="00B658A4">
        <w:t xml:space="preserve">Izboljšanje evidentiranja emisij iz vira Domača raba topil (2.D.3.a). </w:t>
      </w:r>
    </w:p>
    <w:p w:rsidR="00B658A4" w:rsidRPr="00B658A4" w:rsidRDefault="00B658A4" w:rsidP="00B658A4">
      <w:pPr>
        <w:pStyle w:val="Odstavekseznama"/>
        <w:numPr>
          <w:ilvl w:val="0"/>
          <w:numId w:val="6"/>
        </w:numPr>
        <w:spacing w:line="276" w:lineRule="auto"/>
      </w:pPr>
      <w:r w:rsidRPr="00B658A4">
        <w:t xml:space="preserve">Zbiranje evidenc za vse kemikalije. </w:t>
      </w:r>
    </w:p>
    <w:p w:rsidR="006533B0" w:rsidRDefault="006533B0" w:rsidP="006533B0"/>
    <w:p w:rsidR="00B658A4" w:rsidRPr="006533B0" w:rsidRDefault="00B658A4" w:rsidP="006533B0"/>
    <w:sectPr w:rsidR="00B658A4" w:rsidRPr="006533B0" w:rsidSect="001D26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F62" w:rsidRDefault="00297F62" w:rsidP="00B658A4">
      <w:pPr>
        <w:spacing w:before="0" w:after="0" w:line="240" w:lineRule="auto"/>
      </w:pPr>
      <w:r>
        <w:separator/>
      </w:r>
    </w:p>
  </w:endnote>
  <w:endnote w:type="continuationSeparator" w:id="0">
    <w:p w:rsidR="00297F62" w:rsidRDefault="00297F62" w:rsidP="00B658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F62" w:rsidRDefault="00297F62" w:rsidP="00B658A4">
      <w:pPr>
        <w:spacing w:before="0" w:after="0" w:line="240" w:lineRule="auto"/>
      </w:pPr>
      <w:r>
        <w:separator/>
      </w:r>
    </w:p>
  </w:footnote>
  <w:footnote w:type="continuationSeparator" w:id="0">
    <w:p w:rsidR="00297F62" w:rsidRDefault="00297F62" w:rsidP="00B658A4">
      <w:pPr>
        <w:spacing w:before="0" w:after="0" w:line="240" w:lineRule="auto"/>
      </w:pPr>
      <w:r>
        <w:continuationSeparator/>
      </w:r>
    </w:p>
  </w:footnote>
  <w:footnote w:id="1">
    <w:p w:rsidR="00B658A4" w:rsidRDefault="00B658A4" w:rsidP="00B658A4">
      <w:pPr>
        <w:pStyle w:val="Sprotnaopomba-besedilo"/>
      </w:pPr>
      <w:r>
        <w:rPr>
          <w:rStyle w:val="Sprotnaopomba-sklic"/>
        </w:rPr>
        <w:footnoteRef/>
      </w:r>
      <w:r>
        <w:t xml:space="preserve"> </w:t>
      </w:r>
      <w:r>
        <w:rPr>
          <w:sz w:val="16"/>
          <w:szCs w:val="16"/>
        </w:rPr>
        <w:t>Odločba 406/2009/ES Evropskega parlamenta in sveta z dne 23. aprila 2009 o prizadevanju držav članic za zmanjšanje emisij toplogrednih plinov, da do leta 2020 izpolnijo zavezo Skupnosti za zmanjšanje emisij toplogrednih plinov (UL L št. 140 z dne 5. 6. 2009, stran 136).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543C"/>
    <w:multiLevelType w:val="hybridMultilevel"/>
    <w:tmpl w:val="92E4C416"/>
    <w:lvl w:ilvl="0" w:tplc="F1364AB8">
      <w:start w:val="4"/>
      <w:numFmt w:val="bullet"/>
      <w:lvlText w:val="-"/>
      <w:lvlJc w:val="left"/>
      <w:pPr>
        <w:ind w:left="720" w:hanging="360"/>
      </w:pPr>
      <w:rPr>
        <w:rFonts w:ascii="Calibri" w:eastAsia="Times New Roman" w:hAnsi="Calibri"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4A3DD0"/>
    <w:multiLevelType w:val="hybridMultilevel"/>
    <w:tmpl w:val="568CC486"/>
    <w:lvl w:ilvl="0" w:tplc="F1364AB8">
      <w:start w:val="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4C097C"/>
    <w:multiLevelType w:val="hybridMultilevel"/>
    <w:tmpl w:val="1FB0FAB6"/>
    <w:lvl w:ilvl="0" w:tplc="DE84EC54">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3" w15:restartNumberingAfterBreak="0">
    <w:nsid w:val="18332500"/>
    <w:multiLevelType w:val="hybridMultilevel"/>
    <w:tmpl w:val="5BD6BD20"/>
    <w:lvl w:ilvl="0" w:tplc="F000E64A">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10F7D15"/>
    <w:multiLevelType w:val="hybridMultilevel"/>
    <w:tmpl w:val="1A44F710"/>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24BB5ABA"/>
    <w:multiLevelType w:val="hybridMultilevel"/>
    <w:tmpl w:val="BBC64A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65F00B3"/>
    <w:multiLevelType w:val="hybridMultilevel"/>
    <w:tmpl w:val="25F219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923931"/>
    <w:multiLevelType w:val="hybridMultilevel"/>
    <w:tmpl w:val="164CD97E"/>
    <w:lvl w:ilvl="0" w:tplc="C71893B0">
      <w:start w:val="1"/>
      <w:numFmt w:val="bullet"/>
      <w:lvlText w:val=""/>
      <w:lvlJc w:val="left"/>
      <w:pPr>
        <w:ind w:left="720" w:hanging="360"/>
      </w:pPr>
      <w:rPr>
        <w:rFonts w:ascii="Symbol" w:hAnsi="Symbol" w:hint="default"/>
      </w:rPr>
    </w:lvl>
    <w:lvl w:ilvl="1" w:tplc="6D1C5AB4">
      <w:start w:val="1"/>
      <w:numFmt w:val="bullet"/>
      <w:lvlText w:val="o"/>
      <w:lvlJc w:val="left"/>
      <w:pPr>
        <w:ind w:left="1440" w:hanging="360"/>
      </w:pPr>
      <w:rPr>
        <w:rFonts w:ascii="Courier New" w:hAnsi="Courier New" w:hint="default"/>
      </w:rPr>
    </w:lvl>
    <w:lvl w:ilvl="2" w:tplc="3D6A776E">
      <w:start w:val="1"/>
      <w:numFmt w:val="bullet"/>
      <w:lvlText w:val=""/>
      <w:lvlJc w:val="left"/>
      <w:pPr>
        <w:ind w:left="2160" w:hanging="360"/>
      </w:pPr>
      <w:rPr>
        <w:rFonts w:ascii="Wingdings" w:hAnsi="Wingdings" w:hint="default"/>
      </w:rPr>
    </w:lvl>
    <w:lvl w:ilvl="3" w:tplc="40C6597E">
      <w:start w:val="1"/>
      <w:numFmt w:val="bullet"/>
      <w:lvlText w:val=""/>
      <w:lvlJc w:val="left"/>
      <w:pPr>
        <w:ind w:left="2880" w:hanging="360"/>
      </w:pPr>
      <w:rPr>
        <w:rFonts w:ascii="Symbol" w:hAnsi="Symbol" w:hint="default"/>
      </w:rPr>
    </w:lvl>
    <w:lvl w:ilvl="4" w:tplc="AC305486">
      <w:start w:val="1"/>
      <w:numFmt w:val="bullet"/>
      <w:lvlText w:val="o"/>
      <w:lvlJc w:val="left"/>
      <w:pPr>
        <w:ind w:left="3600" w:hanging="360"/>
      </w:pPr>
      <w:rPr>
        <w:rFonts w:ascii="Courier New" w:hAnsi="Courier New" w:hint="default"/>
      </w:rPr>
    </w:lvl>
    <w:lvl w:ilvl="5" w:tplc="1062E8EE">
      <w:start w:val="1"/>
      <w:numFmt w:val="bullet"/>
      <w:lvlText w:val=""/>
      <w:lvlJc w:val="left"/>
      <w:pPr>
        <w:ind w:left="4320" w:hanging="360"/>
      </w:pPr>
      <w:rPr>
        <w:rFonts w:ascii="Wingdings" w:hAnsi="Wingdings" w:hint="default"/>
      </w:rPr>
    </w:lvl>
    <w:lvl w:ilvl="6" w:tplc="8A9606E0">
      <w:start w:val="1"/>
      <w:numFmt w:val="bullet"/>
      <w:lvlText w:val=""/>
      <w:lvlJc w:val="left"/>
      <w:pPr>
        <w:ind w:left="5040" w:hanging="360"/>
      </w:pPr>
      <w:rPr>
        <w:rFonts w:ascii="Symbol" w:hAnsi="Symbol" w:hint="default"/>
      </w:rPr>
    </w:lvl>
    <w:lvl w:ilvl="7" w:tplc="FEF8090E">
      <w:start w:val="1"/>
      <w:numFmt w:val="bullet"/>
      <w:lvlText w:val="o"/>
      <w:lvlJc w:val="left"/>
      <w:pPr>
        <w:ind w:left="5760" w:hanging="360"/>
      </w:pPr>
      <w:rPr>
        <w:rFonts w:ascii="Courier New" w:hAnsi="Courier New" w:hint="default"/>
      </w:rPr>
    </w:lvl>
    <w:lvl w:ilvl="8" w:tplc="A1F6080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3"/>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778"/>
    <w:rsid w:val="00093D3A"/>
    <w:rsid w:val="000A41DA"/>
    <w:rsid w:val="000A6F2C"/>
    <w:rsid w:val="000B573A"/>
    <w:rsid w:val="001317E4"/>
    <w:rsid w:val="00162692"/>
    <w:rsid w:val="00166413"/>
    <w:rsid w:val="0018573B"/>
    <w:rsid w:val="001A163B"/>
    <w:rsid w:val="001B5361"/>
    <w:rsid w:val="001B6A5A"/>
    <w:rsid w:val="001D2691"/>
    <w:rsid w:val="00297F62"/>
    <w:rsid w:val="002C687D"/>
    <w:rsid w:val="002D0133"/>
    <w:rsid w:val="002E67D1"/>
    <w:rsid w:val="002F0670"/>
    <w:rsid w:val="00304F08"/>
    <w:rsid w:val="00353A42"/>
    <w:rsid w:val="003A764E"/>
    <w:rsid w:val="003E1628"/>
    <w:rsid w:val="00406B73"/>
    <w:rsid w:val="00412632"/>
    <w:rsid w:val="00487B1E"/>
    <w:rsid w:val="00491AD3"/>
    <w:rsid w:val="004C18AB"/>
    <w:rsid w:val="005A3AF4"/>
    <w:rsid w:val="006533B0"/>
    <w:rsid w:val="0069101D"/>
    <w:rsid w:val="006B320F"/>
    <w:rsid w:val="006D7D1C"/>
    <w:rsid w:val="006E1A73"/>
    <w:rsid w:val="00731451"/>
    <w:rsid w:val="007339BE"/>
    <w:rsid w:val="00733C08"/>
    <w:rsid w:val="0073540C"/>
    <w:rsid w:val="007B6579"/>
    <w:rsid w:val="007D1FBD"/>
    <w:rsid w:val="008207E6"/>
    <w:rsid w:val="008D05F0"/>
    <w:rsid w:val="00931214"/>
    <w:rsid w:val="00962BE3"/>
    <w:rsid w:val="009B0A43"/>
    <w:rsid w:val="009D24BB"/>
    <w:rsid w:val="009E2778"/>
    <w:rsid w:val="00A26427"/>
    <w:rsid w:val="00A462AD"/>
    <w:rsid w:val="00AE2968"/>
    <w:rsid w:val="00B00EB6"/>
    <w:rsid w:val="00B2498D"/>
    <w:rsid w:val="00B658A4"/>
    <w:rsid w:val="00B97781"/>
    <w:rsid w:val="00BB0C8B"/>
    <w:rsid w:val="00C11144"/>
    <w:rsid w:val="00C61F2F"/>
    <w:rsid w:val="00D21AA8"/>
    <w:rsid w:val="00D93C0B"/>
    <w:rsid w:val="00D95277"/>
    <w:rsid w:val="00DA3593"/>
    <w:rsid w:val="00DC133C"/>
    <w:rsid w:val="00DD543A"/>
    <w:rsid w:val="00DE4F5B"/>
    <w:rsid w:val="00E44395"/>
    <w:rsid w:val="00F0427F"/>
    <w:rsid w:val="00F1075F"/>
    <w:rsid w:val="00F1142F"/>
    <w:rsid w:val="00F35077"/>
    <w:rsid w:val="00F73B57"/>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A8EA8E-E094-4E7B-91F3-37ABA7EF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133C"/>
    <w:pPr>
      <w:spacing w:before="120" w:after="280" w:line="360" w:lineRule="auto"/>
      <w:jc w:val="both"/>
    </w:pPr>
    <w:rPr>
      <w:rFonts w:asciiTheme="majorHAnsi" w:hAnsiTheme="majorHAnsi"/>
      <w:lang w:val="sl-SI"/>
    </w:rPr>
  </w:style>
  <w:style w:type="paragraph" w:styleId="Naslov1">
    <w:name w:val="heading 1"/>
    <w:basedOn w:val="Navaden"/>
    <w:next w:val="Navaden"/>
    <w:link w:val="Naslov1Znak"/>
    <w:uiPriority w:val="9"/>
    <w:qFormat/>
    <w:rsid w:val="00DC133C"/>
    <w:pPr>
      <w:keepNext/>
      <w:keepLines/>
      <w:spacing w:before="240" w:after="0"/>
      <w:outlineLvl w:val="0"/>
    </w:pPr>
    <w:rPr>
      <w:rFonts w:eastAsiaTheme="majorEastAsia" w:cstheme="majorBidi"/>
      <w:sz w:val="32"/>
      <w:szCs w:val="32"/>
    </w:rPr>
  </w:style>
  <w:style w:type="paragraph" w:styleId="Naslov2">
    <w:name w:val="heading 2"/>
    <w:basedOn w:val="Navaden"/>
    <w:next w:val="Navaden"/>
    <w:link w:val="Naslov2Znak"/>
    <w:uiPriority w:val="9"/>
    <w:unhideWhenUsed/>
    <w:qFormat/>
    <w:rsid w:val="00DC133C"/>
    <w:pPr>
      <w:keepNext/>
      <w:keepLines/>
      <w:spacing w:before="0" w:after="240"/>
      <w:outlineLvl w:val="1"/>
    </w:pPr>
    <w:rPr>
      <w:rFonts w:eastAsiaTheme="majorEastAsia" w:cs="Arial"/>
      <w:color w:val="000000" w:themeColor="text1"/>
      <w:sz w:val="28"/>
      <w:szCs w:val="28"/>
    </w:rPr>
  </w:style>
  <w:style w:type="paragraph" w:styleId="Naslov3">
    <w:name w:val="heading 3"/>
    <w:basedOn w:val="Navaden"/>
    <w:next w:val="Navaden"/>
    <w:link w:val="Naslov3Znak"/>
    <w:uiPriority w:val="9"/>
    <w:unhideWhenUsed/>
    <w:qFormat/>
    <w:rsid w:val="00DC133C"/>
    <w:pPr>
      <w:keepNext/>
      <w:keepLines/>
      <w:spacing w:before="0" w:after="120"/>
      <w:outlineLvl w:val="2"/>
    </w:pPr>
    <w:rPr>
      <w:rFonts w:eastAsiaTheme="majorEastAsia" w:cs="Arial"/>
      <w:color w:val="000000" w:themeColor="text1"/>
      <w:sz w:val="24"/>
      <w:szCs w:val="24"/>
    </w:rPr>
  </w:style>
  <w:style w:type="paragraph" w:styleId="Naslov4">
    <w:name w:val="heading 4"/>
    <w:aliases w:val="Slika ali tabela"/>
    <w:basedOn w:val="Navaden"/>
    <w:next w:val="Navaden"/>
    <w:link w:val="Naslov4Znak"/>
    <w:uiPriority w:val="9"/>
    <w:unhideWhenUsed/>
    <w:qFormat/>
    <w:rsid w:val="00DC133C"/>
    <w:pPr>
      <w:keepNext/>
      <w:keepLines/>
      <w:spacing w:before="40" w:after="0"/>
      <w:outlineLvl w:val="3"/>
    </w:pPr>
    <w:rPr>
      <w:rFonts w:eastAsiaTheme="majorEastAsia" w:cstheme="majorBidi"/>
      <w:i/>
      <w:iCs/>
      <w:noProof/>
      <w:color w:val="000000" w:themeColor="text1"/>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C133C"/>
    <w:rPr>
      <w:rFonts w:asciiTheme="majorHAnsi" w:eastAsiaTheme="majorEastAsia" w:hAnsiTheme="majorHAnsi" w:cstheme="majorBidi"/>
      <w:sz w:val="32"/>
      <w:szCs w:val="32"/>
      <w:lang w:val="sl-SI"/>
    </w:rPr>
  </w:style>
  <w:style w:type="character" w:customStyle="1" w:styleId="Naslov2Znak">
    <w:name w:val="Naslov 2 Znak"/>
    <w:basedOn w:val="Privzetapisavaodstavka"/>
    <w:link w:val="Naslov2"/>
    <w:uiPriority w:val="9"/>
    <w:rsid w:val="00DC133C"/>
    <w:rPr>
      <w:rFonts w:asciiTheme="majorHAnsi" w:eastAsiaTheme="majorEastAsia" w:hAnsiTheme="majorHAnsi" w:cs="Arial"/>
      <w:color w:val="000000" w:themeColor="text1"/>
      <w:sz w:val="28"/>
      <w:szCs w:val="28"/>
      <w:lang w:val="sl-SI"/>
    </w:rPr>
  </w:style>
  <w:style w:type="character" w:customStyle="1" w:styleId="Naslov3Znak">
    <w:name w:val="Naslov 3 Znak"/>
    <w:basedOn w:val="Privzetapisavaodstavka"/>
    <w:link w:val="Naslov3"/>
    <w:uiPriority w:val="9"/>
    <w:rsid w:val="00DC133C"/>
    <w:rPr>
      <w:rFonts w:asciiTheme="majorHAnsi" w:eastAsiaTheme="majorEastAsia" w:hAnsiTheme="majorHAnsi" w:cs="Arial"/>
      <w:color w:val="000000" w:themeColor="text1"/>
      <w:sz w:val="24"/>
      <w:szCs w:val="24"/>
      <w:lang w:val="sl-SI"/>
    </w:rPr>
  </w:style>
  <w:style w:type="character" w:customStyle="1" w:styleId="Naslov4Znak">
    <w:name w:val="Naslov 4 Znak"/>
    <w:aliases w:val="Slika ali tabela Znak"/>
    <w:basedOn w:val="Privzetapisavaodstavka"/>
    <w:link w:val="Naslov4"/>
    <w:uiPriority w:val="9"/>
    <w:rsid w:val="00DC133C"/>
    <w:rPr>
      <w:rFonts w:asciiTheme="majorHAnsi" w:eastAsiaTheme="majorEastAsia" w:hAnsiTheme="majorHAnsi" w:cstheme="majorBidi"/>
      <w:i/>
      <w:iCs/>
      <w:noProof/>
      <w:color w:val="000000" w:themeColor="text1"/>
      <w:lang w:val="sl-SI" w:eastAsia="sl-SI"/>
    </w:rPr>
  </w:style>
  <w:style w:type="table" w:styleId="Tabelamrea">
    <w:name w:val="Table Grid"/>
    <w:basedOn w:val="Navadnatabela"/>
    <w:uiPriority w:val="39"/>
    <w:rsid w:val="006E1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ensklic">
    <w:name w:val="Subtle Reference"/>
    <w:aliases w:val="Tabela"/>
    <w:basedOn w:val="Privzetapisavaodstavka"/>
    <w:uiPriority w:val="31"/>
    <w:qFormat/>
    <w:rsid w:val="00DC133C"/>
    <w:rPr>
      <w:rFonts w:asciiTheme="majorHAnsi" w:hAnsiTheme="majorHAnsi"/>
      <w:smallCaps/>
      <w:color w:val="5A5A5A" w:themeColor="text1" w:themeTint="A5"/>
      <w:sz w:val="20"/>
    </w:rPr>
  </w:style>
  <w:style w:type="character" w:styleId="Neenpoudarek">
    <w:name w:val="Subtle Emphasis"/>
    <w:basedOn w:val="Privzetapisavaodstavka"/>
    <w:uiPriority w:val="19"/>
    <w:rsid w:val="00DC133C"/>
    <w:rPr>
      <w:i/>
      <w:iCs/>
      <w:color w:val="404040" w:themeColor="text1" w:themeTint="BF"/>
    </w:rPr>
  </w:style>
  <w:style w:type="character" w:styleId="Krepko">
    <w:name w:val="Strong"/>
    <w:basedOn w:val="Privzetapisavaodstavka"/>
    <w:uiPriority w:val="22"/>
    <w:qFormat/>
    <w:rsid w:val="00DC133C"/>
    <w:rPr>
      <w:rFonts w:ascii="Calibri" w:hAnsi="Calibri"/>
      <w:b/>
      <w:bCs/>
      <w:sz w:val="22"/>
    </w:rPr>
  </w:style>
  <w:style w:type="paragraph" w:customStyle="1" w:styleId="Vrstapredpisa">
    <w:name w:val="Vrsta predpisa"/>
    <w:basedOn w:val="Navaden"/>
    <w:link w:val="VrstapredpisaZnak"/>
    <w:qFormat/>
    <w:rsid w:val="00F73B57"/>
    <w:pPr>
      <w:suppressAutoHyphens/>
      <w:overflowPunct w:val="0"/>
      <w:autoSpaceDE w:val="0"/>
      <w:autoSpaceDN w:val="0"/>
      <w:adjustRightInd w:val="0"/>
      <w:spacing w:before="480" w:after="0" w:line="240" w:lineRule="auto"/>
      <w:jc w:val="center"/>
      <w:textAlignment w:val="baseline"/>
    </w:pPr>
    <w:rPr>
      <w:rFonts w:ascii="Arial" w:hAnsi="Arial"/>
      <w:b/>
      <w:bCs/>
      <w:color w:val="000000"/>
      <w:spacing w:val="40"/>
      <w:lang w:val="x-none" w:eastAsia="x-none"/>
    </w:rPr>
  </w:style>
  <w:style w:type="character" w:customStyle="1" w:styleId="VrstapredpisaZnak">
    <w:name w:val="Vrsta predpisa Znak"/>
    <w:link w:val="Vrstapredpisa"/>
    <w:rsid w:val="00F73B57"/>
    <w:rPr>
      <w:rFonts w:ascii="Arial" w:hAnsi="Arial"/>
      <w:b/>
      <w:bCs/>
      <w:color w:val="000000"/>
      <w:spacing w:val="40"/>
      <w:lang w:val="x-none" w:eastAsia="x-none"/>
    </w:rPr>
  </w:style>
  <w:style w:type="paragraph" w:customStyle="1" w:styleId="Odstavek">
    <w:name w:val="Odstavek"/>
    <w:basedOn w:val="Navaden"/>
    <w:link w:val="OdstavekZnak"/>
    <w:qFormat/>
    <w:rsid w:val="00F73B57"/>
    <w:pPr>
      <w:overflowPunct w:val="0"/>
      <w:autoSpaceDE w:val="0"/>
      <w:autoSpaceDN w:val="0"/>
      <w:adjustRightInd w:val="0"/>
      <w:spacing w:before="240" w:after="0" w:line="240" w:lineRule="auto"/>
      <w:ind w:firstLine="1021"/>
      <w:textAlignment w:val="baseline"/>
    </w:pPr>
    <w:rPr>
      <w:rFonts w:ascii="Arial" w:hAnsi="Arial"/>
      <w:lang w:val="x-none" w:eastAsia="x-none"/>
    </w:rPr>
  </w:style>
  <w:style w:type="character" w:customStyle="1" w:styleId="OdstavekZnak">
    <w:name w:val="Odstavek Znak"/>
    <w:link w:val="Odstavek"/>
    <w:rsid w:val="00F73B57"/>
    <w:rPr>
      <w:rFonts w:ascii="Arial" w:hAnsi="Arial"/>
      <w:lang w:val="x-none" w:eastAsia="x-none"/>
    </w:rPr>
  </w:style>
  <w:style w:type="character" w:styleId="Pripombasklic">
    <w:name w:val="annotation reference"/>
    <w:aliases w:val="Komentar - sklic"/>
    <w:uiPriority w:val="99"/>
    <w:rsid w:val="00F73B57"/>
    <w:rPr>
      <w:sz w:val="16"/>
      <w:szCs w:val="16"/>
    </w:rPr>
  </w:style>
  <w:style w:type="paragraph" w:styleId="Pripombabesedilo">
    <w:name w:val="annotation text"/>
    <w:aliases w:val="Komentar - besedilo"/>
    <w:basedOn w:val="Navaden"/>
    <w:link w:val="PripombabesediloZnak1"/>
    <w:rsid w:val="00F73B57"/>
    <w:pPr>
      <w:spacing w:before="0" w:after="0" w:line="240" w:lineRule="auto"/>
    </w:pPr>
    <w:rPr>
      <w:rFonts w:ascii="Arial" w:hAnsi="Arial"/>
      <w:sz w:val="20"/>
      <w:szCs w:val="20"/>
      <w:lang w:val="x-none" w:eastAsia="en-US"/>
    </w:rPr>
  </w:style>
  <w:style w:type="character" w:customStyle="1" w:styleId="PripombabesediloZnak">
    <w:name w:val="Pripomba – besedilo Znak"/>
    <w:basedOn w:val="Privzetapisavaodstavka"/>
    <w:uiPriority w:val="99"/>
    <w:semiHidden/>
    <w:rsid w:val="00F73B57"/>
    <w:rPr>
      <w:rFonts w:asciiTheme="majorHAnsi" w:hAnsiTheme="majorHAnsi"/>
      <w:sz w:val="20"/>
      <w:szCs w:val="20"/>
      <w:lang w:val="sl-SI"/>
    </w:rPr>
  </w:style>
  <w:style w:type="character" w:customStyle="1" w:styleId="PripombabesediloZnak1">
    <w:name w:val="Pripomba – besedilo Znak1"/>
    <w:aliases w:val="Komentar - besedilo Znak"/>
    <w:link w:val="Pripombabesedilo"/>
    <w:rsid w:val="00F73B57"/>
    <w:rPr>
      <w:rFonts w:ascii="Arial" w:hAnsi="Arial"/>
      <w:sz w:val="20"/>
      <w:szCs w:val="20"/>
      <w:lang w:val="x-none" w:eastAsia="en-US"/>
    </w:rPr>
  </w:style>
  <w:style w:type="paragraph" w:styleId="Besedilooblaka">
    <w:name w:val="Balloon Text"/>
    <w:basedOn w:val="Navaden"/>
    <w:link w:val="BesedilooblakaZnak"/>
    <w:uiPriority w:val="99"/>
    <w:semiHidden/>
    <w:unhideWhenUsed/>
    <w:rsid w:val="00F73B57"/>
    <w:pPr>
      <w:spacing w:before="0"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73B57"/>
    <w:rPr>
      <w:rFonts w:ascii="Segoe UI" w:hAnsi="Segoe UI" w:cs="Segoe UI"/>
      <w:sz w:val="18"/>
      <w:szCs w:val="18"/>
      <w:lang w:val="sl-SI"/>
    </w:rPr>
  </w:style>
  <w:style w:type="character" w:styleId="Hiperpovezava">
    <w:name w:val="Hyperlink"/>
    <w:basedOn w:val="Privzetapisavaodstavka"/>
    <w:uiPriority w:val="99"/>
    <w:unhideWhenUsed/>
    <w:rsid w:val="00733C08"/>
    <w:rPr>
      <w:color w:val="0563C1" w:themeColor="hyperlink"/>
      <w:u w:val="single"/>
    </w:rPr>
  </w:style>
  <w:style w:type="paragraph" w:styleId="Odstavekseznama">
    <w:name w:val="List Paragraph"/>
    <w:basedOn w:val="Navaden"/>
    <w:uiPriority w:val="34"/>
    <w:qFormat/>
    <w:rsid w:val="00166413"/>
    <w:pPr>
      <w:spacing w:before="0" w:after="160" w:line="259" w:lineRule="auto"/>
      <w:ind w:left="720"/>
      <w:contextualSpacing/>
      <w:jc w:val="left"/>
    </w:pPr>
    <w:rPr>
      <w:rFonts w:asciiTheme="minorHAnsi" w:eastAsiaTheme="minorHAnsi" w:hAnsiTheme="minorHAnsi" w:cstheme="minorBidi"/>
      <w:lang w:eastAsia="en-US"/>
    </w:rPr>
  </w:style>
  <w:style w:type="paragraph" w:styleId="Navadensplet">
    <w:name w:val="Normal (Web)"/>
    <w:basedOn w:val="Navaden"/>
    <w:uiPriority w:val="99"/>
    <w:semiHidden/>
    <w:unhideWhenUsed/>
    <w:rsid w:val="00412632"/>
    <w:pPr>
      <w:spacing w:before="100" w:beforeAutospacing="1" w:after="100" w:afterAutospacing="1" w:line="240" w:lineRule="auto"/>
      <w:jc w:val="left"/>
    </w:pPr>
    <w:rPr>
      <w:rFonts w:ascii="Calibri" w:eastAsiaTheme="minorHAnsi" w:hAnsi="Calibri" w:cs="Calibri"/>
      <w:lang w:eastAsia="sl-SI"/>
    </w:rPr>
  </w:style>
  <w:style w:type="character" w:styleId="HTMLpisalnistroj">
    <w:name w:val="HTML Typewriter"/>
    <w:basedOn w:val="Privzetapisavaodstavka"/>
    <w:uiPriority w:val="99"/>
    <w:semiHidden/>
    <w:unhideWhenUsed/>
    <w:rsid w:val="001A163B"/>
    <w:rPr>
      <w:rFonts w:ascii="Courier New" w:eastAsia="Times New Roman" w:hAnsi="Courier New" w:cs="Courier New"/>
      <w:sz w:val="20"/>
      <w:szCs w:val="20"/>
    </w:rPr>
  </w:style>
  <w:style w:type="paragraph" w:styleId="Sprotnaopomba-besedilo">
    <w:name w:val="footnote text"/>
    <w:basedOn w:val="Navaden"/>
    <w:link w:val="Sprotnaopomba-besediloZnak"/>
    <w:uiPriority w:val="99"/>
    <w:semiHidden/>
    <w:unhideWhenUsed/>
    <w:rsid w:val="00B658A4"/>
    <w:pPr>
      <w:spacing w:before="0"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B658A4"/>
    <w:rPr>
      <w:rFonts w:asciiTheme="majorHAnsi" w:hAnsiTheme="majorHAnsi"/>
      <w:sz w:val="20"/>
      <w:szCs w:val="20"/>
      <w:lang w:val="sl-SI"/>
    </w:rPr>
  </w:style>
  <w:style w:type="character" w:styleId="Sprotnaopomba-sklic">
    <w:name w:val="footnote reference"/>
    <w:basedOn w:val="Privzetapisavaodstavka"/>
    <w:uiPriority w:val="99"/>
    <w:semiHidden/>
    <w:unhideWhenUsed/>
    <w:rsid w:val="00B658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738868">
      <w:bodyDiv w:val="1"/>
      <w:marLeft w:val="0"/>
      <w:marRight w:val="0"/>
      <w:marTop w:val="0"/>
      <w:marBottom w:val="0"/>
      <w:divBdr>
        <w:top w:val="none" w:sz="0" w:space="0" w:color="auto"/>
        <w:left w:val="none" w:sz="0" w:space="0" w:color="auto"/>
        <w:bottom w:val="none" w:sz="0" w:space="0" w:color="auto"/>
        <w:right w:val="none" w:sz="0" w:space="0" w:color="auto"/>
      </w:divBdr>
    </w:div>
    <w:div w:id="132261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sch.cbd.int/" TargetMode="External"/><Relationship Id="rId3" Type="http://schemas.openxmlformats.org/officeDocument/2006/relationships/settings" Target="settings.xml"/><Relationship Id="rId7" Type="http://schemas.openxmlformats.org/officeDocument/2006/relationships/hyperlink" Target="http://www.uradni-list.si/1/objava.jsp?sop=2020-01-06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zagovorniki-okolja.si/za-podnebje/" TargetMode="External"/><Relationship Id="rId4" Type="http://schemas.openxmlformats.org/officeDocument/2006/relationships/webSettings" Target="webSettings.xml"/><Relationship Id="rId9" Type="http://schemas.openxmlformats.org/officeDocument/2006/relationships/hyperlink" Target="http://www.uradni-list.si/1/objava.jsp?sop=2021-01-25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MIN~1.KAR\AppData\Local\Temp\notes2A4D68\Predloga%20POS%20202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Predloga POS 2021</Template>
  <TotalTime>1</TotalTime>
  <Pages>18</Pages>
  <Words>9113</Words>
  <Characters>51945</Characters>
  <Application>Microsoft Office Word</Application>
  <DocSecurity>0</DocSecurity>
  <Lines>432</Lines>
  <Paragraphs>121</Paragraphs>
  <ScaleCrop>false</ScaleCrop>
  <HeadingPairs>
    <vt:vector size="2" baseType="variant">
      <vt:variant>
        <vt:lpstr>Naslov</vt:lpstr>
      </vt:variant>
      <vt:variant>
        <vt:i4>1</vt:i4>
      </vt:variant>
    </vt:vector>
  </HeadingPairs>
  <TitlesOfParts>
    <vt:vector size="1" baseType="lpstr">
      <vt:lpstr/>
    </vt:vector>
  </TitlesOfParts>
  <Company>MOP</Company>
  <LinksUpToDate>false</LinksUpToDate>
  <CharactersWithSpaces>60937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Jasmina.Karba</dc:creator>
  <cp:keywords/>
  <dc:description/>
  <cp:lastModifiedBy>Mojca Rajh</cp:lastModifiedBy>
  <cp:revision>2</cp:revision>
  <cp:lastPrinted>2021-08-25T10:46:00Z</cp:lastPrinted>
  <dcterms:created xsi:type="dcterms:W3CDTF">2021-08-27T06:58:00Z</dcterms:created>
  <dcterms:modified xsi:type="dcterms:W3CDTF">2021-08-27T06:58:00Z</dcterms:modified>
</cp:coreProperties>
</file>