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drawings/drawing2.xml" ContentType="application/vnd.openxmlformats-officedocument.drawingml.chartshapes+xml"/>
  <Override PartName="/word/charts/chart6.xml" ContentType="application/vnd.openxmlformats-officedocument.drawingml.chart+xml"/>
  <Override PartName="/word/theme/themeOverride6.xml" ContentType="application/vnd.openxmlformats-officedocument.themeOverride+xml"/>
  <Override PartName="/word/drawings/drawing3.xml" ContentType="application/vnd.openxmlformats-officedocument.drawingml.chartshap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rsidR="001C2C87" w:rsidRDefault="001C2C87" w:rsidP="00993FB7">
      <w:pPr>
        <w:rPr>
          <w:lang w:val="sl-SI"/>
        </w:rPr>
      </w:pPr>
      <w:bookmarkStart w:id="0" w:name="_GoBack"/>
      <w:bookmarkEnd w:id="0"/>
    </w:p>
    <w:p w:rsidR="00993FB7" w:rsidRDefault="00993FB7" w:rsidP="00993FB7">
      <w:pPr>
        <w:rPr>
          <w:lang w:val="sl-SI"/>
        </w:rPr>
      </w:pPr>
    </w:p>
    <w:p w:rsidR="00993FB7" w:rsidRPr="00993FB7" w:rsidRDefault="00993FB7" w:rsidP="00993FB7">
      <w:pPr>
        <w:spacing w:after="200" w:line="276" w:lineRule="auto"/>
        <w:jc w:val="center"/>
        <w:rPr>
          <w:rFonts w:eastAsia="Calibri" w:cs="Arial"/>
          <w:szCs w:val="20"/>
          <w:lang w:val="sl-SI"/>
        </w:rPr>
      </w:pPr>
    </w:p>
    <w:p w:rsidR="00993FB7" w:rsidRPr="00993FB7" w:rsidRDefault="00993FB7" w:rsidP="00993FB7">
      <w:pPr>
        <w:spacing w:after="200" w:line="276" w:lineRule="auto"/>
        <w:jc w:val="center"/>
        <w:rPr>
          <w:rFonts w:eastAsia="Calibri" w:cs="Arial"/>
          <w:b/>
          <w:szCs w:val="20"/>
          <w:u w:val="single"/>
          <w:lang w:val="sl-SI"/>
        </w:rPr>
      </w:pPr>
    </w:p>
    <w:p w:rsidR="00993FB7" w:rsidRPr="00993FB7" w:rsidRDefault="00993FB7" w:rsidP="00993FB7">
      <w:pPr>
        <w:spacing w:after="200" w:line="276" w:lineRule="auto"/>
        <w:jc w:val="center"/>
        <w:rPr>
          <w:rFonts w:eastAsia="Calibri" w:cs="Arial"/>
          <w:b/>
          <w:szCs w:val="20"/>
          <w:u w:val="single"/>
          <w:lang w:val="sl-SI"/>
        </w:rPr>
      </w:pPr>
    </w:p>
    <w:p w:rsidR="00993FB7" w:rsidRPr="00993FB7" w:rsidRDefault="00993FB7" w:rsidP="00993FB7">
      <w:pPr>
        <w:spacing w:after="200" w:line="276" w:lineRule="auto"/>
        <w:jc w:val="center"/>
        <w:rPr>
          <w:rFonts w:eastAsia="Calibri" w:cs="Arial"/>
          <w:b/>
          <w:szCs w:val="20"/>
          <w:u w:val="single"/>
          <w:lang w:val="sl-SI"/>
        </w:rPr>
      </w:pPr>
    </w:p>
    <w:p w:rsidR="00993FB7" w:rsidRPr="00993FB7" w:rsidRDefault="00993FB7" w:rsidP="00993FB7">
      <w:pPr>
        <w:spacing w:after="200" w:line="276" w:lineRule="auto"/>
        <w:jc w:val="center"/>
        <w:rPr>
          <w:rFonts w:eastAsia="Calibri" w:cs="Arial"/>
          <w:b/>
          <w:szCs w:val="20"/>
          <w:u w:val="single"/>
          <w:lang w:val="sl-SI"/>
        </w:rPr>
      </w:pPr>
    </w:p>
    <w:p w:rsidR="00993FB7" w:rsidRPr="00993FB7" w:rsidRDefault="00993FB7" w:rsidP="00993FB7">
      <w:pPr>
        <w:spacing w:after="200" w:line="276" w:lineRule="auto"/>
        <w:jc w:val="center"/>
        <w:rPr>
          <w:rFonts w:eastAsia="Calibri" w:cs="Arial"/>
          <w:b/>
          <w:sz w:val="28"/>
          <w:szCs w:val="28"/>
          <w:u w:val="single"/>
          <w:lang w:val="sl-SI"/>
        </w:rPr>
      </w:pPr>
    </w:p>
    <w:p w:rsidR="00993FB7" w:rsidRPr="00993FB7" w:rsidRDefault="000A095B" w:rsidP="00993FB7">
      <w:pPr>
        <w:spacing w:after="200" w:line="276" w:lineRule="auto"/>
        <w:rPr>
          <w:rFonts w:eastAsia="Calibri" w:cs="Arial"/>
          <w:b/>
          <w:sz w:val="28"/>
          <w:szCs w:val="28"/>
          <w:u w:val="single"/>
          <w:lang w:val="sl-SI"/>
        </w:rPr>
      </w:pPr>
      <w:r>
        <w:rPr>
          <w:rFonts w:eastAsia="Calibri" w:cs="Arial"/>
          <w:b/>
          <w:sz w:val="28"/>
          <w:szCs w:val="28"/>
          <w:u w:val="single"/>
          <w:lang w:val="sl-SI"/>
        </w:rPr>
        <w:t xml:space="preserve">POROČILO O OKOLJU </w:t>
      </w:r>
      <w:r w:rsidR="001408F1">
        <w:rPr>
          <w:rFonts w:eastAsia="Calibri" w:cs="Arial"/>
          <w:b/>
          <w:sz w:val="28"/>
          <w:szCs w:val="28"/>
          <w:u w:val="single"/>
          <w:lang w:val="sl-SI"/>
        </w:rPr>
        <w:t xml:space="preserve">V REPUBLIKI SLOVENIJI </w:t>
      </w:r>
      <w:r>
        <w:rPr>
          <w:rFonts w:eastAsia="Calibri" w:cs="Arial"/>
          <w:b/>
          <w:sz w:val="28"/>
          <w:szCs w:val="28"/>
          <w:u w:val="single"/>
          <w:lang w:val="sl-SI"/>
        </w:rPr>
        <w:t>2017</w:t>
      </w:r>
    </w:p>
    <w:p w:rsidR="00993FB7" w:rsidRPr="00993FB7" w:rsidRDefault="00993FB7" w:rsidP="00993FB7">
      <w:pPr>
        <w:spacing w:after="200" w:line="276" w:lineRule="auto"/>
        <w:rPr>
          <w:rFonts w:eastAsia="Calibri" w:cs="Arial"/>
          <w:szCs w:val="20"/>
          <w:lang w:val="sl-SI"/>
        </w:rPr>
      </w:pPr>
    </w:p>
    <w:p w:rsidR="00993FB7" w:rsidRPr="00993FB7" w:rsidRDefault="00993FB7" w:rsidP="00993FB7">
      <w:pPr>
        <w:spacing w:after="200" w:line="276" w:lineRule="auto"/>
        <w:jc w:val="center"/>
        <w:rPr>
          <w:rFonts w:eastAsia="Calibri" w:cs="Arial"/>
          <w:b/>
          <w:szCs w:val="20"/>
          <w:u w:val="single"/>
          <w:lang w:val="sl-SI"/>
        </w:rPr>
      </w:pPr>
    </w:p>
    <w:p w:rsidR="00993FB7" w:rsidRPr="00993FB7" w:rsidRDefault="00993FB7" w:rsidP="00993FB7">
      <w:pPr>
        <w:spacing w:after="200" w:line="276" w:lineRule="auto"/>
        <w:jc w:val="center"/>
        <w:rPr>
          <w:rFonts w:eastAsia="Calibri" w:cs="Arial"/>
          <w:b/>
          <w:szCs w:val="20"/>
          <w:u w:val="single"/>
          <w:lang w:val="sl-SI"/>
        </w:rPr>
      </w:pPr>
    </w:p>
    <w:p w:rsidR="00993FB7" w:rsidRPr="00993FB7" w:rsidRDefault="00993FB7" w:rsidP="00993FB7">
      <w:pPr>
        <w:spacing w:after="200" w:line="276" w:lineRule="auto"/>
        <w:jc w:val="center"/>
        <w:rPr>
          <w:rFonts w:eastAsia="Calibri" w:cs="Arial"/>
          <w:b/>
          <w:szCs w:val="20"/>
          <w:u w:val="single"/>
          <w:lang w:val="sl-SI"/>
        </w:rPr>
      </w:pPr>
    </w:p>
    <w:p w:rsidR="00993FB7" w:rsidRPr="00993FB7" w:rsidRDefault="00993FB7" w:rsidP="00993FB7">
      <w:pPr>
        <w:spacing w:after="200" w:line="276" w:lineRule="auto"/>
        <w:jc w:val="center"/>
        <w:rPr>
          <w:rFonts w:eastAsia="Calibri" w:cs="Arial"/>
          <w:b/>
          <w:szCs w:val="20"/>
          <w:u w:val="single"/>
          <w:lang w:val="sl-SI"/>
        </w:rPr>
      </w:pPr>
    </w:p>
    <w:p w:rsidR="00993FB7" w:rsidRPr="00993FB7" w:rsidRDefault="00993FB7" w:rsidP="00993FB7">
      <w:pPr>
        <w:spacing w:after="200" w:line="276" w:lineRule="auto"/>
        <w:jc w:val="center"/>
        <w:rPr>
          <w:rFonts w:eastAsia="Calibri" w:cs="Arial"/>
          <w:b/>
          <w:szCs w:val="20"/>
          <w:u w:val="single"/>
          <w:lang w:val="sl-SI"/>
        </w:rPr>
      </w:pPr>
    </w:p>
    <w:p w:rsidR="00993FB7" w:rsidRPr="00993FB7" w:rsidRDefault="00993FB7" w:rsidP="00993FB7">
      <w:pPr>
        <w:spacing w:after="200" w:line="276" w:lineRule="auto"/>
        <w:jc w:val="center"/>
        <w:rPr>
          <w:rFonts w:eastAsia="Calibri" w:cs="Arial"/>
          <w:b/>
          <w:szCs w:val="20"/>
          <w:u w:val="single"/>
          <w:lang w:val="sl-SI"/>
        </w:rPr>
      </w:pPr>
    </w:p>
    <w:p w:rsidR="00993FB7" w:rsidRPr="00993FB7" w:rsidRDefault="00993FB7" w:rsidP="00993FB7">
      <w:pPr>
        <w:spacing w:after="200" w:line="276" w:lineRule="auto"/>
        <w:jc w:val="center"/>
        <w:rPr>
          <w:rFonts w:eastAsia="Calibri" w:cs="Arial"/>
          <w:b/>
          <w:szCs w:val="20"/>
          <w:u w:val="single"/>
          <w:lang w:val="sl-SI"/>
        </w:rPr>
      </w:pPr>
    </w:p>
    <w:p w:rsidR="00993FB7" w:rsidRPr="00993FB7" w:rsidRDefault="00993FB7" w:rsidP="00993FB7">
      <w:pPr>
        <w:spacing w:after="200" w:line="276" w:lineRule="auto"/>
        <w:jc w:val="center"/>
        <w:rPr>
          <w:rFonts w:eastAsia="Calibri" w:cs="Arial"/>
          <w:b/>
          <w:szCs w:val="20"/>
          <w:u w:val="single"/>
          <w:lang w:val="sl-SI"/>
        </w:rPr>
      </w:pPr>
    </w:p>
    <w:p w:rsidR="00993FB7" w:rsidRPr="00993FB7" w:rsidRDefault="00993FB7" w:rsidP="00993FB7">
      <w:pPr>
        <w:spacing w:after="200" w:line="276" w:lineRule="auto"/>
        <w:jc w:val="center"/>
        <w:rPr>
          <w:rFonts w:eastAsia="Calibri" w:cs="Arial"/>
          <w:b/>
          <w:szCs w:val="20"/>
          <w:u w:val="single"/>
          <w:lang w:val="sl-SI"/>
        </w:rPr>
      </w:pPr>
    </w:p>
    <w:p w:rsidR="00993FB7" w:rsidRPr="00993FB7" w:rsidRDefault="00993FB7" w:rsidP="00993FB7">
      <w:pPr>
        <w:spacing w:after="200" w:line="276" w:lineRule="auto"/>
        <w:jc w:val="center"/>
        <w:rPr>
          <w:rFonts w:eastAsia="Calibri" w:cs="Arial"/>
          <w:b/>
          <w:szCs w:val="20"/>
          <w:u w:val="single"/>
          <w:lang w:val="sl-SI"/>
        </w:rPr>
      </w:pPr>
    </w:p>
    <w:p w:rsidR="00993FB7" w:rsidRPr="00993FB7" w:rsidRDefault="00993FB7" w:rsidP="00993FB7">
      <w:pPr>
        <w:spacing w:after="200" w:line="276" w:lineRule="auto"/>
        <w:jc w:val="center"/>
        <w:rPr>
          <w:rFonts w:eastAsia="Calibri" w:cs="Arial"/>
          <w:b/>
          <w:szCs w:val="20"/>
          <w:u w:val="single"/>
          <w:lang w:val="sl-SI"/>
        </w:rPr>
      </w:pPr>
    </w:p>
    <w:p w:rsidR="00993FB7" w:rsidRPr="00993FB7" w:rsidRDefault="00993FB7" w:rsidP="00993FB7">
      <w:pPr>
        <w:spacing w:after="200" w:line="276" w:lineRule="auto"/>
        <w:jc w:val="center"/>
        <w:rPr>
          <w:rFonts w:eastAsia="Calibri" w:cs="Arial"/>
          <w:b/>
          <w:szCs w:val="20"/>
          <w:u w:val="single"/>
          <w:lang w:val="sl-SI"/>
        </w:rPr>
      </w:pPr>
    </w:p>
    <w:p w:rsidR="00993FB7" w:rsidRPr="00993FB7" w:rsidRDefault="00993FB7" w:rsidP="00993FB7">
      <w:pPr>
        <w:spacing w:after="200" w:line="276" w:lineRule="auto"/>
        <w:jc w:val="center"/>
        <w:rPr>
          <w:rFonts w:eastAsia="Calibri" w:cs="Arial"/>
          <w:b/>
          <w:szCs w:val="20"/>
          <w:u w:val="single"/>
          <w:lang w:val="sl-SI"/>
        </w:rPr>
      </w:pPr>
    </w:p>
    <w:p w:rsidR="00993FB7" w:rsidRPr="00993FB7" w:rsidRDefault="00993FB7" w:rsidP="00C32106">
      <w:pPr>
        <w:spacing w:after="200" w:line="276" w:lineRule="auto"/>
        <w:rPr>
          <w:rFonts w:eastAsia="Calibri" w:cs="Arial"/>
          <w:szCs w:val="20"/>
          <w:lang w:val="sl-SI"/>
        </w:rPr>
      </w:pPr>
      <w:r w:rsidRPr="00993FB7">
        <w:rPr>
          <w:rFonts w:eastAsia="Calibri" w:cs="Arial"/>
          <w:szCs w:val="20"/>
          <w:lang w:val="sl-SI"/>
        </w:rPr>
        <w:t xml:space="preserve">Ljubljana, </w:t>
      </w:r>
      <w:r w:rsidR="00E71CC6">
        <w:rPr>
          <w:rFonts w:eastAsia="Calibri" w:cs="Arial"/>
          <w:szCs w:val="20"/>
          <w:lang w:val="sl-SI"/>
        </w:rPr>
        <w:t xml:space="preserve">februar </w:t>
      </w:r>
      <w:r w:rsidR="00DC054F">
        <w:rPr>
          <w:rFonts w:eastAsia="Calibri" w:cs="Arial"/>
          <w:szCs w:val="20"/>
          <w:lang w:val="sl-SI"/>
        </w:rPr>
        <w:t>2017</w:t>
      </w:r>
    </w:p>
    <w:p w:rsidR="00993FB7" w:rsidRPr="00993FB7" w:rsidRDefault="00993FB7" w:rsidP="00993FB7">
      <w:pPr>
        <w:spacing w:after="200" w:line="276" w:lineRule="auto"/>
        <w:jc w:val="center"/>
        <w:rPr>
          <w:rFonts w:eastAsia="Calibri" w:cs="Arial"/>
          <w:b/>
          <w:szCs w:val="20"/>
          <w:u w:val="single"/>
          <w:lang w:val="sl-SI"/>
        </w:rPr>
      </w:pPr>
    </w:p>
    <w:p w:rsidR="00993FB7" w:rsidRPr="00993FB7" w:rsidRDefault="00993FB7" w:rsidP="00993FB7">
      <w:pPr>
        <w:spacing w:after="200" w:line="276" w:lineRule="auto"/>
        <w:jc w:val="center"/>
        <w:rPr>
          <w:rFonts w:eastAsia="Calibri" w:cs="Arial"/>
          <w:szCs w:val="20"/>
          <w:lang w:val="sl-SI"/>
        </w:rPr>
      </w:pPr>
    </w:p>
    <w:p w:rsidR="00993FB7" w:rsidRPr="00993FB7" w:rsidRDefault="00993FB7" w:rsidP="00993FB7">
      <w:pPr>
        <w:spacing w:after="200" w:line="276" w:lineRule="auto"/>
        <w:jc w:val="center"/>
        <w:rPr>
          <w:rFonts w:eastAsia="Calibri" w:cs="Arial"/>
          <w:b/>
          <w:szCs w:val="20"/>
          <w:u w:val="single"/>
          <w:lang w:val="sl-SI"/>
        </w:rPr>
      </w:pPr>
    </w:p>
    <w:p w:rsidR="00993FB7" w:rsidRPr="00993FB7" w:rsidRDefault="00993FB7" w:rsidP="00993FB7">
      <w:pPr>
        <w:spacing w:after="200" w:line="276" w:lineRule="auto"/>
        <w:jc w:val="center"/>
        <w:rPr>
          <w:rFonts w:eastAsia="Calibri" w:cs="Arial"/>
          <w:b/>
          <w:szCs w:val="20"/>
          <w:u w:val="single"/>
          <w:lang w:val="sl-SI"/>
        </w:rPr>
      </w:pPr>
    </w:p>
    <w:p w:rsidR="000A095B" w:rsidRPr="005771BD" w:rsidRDefault="00993FB7" w:rsidP="00692C71">
      <w:pPr>
        <w:spacing w:after="200" w:line="276" w:lineRule="auto"/>
        <w:jc w:val="center"/>
        <w:rPr>
          <w:rFonts w:eastAsia="Calibri" w:cs="Arial"/>
          <w:sz w:val="24"/>
          <w:lang w:val="sl-SI"/>
        </w:rPr>
      </w:pPr>
      <w:r w:rsidRPr="00710681">
        <w:rPr>
          <w:rFonts w:eastAsia="Calibri" w:cs="Arial"/>
          <w:b/>
          <w:i/>
          <w:szCs w:val="20"/>
          <w:u w:val="single"/>
          <w:lang w:val="sl-SI"/>
        </w:rPr>
        <w:br w:type="column"/>
      </w:r>
      <w:r w:rsidR="0077619C">
        <w:rPr>
          <w:rFonts w:eastAsia="Calibri" w:cs="Arial"/>
          <w:b/>
          <w:i/>
          <w:szCs w:val="20"/>
          <w:u w:val="single"/>
          <w:lang w:val="sl-SI"/>
        </w:rPr>
        <w:lastRenderedPageBreak/>
        <w:br w:type="column"/>
      </w:r>
      <w:r w:rsidR="000A095B" w:rsidRPr="005771BD">
        <w:rPr>
          <w:rFonts w:eastAsia="Calibri" w:cs="Arial"/>
          <w:b/>
          <w:sz w:val="24"/>
          <w:u w:val="single"/>
          <w:lang w:val="sl-SI"/>
        </w:rPr>
        <w:lastRenderedPageBreak/>
        <w:t>V S E B I N A</w:t>
      </w:r>
    </w:p>
    <w:p w:rsidR="000A095B" w:rsidRPr="005771BD" w:rsidRDefault="000A095B" w:rsidP="000A095B">
      <w:pPr>
        <w:spacing w:after="200" w:line="276" w:lineRule="auto"/>
        <w:rPr>
          <w:rFonts w:eastAsia="Calibri" w:cs="Arial"/>
          <w:szCs w:val="20"/>
          <w:lang w:val="sl-SI"/>
        </w:rPr>
      </w:pPr>
    </w:p>
    <w:p w:rsidR="000A095B" w:rsidRPr="000A095B" w:rsidRDefault="000A095B" w:rsidP="000A095B">
      <w:pPr>
        <w:spacing w:before="120" w:after="200" w:line="276" w:lineRule="auto"/>
        <w:ind w:right="-858"/>
        <w:rPr>
          <w:rFonts w:eastAsia="Calibri" w:cs="Arial"/>
          <w:sz w:val="22"/>
          <w:szCs w:val="22"/>
          <w:lang w:val="sl-SI"/>
        </w:rPr>
      </w:pPr>
      <w:r w:rsidRPr="000A095B">
        <w:rPr>
          <w:rFonts w:eastAsia="Calibri" w:cs="Arial"/>
          <w:sz w:val="22"/>
          <w:szCs w:val="22"/>
          <w:lang w:val="sl-SI"/>
        </w:rPr>
        <w:t>1 Uvod</w:t>
      </w:r>
      <w:r>
        <w:rPr>
          <w:rFonts w:eastAsia="Calibri" w:cs="Arial"/>
          <w:sz w:val="22"/>
          <w:szCs w:val="22"/>
          <w:lang w:val="sl-SI"/>
        </w:rPr>
        <w:tab/>
      </w:r>
      <w:r>
        <w:rPr>
          <w:rFonts w:eastAsia="Calibri" w:cs="Arial"/>
          <w:sz w:val="22"/>
          <w:szCs w:val="22"/>
          <w:lang w:val="sl-SI"/>
        </w:rPr>
        <w:tab/>
      </w:r>
      <w:r>
        <w:rPr>
          <w:rFonts w:eastAsia="Calibri" w:cs="Arial"/>
          <w:sz w:val="22"/>
          <w:szCs w:val="22"/>
          <w:lang w:val="sl-SI"/>
        </w:rPr>
        <w:tab/>
      </w:r>
      <w:r>
        <w:rPr>
          <w:rFonts w:eastAsia="Calibri" w:cs="Arial"/>
          <w:sz w:val="22"/>
          <w:szCs w:val="22"/>
          <w:lang w:val="sl-SI"/>
        </w:rPr>
        <w:tab/>
      </w:r>
      <w:r>
        <w:rPr>
          <w:rFonts w:eastAsia="Calibri" w:cs="Arial"/>
          <w:sz w:val="22"/>
          <w:szCs w:val="22"/>
          <w:lang w:val="sl-SI"/>
        </w:rPr>
        <w:tab/>
      </w:r>
      <w:r>
        <w:rPr>
          <w:rFonts w:eastAsia="Calibri" w:cs="Arial"/>
          <w:sz w:val="22"/>
          <w:szCs w:val="22"/>
          <w:lang w:val="sl-SI"/>
        </w:rPr>
        <w:tab/>
      </w:r>
      <w:r>
        <w:rPr>
          <w:rFonts w:eastAsia="Calibri" w:cs="Arial"/>
          <w:sz w:val="22"/>
          <w:szCs w:val="22"/>
          <w:lang w:val="sl-SI"/>
        </w:rPr>
        <w:tab/>
      </w:r>
      <w:r>
        <w:rPr>
          <w:rFonts w:eastAsia="Calibri" w:cs="Arial"/>
          <w:sz w:val="22"/>
          <w:szCs w:val="22"/>
          <w:lang w:val="sl-SI"/>
        </w:rPr>
        <w:tab/>
      </w:r>
      <w:r>
        <w:rPr>
          <w:rFonts w:eastAsia="Calibri" w:cs="Arial"/>
          <w:sz w:val="22"/>
          <w:szCs w:val="22"/>
          <w:lang w:val="sl-SI"/>
        </w:rPr>
        <w:tab/>
      </w:r>
      <w:r>
        <w:rPr>
          <w:rFonts w:eastAsia="Calibri" w:cs="Arial"/>
          <w:sz w:val="22"/>
          <w:szCs w:val="22"/>
          <w:lang w:val="sl-SI"/>
        </w:rPr>
        <w:tab/>
      </w:r>
      <w:r>
        <w:rPr>
          <w:rFonts w:eastAsia="Calibri" w:cs="Arial"/>
          <w:sz w:val="22"/>
          <w:szCs w:val="22"/>
          <w:lang w:val="sl-SI"/>
        </w:rPr>
        <w:tab/>
      </w:r>
      <w:r>
        <w:rPr>
          <w:rFonts w:eastAsia="Calibri" w:cs="Arial"/>
          <w:sz w:val="22"/>
          <w:szCs w:val="22"/>
          <w:lang w:val="sl-SI"/>
        </w:rPr>
        <w:tab/>
      </w:r>
      <w:r w:rsidRPr="000A095B">
        <w:rPr>
          <w:rFonts w:eastAsia="Calibri" w:cs="Arial"/>
          <w:sz w:val="22"/>
          <w:szCs w:val="22"/>
          <w:lang w:val="sl-SI"/>
        </w:rPr>
        <w:t>str. 5</w:t>
      </w:r>
    </w:p>
    <w:p w:rsidR="0077619C" w:rsidRDefault="0077619C" w:rsidP="000A095B">
      <w:pPr>
        <w:spacing w:before="120" w:after="200" w:line="276" w:lineRule="auto"/>
        <w:ind w:right="-858"/>
        <w:rPr>
          <w:rFonts w:eastAsia="Calibri" w:cs="Arial"/>
          <w:sz w:val="22"/>
          <w:szCs w:val="22"/>
          <w:lang w:val="sl-SI"/>
        </w:rPr>
      </w:pPr>
      <w:r>
        <w:rPr>
          <w:rFonts w:eastAsia="Calibri" w:cs="Arial"/>
          <w:sz w:val="22"/>
          <w:szCs w:val="22"/>
          <w:lang w:val="sl-SI"/>
        </w:rPr>
        <w:t>2 Okvirni pregled okoljskih trendov</w:t>
      </w:r>
      <w:r w:rsidR="00CE7DE4">
        <w:rPr>
          <w:rFonts w:eastAsia="Calibri" w:cs="Arial"/>
          <w:sz w:val="22"/>
          <w:szCs w:val="22"/>
          <w:lang w:val="sl-SI"/>
        </w:rPr>
        <w:tab/>
      </w:r>
      <w:r w:rsidR="00CE7DE4">
        <w:rPr>
          <w:rFonts w:eastAsia="Calibri" w:cs="Arial"/>
          <w:sz w:val="22"/>
          <w:szCs w:val="22"/>
          <w:lang w:val="sl-SI"/>
        </w:rPr>
        <w:tab/>
      </w:r>
      <w:r w:rsidR="00CE7DE4">
        <w:rPr>
          <w:rFonts w:eastAsia="Calibri" w:cs="Arial"/>
          <w:sz w:val="22"/>
          <w:szCs w:val="22"/>
          <w:lang w:val="sl-SI"/>
        </w:rPr>
        <w:tab/>
      </w:r>
      <w:r w:rsidR="00CE7DE4">
        <w:rPr>
          <w:rFonts w:eastAsia="Calibri" w:cs="Arial"/>
          <w:sz w:val="22"/>
          <w:szCs w:val="22"/>
          <w:lang w:val="sl-SI"/>
        </w:rPr>
        <w:tab/>
      </w:r>
      <w:r w:rsidR="00CE7DE4">
        <w:rPr>
          <w:rFonts w:eastAsia="Calibri" w:cs="Arial"/>
          <w:sz w:val="22"/>
          <w:szCs w:val="22"/>
          <w:lang w:val="sl-SI"/>
        </w:rPr>
        <w:tab/>
      </w:r>
      <w:r w:rsidR="00CE7DE4">
        <w:rPr>
          <w:rFonts w:eastAsia="Calibri" w:cs="Arial"/>
          <w:sz w:val="22"/>
          <w:szCs w:val="22"/>
          <w:lang w:val="sl-SI"/>
        </w:rPr>
        <w:tab/>
      </w:r>
      <w:r w:rsidR="00CE7DE4">
        <w:rPr>
          <w:rFonts w:eastAsia="Calibri" w:cs="Arial"/>
          <w:sz w:val="22"/>
          <w:szCs w:val="22"/>
          <w:lang w:val="sl-SI"/>
        </w:rPr>
        <w:tab/>
      </w:r>
      <w:r w:rsidR="00CE7DE4">
        <w:rPr>
          <w:rFonts w:eastAsia="Calibri" w:cs="Arial"/>
          <w:sz w:val="22"/>
          <w:szCs w:val="22"/>
          <w:lang w:val="sl-SI"/>
        </w:rPr>
        <w:tab/>
        <w:t xml:space="preserve">str. </w:t>
      </w:r>
      <w:r w:rsidR="002974AD">
        <w:rPr>
          <w:rFonts w:eastAsia="Calibri" w:cs="Arial"/>
          <w:sz w:val="22"/>
          <w:szCs w:val="22"/>
          <w:lang w:val="sl-SI"/>
        </w:rPr>
        <w:t>6</w:t>
      </w:r>
    </w:p>
    <w:p w:rsidR="000A095B" w:rsidRPr="000A095B" w:rsidRDefault="0077619C" w:rsidP="000A095B">
      <w:pPr>
        <w:spacing w:before="120" w:after="200" w:line="276" w:lineRule="auto"/>
        <w:ind w:right="-858"/>
        <w:rPr>
          <w:rFonts w:eastAsia="Calibri" w:cs="Arial"/>
          <w:sz w:val="22"/>
          <w:szCs w:val="22"/>
          <w:lang w:val="sl-SI"/>
        </w:rPr>
      </w:pPr>
      <w:r>
        <w:rPr>
          <w:rFonts w:eastAsia="Calibri" w:cs="Arial"/>
          <w:sz w:val="22"/>
          <w:szCs w:val="22"/>
          <w:lang w:val="sl-SI"/>
        </w:rPr>
        <w:t>3</w:t>
      </w:r>
      <w:r w:rsidR="000A095B" w:rsidRPr="000A095B">
        <w:rPr>
          <w:rFonts w:eastAsia="Calibri" w:cs="Arial"/>
          <w:sz w:val="22"/>
          <w:szCs w:val="22"/>
          <w:lang w:val="sl-SI"/>
        </w:rPr>
        <w:t xml:space="preserve"> Stanje okolja v evropskem in svetovnem merilu </w:t>
      </w:r>
      <w:r w:rsidR="000A095B">
        <w:rPr>
          <w:rFonts w:eastAsia="Calibri" w:cs="Arial"/>
          <w:sz w:val="22"/>
          <w:szCs w:val="22"/>
          <w:lang w:val="sl-SI"/>
        </w:rPr>
        <w:tab/>
      </w:r>
      <w:r w:rsidR="000A095B">
        <w:rPr>
          <w:rFonts w:eastAsia="Calibri" w:cs="Arial"/>
          <w:sz w:val="22"/>
          <w:szCs w:val="22"/>
          <w:lang w:val="sl-SI"/>
        </w:rPr>
        <w:tab/>
      </w:r>
      <w:r w:rsidR="000A095B">
        <w:rPr>
          <w:rFonts w:eastAsia="Calibri" w:cs="Arial"/>
          <w:sz w:val="22"/>
          <w:szCs w:val="22"/>
          <w:lang w:val="sl-SI"/>
        </w:rPr>
        <w:tab/>
      </w:r>
      <w:r w:rsidR="000A095B">
        <w:rPr>
          <w:rFonts w:eastAsia="Calibri" w:cs="Arial"/>
          <w:sz w:val="22"/>
          <w:szCs w:val="22"/>
          <w:lang w:val="sl-SI"/>
        </w:rPr>
        <w:tab/>
      </w:r>
      <w:r w:rsidR="000A095B">
        <w:rPr>
          <w:rFonts w:eastAsia="Calibri" w:cs="Arial"/>
          <w:sz w:val="22"/>
          <w:szCs w:val="22"/>
          <w:lang w:val="sl-SI"/>
        </w:rPr>
        <w:tab/>
      </w:r>
      <w:r w:rsidR="000A095B">
        <w:rPr>
          <w:rFonts w:eastAsia="Calibri" w:cs="Arial"/>
          <w:sz w:val="22"/>
          <w:szCs w:val="22"/>
          <w:lang w:val="sl-SI"/>
        </w:rPr>
        <w:tab/>
      </w:r>
      <w:r w:rsidR="000A095B" w:rsidRPr="000A095B">
        <w:rPr>
          <w:rFonts w:eastAsia="Calibri" w:cs="Arial"/>
          <w:sz w:val="22"/>
          <w:szCs w:val="22"/>
          <w:lang w:val="sl-SI"/>
        </w:rPr>
        <w:t>str. 7</w:t>
      </w:r>
    </w:p>
    <w:p w:rsidR="000A095B" w:rsidRPr="000A095B" w:rsidRDefault="0077619C" w:rsidP="000A095B">
      <w:pPr>
        <w:spacing w:before="120" w:after="200" w:line="276" w:lineRule="auto"/>
        <w:ind w:right="-858"/>
        <w:rPr>
          <w:rFonts w:eastAsia="Calibri" w:cs="Arial"/>
          <w:sz w:val="22"/>
          <w:szCs w:val="22"/>
          <w:lang w:val="sl-SI"/>
        </w:rPr>
      </w:pPr>
      <w:r>
        <w:rPr>
          <w:rFonts w:eastAsia="Calibri" w:cs="Arial"/>
          <w:sz w:val="22"/>
          <w:szCs w:val="22"/>
          <w:lang w:val="sl-SI"/>
        </w:rPr>
        <w:t>4</w:t>
      </w:r>
      <w:r w:rsidR="000A095B" w:rsidRPr="000A095B">
        <w:rPr>
          <w:rFonts w:eastAsia="Calibri" w:cs="Arial"/>
          <w:sz w:val="22"/>
          <w:szCs w:val="22"/>
          <w:lang w:val="sl-SI"/>
        </w:rPr>
        <w:t xml:space="preserve"> Z varstvom okolja in ohranjanjem narave do trajnostnega razvoja </w:t>
      </w:r>
      <w:r w:rsidR="000A095B">
        <w:rPr>
          <w:rFonts w:eastAsia="Calibri" w:cs="Arial"/>
          <w:sz w:val="22"/>
          <w:szCs w:val="22"/>
          <w:lang w:val="sl-SI"/>
        </w:rPr>
        <w:tab/>
      </w:r>
      <w:r w:rsidR="000A095B">
        <w:rPr>
          <w:rFonts w:eastAsia="Calibri" w:cs="Arial"/>
          <w:sz w:val="22"/>
          <w:szCs w:val="22"/>
          <w:lang w:val="sl-SI"/>
        </w:rPr>
        <w:tab/>
      </w:r>
      <w:r w:rsidR="000A095B">
        <w:rPr>
          <w:rFonts w:eastAsia="Calibri" w:cs="Arial"/>
          <w:sz w:val="22"/>
          <w:szCs w:val="22"/>
          <w:lang w:val="sl-SI"/>
        </w:rPr>
        <w:tab/>
      </w:r>
      <w:r w:rsidR="000A095B" w:rsidRPr="000A095B">
        <w:rPr>
          <w:rFonts w:eastAsia="Calibri" w:cs="Arial"/>
          <w:sz w:val="22"/>
          <w:szCs w:val="22"/>
          <w:lang w:val="sl-SI"/>
        </w:rPr>
        <w:t>str. 17</w:t>
      </w:r>
    </w:p>
    <w:p w:rsidR="000A095B" w:rsidRPr="000A095B" w:rsidRDefault="0077619C" w:rsidP="000A095B">
      <w:pPr>
        <w:spacing w:before="120" w:after="200" w:line="276" w:lineRule="auto"/>
        <w:ind w:right="-858"/>
        <w:rPr>
          <w:rFonts w:eastAsia="Calibri" w:cs="Arial"/>
          <w:sz w:val="22"/>
          <w:szCs w:val="22"/>
          <w:lang w:val="sl-SI"/>
        </w:rPr>
      </w:pPr>
      <w:r>
        <w:rPr>
          <w:rFonts w:eastAsia="Calibri" w:cs="Arial"/>
          <w:sz w:val="22"/>
          <w:szCs w:val="22"/>
          <w:lang w:val="sl-SI"/>
        </w:rPr>
        <w:t>5</w:t>
      </w:r>
      <w:r w:rsidR="000A095B" w:rsidRPr="000A095B">
        <w:rPr>
          <w:rFonts w:eastAsia="Calibri" w:cs="Arial"/>
          <w:sz w:val="22"/>
          <w:szCs w:val="22"/>
          <w:lang w:val="sl-SI"/>
        </w:rPr>
        <w:t xml:space="preserve"> Biotska raznovrstnost </w:t>
      </w:r>
      <w:r w:rsidR="000A095B" w:rsidRPr="000A095B">
        <w:rPr>
          <w:rFonts w:eastAsia="Calibri" w:cs="Arial"/>
          <w:sz w:val="22"/>
          <w:szCs w:val="22"/>
          <w:lang w:val="sl-SI"/>
        </w:rPr>
        <w:tab/>
      </w:r>
      <w:r w:rsidR="000A095B" w:rsidRPr="000A095B">
        <w:rPr>
          <w:rFonts w:eastAsia="Calibri" w:cs="Arial"/>
          <w:sz w:val="22"/>
          <w:szCs w:val="22"/>
          <w:lang w:val="sl-SI"/>
        </w:rPr>
        <w:tab/>
      </w:r>
      <w:r w:rsidR="000A095B" w:rsidRPr="000A095B">
        <w:rPr>
          <w:rFonts w:eastAsia="Calibri" w:cs="Arial"/>
          <w:sz w:val="22"/>
          <w:szCs w:val="22"/>
          <w:lang w:val="sl-SI"/>
        </w:rPr>
        <w:tab/>
      </w:r>
      <w:r w:rsidR="000A095B" w:rsidRPr="000A095B">
        <w:rPr>
          <w:rFonts w:eastAsia="Calibri" w:cs="Arial"/>
          <w:sz w:val="22"/>
          <w:szCs w:val="22"/>
          <w:lang w:val="sl-SI"/>
        </w:rPr>
        <w:tab/>
      </w:r>
      <w:r w:rsidR="000A095B" w:rsidRPr="000A095B">
        <w:rPr>
          <w:rFonts w:eastAsia="Calibri" w:cs="Arial"/>
          <w:sz w:val="22"/>
          <w:szCs w:val="22"/>
          <w:lang w:val="sl-SI"/>
        </w:rPr>
        <w:tab/>
      </w:r>
      <w:r w:rsidR="000A095B" w:rsidRPr="000A095B">
        <w:rPr>
          <w:rFonts w:eastAsia="Calibri" w:cs="Arial"/>
          <w:sz w:val="22"/>
          <w:szCs w:val="22"/>
          <w:lang w:val="sl-SI"/>
        </w:rPr>
        <w:tab/>
      </w:r>
      <w:r w:rsidR="000A095B" w:rsidRPr="000A095B">
        <w:rPr>
          <w:rFonts w:eastAsia="Calibri" w:cs="Arial"/>
          <w:sz w:val="22"/>
          <w:szCs w:val="22"/>
          <w:lang w:val="sl-SI"/>
        </w:rPr>
        <w:tab/>
      </w:r>
      <w:r w:rsidR="000A095B" w:rsidRPr="000A095B">
        <w:rPr>
          <w:rFonts w:eastAsia="Calibri" w:cs="Arial"/>
          <w:sz w:val="22"/>
          <w:szCs w:val="22"/>
          <w:lang w:val="sl-SI"/>
        </w:rPr>
        <w:tab/>
      </w:r>
      <w:r w:rsidR="000A095B">
        <w:rPr>
          <w:rFonts w:eastAsia="Calibri" w:cs="Arial"/>
          <w:sz w:val="22"/>
          <w:szCs w:val="22"/>
          <w:lang w:val="sl-SI"/>
        </w:rPr>
        <w:tab/>
      </w:r>
      <w:r w:rsidR="000A095B" w:rsidRPr="000A095B">
        <w:rPr>
          <w:rFonts w:eastAsia="Calibri" w:cs="Arial"/>
          <w:sz w:val="22"/>
          <w:szCs w:val="22"/>
          <w:lang w:val="sl-SI"/>
        </w:rPr>
        <w:t>str. 3</w:t>
      </w:r>
      <w:r w:rsidR="002974AD">
        <w:rPr>
          <w:rFonts w:eastAsia="Calibri" w:cs="Arial"/>
          <w:sz w:val="22"/>
          <w:szCs w:val="22"/>
          <w:lang w:val="sl-SI"/>
        </w:rPr>
        <w:t>2</w:t>
      </w:r>
    </w:p>
    <w:p w:rsidR="000A095B" w:rsidRPr="000A095B" w:rsidRDefault="0077619C" w:rsidP="000A095B">
      <w:pPr>
        <w:spacing w:before="120" w:after="200" w:line="276" w:lineRule="auto"/>
        <w:ind w:right="-858"/>
        <w:rPr>
          <w:rFonts w:eastAsia="Calibri" w:cs="Arial"/>
          <w:sz w:val="22"/>
          <w:szCs w:val="22"/>
          <w:lang w:val="sl-SI"/>
        </w:rPr>
      </w:pPr>
      <w:r>
        <w:rPr>
          <w:rFonts w:eastAsia="Calibri" w:cs="Arial"/>
          <w:sz w:val="22"/>
          <w:szCs w:val="22"/>
          <w:lang w:val="sl-SI"/>
        </w:rPr>
        <w:t>6</w:t>
      </w:r>
      <w:r w:rsidR="000A095B" w:rsidRPr="000A095B">
        <w:rPr>
          <w:rFonts w:eastAsia="Calibri" w:cs="Arial"/>
          <w:sz w:val="22"/>
          <w:szCs w:val="22"/>
          <w:lang w:val="sl-SI"/>
        </w:rPr>
        <w:t xml:space="preserve"> Zrak</w:t>
      </w:r>
      <w:r w:rsidR="000A095B" w:rsidRPr="000A095B">
        <w:rPr>
          <w:rFonts w:eastAsia="Calibri" w:cs="Arial"/>
          <w:sz w:val="22"/>
          <w:szCs w:val="22"/>
          <w:lang w:val="sl-SI"/>
        </w:rPr>
        <w:tab/>
      </w:r>
      <w:r w:rsidR="000A095B" w:rsidRPr="000A095B">
        <w:rPr>
          <w:rFonts w:eastAsia="Calibri" w:cs="Arial"/>
          <w:sz w:val="22"/>
          <w:szCs w:val="22"/>
          <w:lang w:val="sl-SI"/>
        </w:rPr>
        <w:tab/>
      </w:r>
      <w:r w:rsidR="000A095B" w:rsidRPr="000A095B">
        <w:rPr>
          <w:rFonts w:eastAsia="Calibri" w:cs="Arial"/>
          <w:sz w:val="22"/>
          <w:szCs w:val="22"/>
          <w:lang w:val="sl-SI"/>
        </w:rPr>
        <w:tab/>
      </w:r>
      <w:r w:rsidR="000A095B" w:rsidRPr="000A095B">
        <w:rPr>
          <w:rFonts w:eastAsia="Calibri" w:cs="Arial"/>
          <w:sz w:val="22"/>
          <w:szCs w:val="22"/>
          <w:lang w:val="sl-SI"/>
        </w:rPr>
        <w:tab/>
      </w:r>
      <w:r w:rsidR="000A095B" w:rsidRPr="000A095B">
        <w:rPr>
          <w:rFonts w:eastAsia="Calibri" w:cs="Arial"/>
          <w:sz w:val="22"/>
          <w:szCs w:val="22"/>
          <w:lang w:val="sl-SI"/>
        </w:rPr>
        <w:tab/>
      </w:r>
      <w:r w:rsidR="000A095B" w:rsidRPr="000A095B">
        <w:rPr>
          <w:rFonts w:eastAsia="Calibri" w:cs="Arial"/>
          <w:sz w:val="22"/>
          <w:szCs w:val="22"/>
          <w:lang w:val="sl-SI"/>
        </w:rPr>
        <w:tab/>
      </w:r>
      <w:r w:rsidR="000A095B" w:rsidRPr="000A095B">
        <w:rPr>
          <w:rFonts w:eastAsia="Calibri" w:cs="Arial"/>
          <w:sz w:val="22"/>
          <w:szCs w:val="22"/>
          <w:lang w:val="sl-SI"/>
        </w:rPr>
        <w:tab/>
      </w:r>
      <w:r w:rsidR="000A095B" w:rsidRPr="000A095B">
        <w:rPr>
          <w:rFonts w:eastAsia="Calibri" w:cs="Arial"/>
          <w:sz w:val="22"/>
          <w:szCs w:val="22"/>
          <w:lang w:val="sl-SI"/>
        </w:rPr>
        <w:tab/>
      </w:r>
      <w:r w:rsidR="000A095B" w:rsidRPr="000A095B">
        <w:rPr>
          <w:rFonts w:eastAsia="Calibri" w:cs="Arial"/>
          <w:sz w:val="22"/>
          <w:szCs w:val="22"/>
          <w:lang w:val="sl-SI"/>
        </w:rPr>
        <w:tab/>
      </w:r>
      <w:r w:rsidR="000A095B" w:rsidRPr="000A095B">
        <w:rPr>
          <w:rFonts w:eastAsia="Calibri" w:cs="Arial"/>
          <w:sz w:val="22"/>
          <w:szCs w:val="22"/>
          <w:lang w:val="sl-SI"/>
        </w:rPr>
        <w:tab/>
      </w:r>
      <w:r w:rsidR="000A095B" w:rsidRPr="000A095B">
        <w:rPr>
          <w:rFonts w:eastAsia="Calibri" w:cs="Arial"/>
          <w:sz w:val="22"/>
          <w:szCs w:val="22"/>
          <w:lang w:val="sl-SI"/>
        </w:rPr>
        <w:tab/>
      </w:r>
      <w:r w:rsidR="000A095B">
        <w:rPr>
          <w:rFonts w:eastAsia="Calibri" w:cs="Arial"/>
          <w:sz w:val="22"/>
          <w:szCs w:val="22"/>
          <w:lang w:val="sl-SI"/>
        </w:rPr>
        <w:tab/>
      </w:r>
      <w:r w:rsidR="000A095B" w:rsidRPr="000A095B">
        <w:rPr>
          <w:rFonts w:eastAsia="Calibri" w:cs="Arial"/>
          <w:sz w:val="22"/>
          <w:szCs w:val="22"/>
          <w:lang w:val="sl-SI"/>
        </w:rPr>
        <w:t xml:space="preserve">str. </w:t>
      </w:r>
      <w:r w:rsidR="002974AD">
        <w:rPr>
          <w:rFonts w:eastAsia="Calibri" w:cs="Arial"/>
          <w:sz w:val="22"/>
          <w:szCs w:val="22"/>
          <w:lang w:val="sl-SI"/>
        </w:rPr>
        <w:t>49</w:t>
      </w:r>
    </w:p>
    <w:p w:rsidR="000A095B" w:rsidRPr="000A095B" w:rsidRDefault="0077619C" w:rsidP="000A095B">
      <w:pPr>
        <w:spacing w:before="120" w:after="200" w:line="276" w:lineRule="auto"/>
        <w:ind w:right="-858"/>
        <w:rPr>
          <w:rFonts w:eastAsia="Calibri" w:cs="Arial"/>
          <w:sz w:val="22"/>
          <w:szCs w:val="22"/>
          <w:lang w:val="sl-SI"/>
        </w:rPr>
      </w:pPr>
      <w:r>
        <w:rPr>
          <w:rFonts w:eastAsia="Calibri" w:cs="Arial"/>
          <w:sz w:val="22"/>
          <w:szCs w:val="22"/>
          <w:lang w:val="sl-SI"/>
        </w:rPr>
        <w:t>7</w:t>
      </w:r>
      <w:r w:rsidR="000A095B" w:rsidRPr="000A095B">
        <w:rPr>
          <w:rFonts w:eastAsia="Calibri" w:cs="Arial"/>
          <w:sz w:val="22"/>
          <w:szCs w:val="22"/>
          <w:lang w:val="sl-SI"/>
        </w:rPr>
        <w:t xml:space="preserve"> Vode </w:t>
      </w:r>
      <w:r w:rsidR="000A095B" w:rsidRPr="000A095B">
        <w:rPr>
          <w:rFonts w:eastAsia="Calibri" w:cs="Arial"/>
          <w:sz w:val="22"/>
          <w:szCs w:val="22"/>
          <w:lang w:val="sl-SI"/>
        </w:rPr>
        <w:tab/>
      </w:r>
      <w:r w:rsidR="000A095B" w:rsidRPr="000A095B">
        <w:rPr>
          <w:rFonts w:eastAsia="Calibri" w:cs="Arial"/>
          <w:sz w:val="22"/>
          <w:szCs w:val="22"/>
          <w:lang w:val="sl-SI"/>
        </w:rPr>
        <w:tab/>
      </w:r>
      <w:r w:rsidR="000A095B" w:rsidRPr="000A095B">
        <w:rPr>
          <w:rFonts w:eastAsia="Calibri" w:cs="Arial"/>
          <w:sz w:val="22"/>
          <w:szCs w:val="22"/>
          <w:lang w:val="sl-SI"/>
        </w:rPr>
        <w:tab/>
      </w:r>
      <w:r w:rsidR="000A095B" w:rsidRPr="000A095B">
        <w:rPr>
          <w:rFonts w:eastAsia="Calibri" w:cs="Arial"/>
          <w:sz w:val="22"/>
          <w:szCs w:val="22"/>
          <w:lang w:val="sl-SI"/>
        </w:rPr>
        <w:tab/>
      </w:r>
      <w:r w:rsidR="000A095B" w:rsidRPr="000A095B">
        <w:rPr>
          <w:rFonts w:eastAsia="Calibri" w:cs="Arial"/>
          <w:sz w:val="22"/>
          <w:szCs w:val="22"/>
          <w:lang w:val="sl-SI"/>
        </w:rPr>
        <w:tab/>
      </w:r>
      <w:r w:rsidR="000A095B" w:rsidRPr="000A095B">
        <w:rPr>
          <w:rFonts w:eastAsia="Calibri" w:cs="Arial"/>
          <w:sz w:val="22"/>
          <w:szCs w:val="22"/>
          <w:lang w:val="sl-SI"/>
        </w:rPr>
        <w:tab/>
      </w:r>
      <w:r w:rsidR="000A095B" w:rsidRPr="000A095B">
        <w:rPr>
          <w:rFonts w:eastAsia="Calibri" w:cs="Arial"/>
          <w:sz w:val="22"/>
          <w:szCs w:val="22"/>
          <w:lang w:val="sl-SI"/>
        </w:rPr>
        <w:tab/>
      </w:r>
      <w:r w:rsidR="000A095B" w:rsidRPr="000A095B">
        <w:rPr>
          <w:rFonts w:eastAsia="Calibri" w:cs="Arial"/>
          <w:sz w:val="22"/>
          <w:szCs w:val="22"/>
          <w:lang w:val="sl-SI"/>
        </w:rPr>
        <w:tab/>
      </w:r>
      <w:r w:rsidR="000A095B" w:rsidRPr="000A095B">
        <w:rPr>
          <w:rFonts w:eastAsia="Calibri" w:cs="Arial"/>
          <w:sz w:val="22"/>
          <w:szCs w:val="22"/>
          <w:lang w:val="sl-SI"/>
        </w:rPr>
        <w:tab/>
      </w:r>
      <w:r w:rsidR="000A095B" w:rsidRPr="000A095B">
        <w:rPr>
          <w:rFonts w:eastAsia="Calibri" w:cs="Arial"/>
          <w:sz w:val="22"/>
          <w:szCs w:val="22"/>
          <w:lang w:val="sl-SI"/>
        </w:rPr>
        <w:tab/>
      </w:r>
      <w:r w:rsidR="000A095B">
        <w:rPr>
          <w:rFonts w:eastAsia="Calibri" w:cs="Arial"/>
          <w:sz w:val="22"/>
          <w:szCs w:val="22"/>
          <w:lang w:val="sl-SI"/>
        </w:rPr>
        <w:tab/>
      </w:r>
      <w:r w:rsidR="000A095B" w:rsidRPr="000A095B">
        <w:rPr>
          <w:rFonts w:eastAsia="Calibri" w:cs="Arial"/>
          <w:sz w:val="22"/>
          <w:szCs w:val="22"/>
          <w:lang w:val="sl-SI"/>
        </w:rPr>
        <w:t xml:space="preserve">str. </w:t>
      </w:r>
      <w:r w:rsidR="002974AD">
        <w:rPr>
          <w:rFonts w:eastAsia="Calibri" w:cs="Arial"/>
          <w:sz w:val="22"/>
          <w:szCs w:val="22"/>
          <w:lang w:val="sl-SI"/>
        </w:rPr>
        <w:t>78</w:t>
      </w:r>
    </w:p>
    <w:p w:rsidR="000A095B" w:rsidRPr="000A095B" w:rsidRDefault="0077619C" w:rsidP="000A095B">
      <w:pPr>
        <w:spacing w:before="120" w:after="200" w:line="276" w:lineRule="auto"/>
        <w:ind w:right="-858"/>
        <w:rPr>
          <w:rFonts w:eastAsia="Calibri" w:cs="Arial"/>
          <w:sz w:val="22"/>
          <w:szCs w:val="22"/>
          <w:lang w:val="sl-SI"/>
        </w:rPr>
      </w:pPr>
      <w:r>
        <w:rPr>
          <w:rFonts w:eastAsia="Calibri" w:cs="Arial"/>
          <w:sz w:val="22"/>
          <w:szCs w:val="22"/>
          <w:lang w:val="sl-SI"/>
        </w:rPr>
        <w:t>8</w:t>
      </w:r>
      <w:r w:rsidR="000A095B" w:rsidRPr="000A095B">
        <w:rPr>
          <w:rFonts w:eastAsia="Calibri" w:cs="Arial"/>
          <w:sz w:val="22"/>
          <w:szCs w:val="22"/>
          <w:lang w:val="sl-SI"/>
        </w:rPr>
        <w:t xml:space="preserve"> Tla </w:t>
      </w:r>
      <w:r w:rsidR="000A095B" w:rsidRPr="000A095B">
        <w:rPr>
          <w:rFonts w:eastAsia="Calibri" w:cs="Arial"/>
          <w:sz w:val="22"/>
          <w:szCs w:val="22"/>
          <w:lang w:val="sl-SI"/>
        </w:rPr>
        <w:tab/>
      </w:r>
      <w:r w:rsidR="000A095B" w:rsidRPr="000A095B">
        <w:rPr>
          <w:rFonts w:eastAsia="Calibri" w:cs="Arial"/>
          <w:sz w:val="22"/>
          <w:szCs w:val="22"/>
          <w:lang w:val="sl-SI"/>
        </w:rPr>
        <w:tab/>
      </w:r>
      <w:r w:rsidR="000A095B" w:rsidRPr="000A095B">
        <w:rPr>
          <w:rFonts w:eastAsia="Calibri" w:cs="Arial"/>
          <w:sz w:val="22"/>
          <w:szCs w:val="22"/>
          <w:lang w:val="sl-SI"/>
        </w:rPr>
        <w:tab/>
      </w:r>
      <w:r w:rsidR="000A095B" w:rsidRPr="000A095B">
        <w:rPr>
          <w:rFonts w:eastAsia="Calibri" w:cs="Arial"/>
          <w:sz w:val="22"/>
          <w:szCs w:val="22"/>
          <w:lang w:val="sl-SI"/>
        </w:rPr>
        <w:tab/>
      </w:r>
      <w:r w:rsidR="000A095B" w:rsidRPr="000A095B">
        <w:rPr>
          <w:rFonts w:eastAsia="Calibri" w:cs="Arial"/>
          <w:sz w:val="22"/>
          <w:szCs w:val="22"/>
          <w:lang w:val="sl-SI"/>
        </w:rPr>
        <w:tab/>
      </w:r>
      <w:r w:rsidR="000A095B" w:rsidRPr="000A095B">
        <w:rPr>
          <w:rFonts w:eastAsia="Calibri" w:cs="Arial"/>
          <w:sz w:val="22"/>
          <w:szCs w:val="22"/>
          <w:lang w:val="sl-SI"/>
        </w:rPr>
        <w:tab/>
      </w:r>
      <w:r w:rsidR="000A095B" w:rsidRPr="000A095B">
        <w:rPr>
          <w:rFonts w:eastAsia="Calibri" w:cs="Arial"/>
          <w:sz w:val="22"/>
          <w:szCs w:val="22"/>
          <w:lang w:val="sl-SI"/>
        </w:rPr>
        <w:tab/>
      </w:r>
      <w:r w:rsidR="000A095B" w:rsidRPr="000A095B">
        <w:rPr>
          <w:rFonts w:eastAsia="Calibri" w:cs="Arial"/>
          <w:sz w:val="22"/>
          <w:szCs w:val="22"/>
          <w:lang w:val="sl-SI"/>
        </w:rPr>
        <w:tab/>
      </w:r>
      <w:r w:rsidR="000A095B" w:rsidRPr="000A095B">
        <w:rPr>
          <w:rFonts w:eastAsia="Calibri" w:cs="Arial"/>
          <w:sz w:val="22"/>
          <w:szCs w:val="22"/>
          <w:lang w:val="sl-SI"/>
        </w:rPr>
        <w:tab/>
      </w:r>
      <w:r w:rsidR="000A095B" w:rsidRPr="000A095B">
        <w:rPr>
          <w:rFonts w:eastAsia="Calibri" w:cs="Arial"/>
          <w:sz w:val="22"/>
          <w:szCs w:val="22"/>
          <w:lang w:val="sl-SI"/>
        </w:rPr>
        <w:tab/>
      </w:r>
      <w:r w:rsidR="000A095B" w:rsidRPr="000A095B">
        <w:rPr>
          <w:rFonts w:eastAsia="Calibri" w:cs="Arial"/>
          <w:sz w:val="22"/>
          <w:szCs w:val="22"/>
          <w:lang w:val="sl-SI"/>
        </w:rPr>
        <w:tab/>
      </w:r>
      <w:r w:rsidR="000A095B">
        <w:rPr>
          <w:rFonts w:eastAsia="Calibri" w:cs="Arial"/>
          <w:sz w:val="22"/>
          <w:szCs w:val="22"/>
          <w:lang w:val="sl-SI"/>
        </w:rPr>
        <w:tab/>
      </w:r>
      <w:r w:rsidR="000A095B" w:rsidRPr="000A095B">
        <w:rPr>
          <w:rFonts w:eastAsia="Calibri" w:cs="Arial"/>
          <w:sz w:val="22"/>
          <w:szCs w:val="22"/>
          <w:lang w:val="sl-SI"/>
        </w:rPr>
        <w:t xml:space="preserve">str. </w:t>
      </w:r>
      <w:r w:rsidR="002974AD">
        <w:rPr>
          <w:rFonts w:eastAsia="Calibri" w:cs="Arial"/>
          <w:sz w:val="22"/>
          <w:szCs w:val="22"/>
          <w:lang w:val="sl-SI"/>
        </w:rPr>
        <w:t>104</w:t>
      </w:r>
    </w:p>
    <w:p w:rsidR="000A095B" w:rsidRPr="000A095B" w:rsidRDefault="0077619C" w:rsidP="000A095B">
      <w:pPr>
        <w:spacing w:before="120" w:after="200" w:line="276" w:lineRule="auto"/>
        <w:ind w:right="-858"/>
        <w:rPr>
          <w:rFonts w:eastAsia="Calibri" w:cs="Arial"/>
          <w:sz w:val="22"/>
          <w:szCs w:val="22"/>
          <w:lang w:val="sl-SI"/>
        </w:rPr>
      </w:pPr>
      <w:r>
        <w:rPr>
          <w:rFonts w:eastAsia="Calibri" w:cs="Arial"/>
          <w:sz w:val="22"/>
          <w:szCs w:val="22"/>
          <w:lang w:val="sl-SI"/>
        </w:rPr>
        <w:t>9</w:t>
      </w:r>
      <w:r w:rsidR="000A095B" w:rsidRPr="000A095B">
        <w:rPr>
          <w:rFonts w:eastAsia="Calibri" w:cs="Arial"/>
          <w:sz w:val="22"/>
          <w:szCs w:val="22"/>
          <w:lang w:val="sl-SI"/>
        </w:rPr>
        <w:t xml:space="preserve"> Ravnanje z viri in odpadki </w:t>
      </w:r>
      <w:r w:rsidR="000A095B" w:rsidRPr="000A095B">
        <w:rPr>
          <w:rFonts w:eastAsia="Calibri" w:cs="Arial"/>
          <w:sz w:val="22"/>
          <w:szCs w:val="22"/>
          <w:lang w:val="sl-SI"/>
        </w:rPr>
        <w:tab/>
      </w:r>
      <w:r w:rsidR="000A095B" w:rsidRPr="000A095B">
        <w:rPr>
          <w:rFonts w:eastAsia="Calibri" w:cs="Arial"/>
          <w:sz w:val="22"/>
          <w:szCs w:val="22"/>
          <w:lang w:val="sl-SI"/>
        </w:rPr>
        <w:tab/>
      </w:r>
      <w:r w:rsidR="000A095B">
        <w:rPr>
          <w:rFonts w:eastAsia="Calibri" w:cs="Arial"/>
          <w:sz w:val="22"/>
          <w:szCs w:val="22"/>
          <w:lang w:val="sl-SI"/>
        </w:rPr>
        <w:tab/>
      </w:r>
      <w:r w:rsidR="000A095B" w:rsidRPr="000A095B">
        <w:rPr>
          <w:rFonts w:eastAsia="Calibri" w:cs="Arial"/>
          <w:sz w:val="22"/>
          <w:szCs w:val="22"/>
          <w:lang w:val="sl-SI"/>
        </w:rPr>
        <w:tab/>
      </w:r>
      <w:r w:rsidR="000A095B" w:rsidRPr="000A095B">
        <w:rPr>
          <w:rFonts w:eastAsia="Calibri" w:cs="Arial"/>
          <w:sz w:val="22"/>
          <w:szCs w:val="22"/>
          <w:lang w:val="sl-SI"/>
        </w:rPr>
        <w:tab/>
      </w:r>
      <w:r w:rsidR="000A095B" w:rsidRPr="000A095B">
        <w:rPr>
          <w:rFonts w:eastAsia="Calibri" w:cs="Arial"/>
          <w:sz w:val="22"/>
          <w:szCs w:val="22"/>
          <w:lang w:val="sl-SI"/>
        </w:rPr>
        <w:tab/>
      </w:r>
      <w:r w:rsidR="000A095B" w:rsidRPr="000A095B">
        <w:rPr>
          <w:rFonts w:eastAsia="Calibri" w:cs="Arial"/>
          <w:sz w:val="22"/>
          <w:szCs w:val="22"/>
          <w:lang w:val="sl-SI"/>
        </w:rPr>
        <w:tab/>
      </w:r>
      <w:r w:rsidR="000A095B" w:rsidRPr="000A095B">
        <w:rPr>
          <w:rFonts w:eastAsia="Calibri" w:cs="Arial"/>
          <w:sz w:val="22"/>
          <w:szCs w:val="22"/>
          <w:lang w:val="sl-SI"/>
        </w:rPr>
        <w:tab/>
      </w:r>
      <w:r w:rsidR="000A095B">
        <w:rPr>
          <w:rFonts w:eastAsia="Calibri" w:cs="Arial"/>
          <w:sz w:val="22"/>
          <w:szCs w:val="22"/>
          <w:lang w:val="sl-SI"/>
        </w:rPr>
        <w:tab/>
      </w:r>
      <w:r w:rsidR="000A095B" w:rsidRPr="000A095B">
        <w:rPr>
          <w:rFonts w:eastAsia="Calibri" w:cs="Arial"/>
          <w:sz w:val="22"/>
          <w:szCs w:val="22"/>
          <w:lang w:val="sl-SI"/>
        </w:rPr>
        <w:t xml:space="preserve">str. </w:t>
      </w:r>
      <w:r w:rsidR="002974AD">
        <w:rPr>
          <w:rFonts w:eastAsia="Calibri" w:cs="Arial"/>
          <w:sz w:val="22"/>
          <w:szCs w:val="22"/>
          <w:lang w:val="sl-SI"/>
        </w:rPr>
        <w:t>119</w:t>
      </w:r>
    </w:p>
    <w:p w:rsidR="000A095B" w:rsidRPr="000A095B" w:rsidRDefault="0077619C" w:rsidP="000A095B">
      <w:pPr>
        <w:spacing w:before="120" w:after="200" w:line="276" w:lineRule="auto"/>
        <w:ind w:right="-858"/>
        <w:rPr>
          <w:rFonts w:eastAsia="Calibri" w:cs="Arial"/>
          <w:sz w:val="22"/>
          <w:szCs w:val="22"/>
          <w:lang w:val="sl-SI"/>
        </w:rPr>
      </w:pPr>
      <w:r>
        <w:rPr>
          <w:rFonts w:eastAsia="Calibri" w:cs="Arial"/>
          <w:sz w:val="22"/>
          <w:szCs w:val="22"/>
          <w:lang w:val="sl-SI"/>
        </w:rPr>
        <w:t>10</w:t>
      </w:r>
      <w:r w:rsidR="000A095B" w:rsidRPr="000A095B">
        <w:rPr>
          <w:rFonts w:eastAsia="Calibri" w:cs="Arial"/>
          <w:sz w:val="22"/>
          <w:szCs w:val="22"/>
          <w:lang w:val="sl-SI"/>
        </w:rPr>
        <w:t xml:space="preserve"> Podnebne spremembe </w:t>
      </w:r>
      <w:r w:rsidR="000A095B" w:rsidRPr="000A095B">
        <w:rPr>
          <w:rFonts w:eastAsia="Calibri" w:cs="Arial"/>
          <w:sz w:val="22"/>
          <w:szCs w:val="22"/>
          <w:lang w:val="sl-SI"/>
        </w:rPr>
        <w:tab/>
      </w:r>
      <w:r w:rsidR="000A095B" w:rsidRPr="000A095B">
        <w:rPr>
          <w:rFonts w:eastAsia="Calibri" w:cs="Arial"/>
          <w:sz w:val="22"/>
          <w:szCs w:val="22"/>
          <w:lang w:val="sl-SI"/>
        </w:rPr>
        <w:tab/>
      </w:r>
      <w:r w:rsidR="000A095B" w:rsidRPr="000A095B">
        <w:rPr>
          <w:rFonts w:eastAsia="Calibri" w:cs="Arial"/>
          <w:sz w:val="22"/>
          <w:szCs w:val="22"/>
          <w:lang w:val="sl-SI"/>
        </w:rPr>
        <w:tab/>
      </w:r>
      <w:r w:rsidR="000A095B" w:rsidRPr="000A095B">
        <w:rPr>
          <w:rFonts w:eastAsia="Calibri" w:cs="Arial"/>
          <w:sz w:val="22"/>
          <w:szCs w:val="22"/>
          <w:lang w:val="sl-SI"/>
        </w:rPr>
        <w:tab/>
      </w:r>
      <w:r w:rsidR="000A095B" w:rsidRPr="000A095B">
        <w:rPr>
          <w:rFonts w:eastAsia="Calibri" w:cs="Arial"/>
          <w:sz w:val="22"/>
          <w:szCs w:val="22"/>
          <w:lang w:val="sl-SI"/>
        </w:rPr>
        <w:tab/>
      </w:r>
      <w:r w:rsidR="000A095B" w:rsidRPr="000A095B">
        <w:rPr>
          <w:rFonts w:eastAsia="Calibri" w:cs="Arial"/>
          <w:sz w:val="22"/>
          <w:szCs w:val="22"/>
          <w:lang w:val="sl-SI"/>
        </w:rPr>
        <w:tab/>
      </w:r>
      <w:r w:rsidR="000A095B" w:rsidRPr="000A095B">
        <w:rPr>
          <w:rFonts w:eastAsia="Calibri" w:cs="Arial"/>
          <w:sz w:val="22"/>
          <w:szCs w:val="22"/>
          <w:lang w:val="sl-SI"/>
        </w:rPr>
        <w:tab/>
      </w:r>
      <w:r w:rsidR="000A095B" w:rsidRPr="000A095B">
        <w:rPr>
          <w:rFonts w:eastAsia="Calibri" w:cs="Arial"/>
          <w:sz w:val="22"/>
          <w:szCs w:val="22"/>
          <w:lang w:val="sl-SI"/>
        </w:rPr>
        <w:tab/>
      </w:r>
      <w:r w:rsidR="000A095B">
        <w:rPr>
          <w:rFonts w:eastAsia="Calibri" w:cs="Arial"/>
          <w:sz w:val="22"/>
          <w:szCs w:val="22"/>
          <w:lang w:val="sl-SI"/>
        </w:rPr>
        <w:tab/>
      </w:r>
      <w:r w:rsidR="000A095B" w:rsidRPr="000A095B">
        <w:rPr>
          <w:rFonts w:eastAsia="Calibri" w:cs="Arial"/>
          <w:sz w:val="22"/>
          <w:szCs w:val="22"/>
          <w:lang w:val="sl-SI"/>
        </w:rPr>
        <w:t xml:space="preserve">str. </w:t>
      </w:r>
      <w:r w:rsidR="002974AD">
        <w:rPr>
          <w:rFonts w:eastAsia="Calibri" w:cs="Arial"/>
          <w:sz w:val="22"/>
          <w:szCs w:val="22"/>
          <w:lang w:val="sl-SI"/>
        </w:rPr>
        <w:t>143</w:t>
      </w:r>
    </w:p>
    <w:p w:rsidR="000A095B" w:rsidRDefault="000A095B" w:rsidP="000A095B">
      <w:pPr>
        <w:spacing w:before="120" w:after="200" w:line="276" w:lineRule="auto"/>
        <w:ind w:right="-858"/>
        <w:rPr>
          <w:rFonts w:eastAsia="Calibri" w:cs="Arial"/>
          <w:sz w:val="22"/>
          <w:szCs w:val="22"/>
          <w:lang w:val="sl-SI"/>
        </w:rPr>
      </w:pPr>
      <w:r>
        <w:rPr>
          <w:rFonts w:eastAsia="Calibri" w:cs="Arial"/>
          <w:sz w:val="22"/>
          <w:szCs w:val="22"/>
          <w:lang w:val="sl-SI"/>
        </w:rPr>
        <w:t>1</w:t>
      </w:r>
      <w:r w:rsidR="0077619C">
        <w:rPr>
          <w:rFonts w:eastAsia="Calibri" w:cs="Arial"/>
          <w:sz w:val="22"/>
          <w:szCs w:val="22"/>
          <w:lang w:val="sl-SI"/>
        </w:rPr>
        <w:t>1</w:t>
      </w:r>
      <w:r>
        <w:rPr>
          <w:rFonts w:eastAsia="Calibri" w:cs="Arial"/>
          <w:sz w:val="22"/>
          <w:szCs w:val="22"/>
          <w:lang w:val="sl-SI"/>
        </w:rPr>
        <w:t xml:space="preserve"> Hrup v okolju</w:t>
      </w:r>
      <w:r w:rsidR="002974AD">
        <w:rPr>
          <w:rFonts w:eastAsia="Calibri" w:cs="Arial"/>
          <w:sz w:val="22"/>
          <w:szCs w:val="22"/>
          <w:lang w:val="sl-SI"/>
        </w:rPr>
        <w:tab/>
      </w:r>
      <w:r w:rsidR="002974AD">
        <w:rPr>
          <w:rFonts w:eastAsia="Calibri" w:cs="Arial"/>
          <w:sz w:val="22"/>
          <w:szCs w:val="22"/>
          <w:lang w:val="sl-SI"/>
        </w:rPr>
        <w:tab/>
      </w:r>
      <w:r w:rsidR="002974AD">
        <w:rPr>
          <w:rFonts w:eastAsia="Calibri" w:cs="Arial"/>
          <w:sz w:val="22"/>
          <w:szCs w:val="22"/>
          <w:lang w:val="sl-SI"/>
        </w:rPr>
        <w:tab/>
      </w:r>
      <w:r w:rsidR="002974AD">
        <w:rPr>
          <w:rFonts w:eastAsia="Calibri" w:cs="Arial"/>
          <w:sz w:val="22"/>
          <w:szCs w:val="22"/>
          <w:lang w:val="sl-SI"/>
        </w:rPr>
        <w:tab/>
      </w:r>
      <w:r w:rsidR="002974AD">
        <w:rPr>
          <w:rFonts w:eastAsia="Calibri" w:cs="Arial"/>
          <w:sz w:val="22"/>
          <w:szCs w:val="22"/>
          <w:lang w:val="sl-SI"/>
        </w:rPr>
        <w:tab/>
      </w:r>
      <w:r w:rsidR="002974AD">
        <w:rPr>
          <w:rFonts w:eastAsia="Calibri" w:cs="Arial"/>
          <w:sz w:val="22"/>
          <w:szCs w:val="22"/>
          <w:lang w:val="sl-SI"/>
        </w:rPr>
        <w:tab/>
      </w:r>
      <w:r w:rsidR="002974AD">
        <w:rPr>
          <w:rFonts w:eastAsia="Calibri" w:cs="Arial"/>
          <w:sz w:val="22"/>
          <w:szCs w:val="22"/>
          <w:lang w:val="sl-SI"/>
        </w:rPr>
        <w:tab/>
      </w:r>
      <w:r w:rsidR="002974AD">
        <w:rPr>
          <w:rFonts w:eastAsia="Calibri" w:cs="Arial"/>
          <w:sz w:val="22"/>
          <w:szCs w:val="22"/>
          <w:lang w:val="sl-SI"/>
        </w:rPr>
        <w:tab/>
      </w:r>
      <w:r w:rsidR="002974AD">
        <w:rPr>
          <w:rFonts w:eastAsia="Calibri" w:cs="Arial"/>
          <w:sz w:val="22"/>
          <w:szCs w:val="22"/>
          <w:lang w:val="sl-SI"/>
        </w:rPr>
        <w:tab/>
      </w:r>
      <w:r w:rsidR="002974AD">
        <w:rPr>
          <w:rFonts w:eastAsia="Calibri" w:cs="Arial"/>
          <w:sz w:val="22"/>
          <w:szCs w:val="22"/>
          <w:lang w:val="sl-SI"/>
        </w:rPr>
        <w:tab/>
        <w:t>str. 160</w:t>
      </w:r>
    </w:p>
    <w:p w:rsidR="000A095B" w:rsidRPr="00CE7DE4" w:rsidRDefault="000A095B" w:rsidP="000A095B">
      <w:pPr>
        <w:spacing w:before="120" w:after="200" w:line="276" w:lineRule="auto"/>
        <w:ind w:right="-858"/>
        <w:rPr>
          <w:rFonts w:eastAsia="Calibri" w:cs="Arial"/>
          <w:sz w:val="22"/>
          <w:szCs w:val="22"/>
          <w:lang w:val="sl-SI"/>
        </w:rPr>
      </w:pPr>
      <w:r w:rsidRPr="00CE7DE4">
        <w:rPr>
          <w:rFonts w:eastAsia="Calibri" w:cs="Arial"/>
          <w:sz w:val="22"/>
          <w:szCs w:val="22"/>
          <w:lang w:val="sl-SI"/>
        </w:rPr>
        <w:t>1</w:t>
      </w:r>
      <w:r w:rsidR="0077619C" w:rsidRPr="00CE7DE4">
        <w:rPr>
          <w:rFonts w:eastAsia="Calibri" w:cs="Arial"/>
          <w:sz w:val="22"/>
          <w:szCs w:val="22"/>
          <w:lang w:val="sl-SI"/>
        </w:rPr>
        <w:t>2</w:t>
      </w:r>
      <w:r w:rsidRPr="00CE7DE4">
        <w:rPr>
          <w:rFonts w:eastAsia="Calibri" w:cs="Arial"/>
          <w:sz w:val="22"/>
          <w:szCs w:val="22"/>
          <w:lang w:val="sl-SI"/>
        </w:rPr>
        <w:t xml:space="preserve"> Elektromagnetna sevanja v okolju </w:t>
      </w:r>
      <w:r w:rsidRPr="00CE7DE4">
        <w:rPr>
          <w:rFonts w:eastAsia="Calibri" w:cs="Arial"/>
          <w:sz w:val="22"/>
          <w:szCs w:val="22"/>
          <w:lang w:val="sl-SI"/>
        </w:rPr>
        <w:tab/>
      </w:r>
      <w:r w:rsidRPr="00CE7DE4">
        <w:rPr>
          <w:rFonts w:eastAsia="Calibri" w:cs="Arial"/>
          <w:sz w:val="22"/>
          <w:szCs w:val="22"/>
          <w:lang w:val="sl-SI"/>
        </w:rPr>
        <w:tab/>
      </w:r>
      <w:r w:rsidRPr="00CE7DE4">
        <w:rPr>
          <w:rFonts w:eastAsia="Calibri" w:cs="Arial"/>
          <w:sz w:val="22"/>
          <w:szCs w:val="22"/>
          <w:lang w:val="sl-SI"/>
        </w:rPr>
        <w:tab/>
      </w:r>
      <w:r w:rsidRPr="00CE7DE4">
        <w:rPr>
          <w:rFonts w:eastAsia="Calibri" w:cs="Arial"/>
          <w:sz w:val="22"/>
          <w:szCs w:val="22"/>
          <w:lang w:val="sl-SI"/>
        </w:rPr>
        <w:tab/>
      </w:r>
      <w:r w:rsidRPr="00CE7DE4">
        <w:rPr>
          <w:rFonts w:eastAsia="Calibri" w:cs="Arial"/>
          <w:sz w:val="22"/>
          <w:szCs w:val="22"/>
          <w:lang w:val="sl-SI"/>
        </w:rPr>
        <w:tab/>
      </w:r>
      <w:r w:rsidRPr="00CE7DE4">
        <w:rPr>
          <w:rFonts w:eastAsia="Calibri" w:cs="Arial"/>
          <w:sz w:val="22"/>
          <w:szCs w:val="22"/>
          <w:lang w:val="sl-SI"/>
        </w:rPr>
        <w:tab/>
      </w:r>
      <w:r w:rsidRPr="00CE7DE4">
        <w:rPr>
          <w:rFonts w:eastAsia="Calibri" w:cs="Arial"/>
          <w:sz w:val="22"/>
          <w:szCs w:val="22"/>
          <w:lang w:val="sl-SI"/>
        </w:rPr>
        <w:tab/>
        <w:t>str. 1</w:t>
      </w:r>
      <w:r w:rsidR="002974AD">
        <w:rPr>
          <w:rFonts w:eastAsia="Calibri" w:cs="Arial"/>
          <w:sz w:val="22"/>
          <w:szCs w:val="22"/>
          <w:lang w:val="sl-SI"/>
        </w:rPr>
        <w:t>71</w:t>
      </w:r>
    </w:p>
    <w:p w:rsidR="000A095B" w:rsidRPr="00CE7DE4" w:rsidRDefault="000A095B" w:rsidP="000A095B">
      <w:pPr>
        <w:spacing w:before="120" w:after="200" w:line="276" w:lineRule="auto"/>
        <w:ind w:right="-858"/>
        <w:rPr>
          <w:rFonts w:eastAsia="Calibri" w:cs="Arial"/>
          <w:sz w:val="22"/>
          <w:szCs w:val="22"/>
          <w:lang w:val="sl-SI"/>
        </w:rPr>
      </w:pPr>
      <w:r w:rsidRPr="00CE7DE4">
        <w:rPr>
          <w:rFonts w:eastAsia="Calibri" w:cs="Arial"/>
          <w:sz w:val="22"/>
          <w:szCs w:val="22"/>
          <w:lang w:val="sl-SI"/>
        </w:rPr>
        <w:t>1</w:t>
      </w:r>
      <w:r w:rsidR="0077619C" w:rsidRPr="00CE7DE4">
        <w:rPr>
          <w:rFonts w:eastAsia="Calibri" w:cs="Arial"/>
          <w:sz w:val="22"/>
          <w:szCs w:val="22"/>
          <w:lang w:val="sl-SI"/>
        </w:rPr>
        <w:t>3</w:t>
      </w:r>
      <w:r w:rsidRPr="00CE7DE4">
        <w:rPr>
          <w:rFonts w:eastAsia="Calibri" w:cs="Arial"/>
          <w:sz w:val="22"/>
          <w:szCs w:val="22"/>
          <w:lang w:val="sl-SI"/>
        </w:rPr>
        <w:t xml:space="preserve"> Biotehnologija – GSO in biološka varnost </w:t>
      </w:r>
      <w:r w:rsidRPr="00CE7DE4">
        <w:rPr>
          <w:rFonts w:eastAsia="Calibri" w:cs="Arial"/>
          <w:sz w:val="22"/>
          <w:szCs w:val="22"/>
          <w:lang w:val="sl-SI"/>
        </w:rPr>
        <w:tab/>
      </w:r>
      <w:r w:rsidRPr="00CE7DE4">
        <w:rPr>
          <w:rFonts w:eastAsia="Calibri" w:cs="Arial"/>
          <w:sz w:val="22"/>
          <w:szCs w:val="22"/>
          <w:lang w:val="sl-SI"/>
        </w:rPr>
        <w:tab/>
      </w:r>
      <w:r w:rsidRPr="00CE7DE4">
        <w:rPr>
          <w:rFonts w:eastAsia="Calibri" w:cs="Arial"/>
          <w:sz w:val="22"/>
          <w:szCs w:val="22"/>
          <w:lang w:val="sl-SI"/>
        </w:rPr>
        <w:tab/>
      </w:r>
      <w:r w:rsidRPr="00CE7DE4">
        <w:rPr>
          <w:rFonts w:eastAsia="Calibri" w:cs="Arial"/>
          <w:sz w:val="22"/>
          <w:szCs w:val="22"/>
          <w:lang w:val="sl-SI"/>
        </w:rPr>
        <w:tab/>
      </w:r>
      <w:r w:rsidRPr="00CE7DE4">
        <w:rPr>
          <w:rFonts w:eastAsia="Calibri" w:cs="Arial"/>
          <w:sz w:val="22"/>
          <w:szCs w:val="22"/>
          <w:lang w:val="sl-SI"/>
        </w:rPr>
        <w:tab/>
      </w:r>
      <w:r w:rsidRPr="00CE7DE4">
        <w:rPr>
          <w:rFonts w:eastAsia="Calibri" w:cs="Arial"/>
          <w:sz w:val="22"/>
          <w:szCs w:val="22"/>
          <w:lang w:val="sl-SI"/>
        </w:rPr>
        <w:tab/>
        <w:t xml:space="preserve">str. </w:t>
      </w:r>
      <w:r w:rsidR="002974AD">
        <w:rPr>
          <w:rFonts w:eastAsia="Calibri" w:cs="Arial"/>
          <w:sz w:val="22"/>
          <w:szCs w:val="22"/>
          <w:lang w:val="sl-SI"/>
        </w:rPr>
        <w:t>177</w:t>
      </w:r>
    </w:p>
    <w:p w:rsidR="000A095B" w:rsidRPr="00CE7DE4" w:rsidRDefault="000A095B" w:rsidP="000A095B">
      <w:pPr>
        <w:spacing w:before="120" w:after="200" w:line="276" w:lineRule="auto"/>
        <w:ind w:right="-858"/>
        <w:rPr>
          <w:rFonts w:eastAsia="Calibri" w:cs="Arial"/>
          <w:sz w:val="22"/>
          <w:szCs w:val="22"/>
          <w:lang w:val="sl-SI"/>
        </w:rPr>
      </w:pPr>
      <w:r w:rsidRPr="00CE7DE4">
        <w:rPr>
          <w:rFonts w:eastAsia="Calibri" w:cs="Arial"/>
          <w:sz w:val="22"/>
          <w:szCs w:val="22"/>
          <w:lang w:val="sl-SI"/>
        </w:rPr>
        <w:t>1</w:t>
      </w:r>
      <w:r w:rsidR="0077619C" w:rsidRPr="00CE7DE4">
        <w:rPr>
          <w:rFonts w:eastAsia="Calibri" w:cs="Arial"/>
          <w:sz w:val="22"/>
          <w:szCs w:val="22"/>
          <w:lang w:val="sl-SI"/>
        </w:rPr>
        <w:t>4</w:t>
      </w:r>
      <w:r w:rsidRPr="00CE7DE4">
        <w:rPr>
          <w:rFonts w:eastAsia="Calibri" w:cs="Arial"/>
          <w:sz w:val="22"/>
          <w:szCs w:val="22"/>
          <w:lang w:val="sl-SI"/>
        </w:rPr>
        <w:t xml:space="preserve"> Naravni pojavi in nesreče </w:t>
      </w:r>
      <w:r w:rsidRPr="00CE7DE4">
        <w:rPr>
          <w:rFonts w:eastAsia="Calibri" w:cs="Arial"/>
          <w:sz w:val="22"/>
          <w:szCs w:val="22"/>
          <w:lang w:val="sl-SI"/>
        </w:rPr>
        <w:tab/>
      </w:r>
      <w:r w:rsidRPr="00CE7DE4">
        <w:rPr>
          <w:rFonts w:eastAsia="Calibri" w:cs="Arial"/>
          <w:sz w:val="22"/>
          <w:szCs w:val="22"/>
          <w:lang w:val="sl-SI"/>
        </w:rPr>
        <w:tab/>
      </w:r>
      <w:r w:rsidRPr="00CE7DE4">
        <w:rPr>
          <w:rFonts w:eastAsia="Calibri" w:cs="Arial"/>
          <w:sz w:val="22"/>
          <w:szCs w:val="22"/>
          <w:lang w:val="sl-SI"/>
        </w:rPr>
        <w:tab/>
      </w:r>
      <w:r w:rsidRPr="00CE7DE4">
        <w:rPr>
          <w:rFonts w:eastAsia="Calibri" w:cs="Arial"/>
          <w:sz w:val="22"/>
          <w:szCs w:val="22"/>
          <w:lang w:val="sl-SI"/>
        </w:rPr>
        <w:tab/>
      </w:r>
      <w:r w:rsidRPr="00CE7DE4">
        <w:rPr>
          <w:rFonts w:eastAsia="Calibri" w:cs="Arial"/>
          <w:sz w:val="22"/>
          <w:szCs w:val="22"/>
          <w:lang w:val="sl-SI"/>
        </w:rPr>
        <w:tab/>
      </w:r>
      <w:r w:rsidRPr="00CE7DE4">
        <w:rPr>
          <w:rFonts w:eastAsia="Calibri" w:cs="Arial"/>
          <w:sz w:val="22"/>
          <w:szCs w:val="22"/>
          <w:lang w:val="sl-SI"/>
        </w:rPr>
        <w:tab/>
      </w:r>
      <w:r w:rsidRPr="00CE7DE4">
        <w:rPr>
          <w:rFonts w:eastAsia="Calibri" w:cs="Arial"/>
          <w:sz w:val="22"/>
          <w:szCs w:val="22"/>
          <w:lang w:val="sl-SI"/>
        </w:rPr>
        <w:tab/>
      </w:r>
      <w:r w:rsidRPr="00CE7DE4">
        <w:rPr>
          <w:rFonts w:eastAsia="Calibri" w:cs="Arial"/>
          <w:sz w:val="22"/>
          <w:szCs w:val="22"/>
          <w:lang w:val="sl-SI"/>
        </w:rPr>
        <w:tab/>
      </w:r>
      <w:r w:rsidRPr="00CE7DE4">
        <w:rPr>
          <w:rFonts w:eastAsia="Calibri" w:cs="Arial"/>
          <w:sz w:val="22"/>
          <w:szCs w:val="22"/>
          <w:lang w:val="sl-SI"/>
        </w:rPr>
        <w:tab/>
        <w:t xml:space="preserve">str. </w:t>
      </w:r>
      <w:r w:rsidR="002974AD">
        <w:rPr>
          <w:rFonts w:eastAsia="Calibri" w:cs="Arial"/>
          <w:sz w:val="22"/>
          <w:szCs w:val="22"/>
          <w:lang w:val="sl-SI"/>
        </w:rPr>
        <w:t>192</w:t>
      </w:r>
    </w:p>
    <w:p w:rsidR="000A095B" w:rsidRPr="00CE7DE4" w:rsidRDefault="000A095B" w:rsidP="000A095B">
      <w:pPr>
        <w:spacing w:before="120" w:after="200" w:line="276" w:lineRule="auto"/>
        <w:ind w:right="-858"/>
        <w:rPr>
          <w:rFonts w:eastAsia="Calibri" w:cs="Arial"/>
          <w:sz w:val="22"/>
          <w:szCs w:val="22"/>
          <w:lang w:val="sl-SI"/>
        </w:rPr>
      </w:pPr>
      <w:r w:rsidRPr="00CE7DE4">
        <w:rPr>
          <w:rFonts w:eastAsia="Calibri" w:cs="Arial"/>
          <w:sz w:val="22"/>
          <w:szCs w:val="22"/>
          <w:lang w:val="sl-SI"/>
        </w:rPr>
        <w:t>1</w:t>
      </w:r>
      <w:r w:rsidR="0077619C" w:rsidRPr="00CE7DE4">
        <w:rPr>
          <w:rFonts w:eastAsia="Calibri" w:cs="Arial"/>
          <w:sz w:val="22"/>
          <w:szCs w:val="22"/>
          <w:lang w:val="sl-SI"/>
        </w:rPr>
        <w:t>5</w:t>
      </w:r>
      <w:r w:rsidRPr="00CE7DE4">
        <w:rPr>
          <w:rFonts w:eastAsia="Calibri" w:cs="Arial"/>
          <w:sz w:val="22"/>
          <w:szCs w:val="22"/>
          <w:lang w:val="sl-SI"/>
        </w:rPr>
        <w:t xml:space="preserve"> Vzgoja, izobraževanje in usposabljanje za varstvo okolja in ozaveščanje o njem</w:t>
      </w:r>
      <w:r w:rsidRPr="00CE7DE4">
        <w:rPr>
          <w:rFonts w:eastAsia="Calibri" w:cs="Arial"/>
          <w:sz w:val="22"/>
          <w:szCs w:val="22"/>
          <w:lang w:val="sl-SI"/>
        </w:rPr>
        <w:tab/>
        <w:t xml:space="preserve">str. </w:t>
      </w:r>
      <w:r w:rsidR="002974AD">
        <w:rPr>
          <w:rFonts w:eastAsia="Calibri" w:cs="Arial"/>
          <w:sz w:val="22"/>
          <w:szCs w:val="22"/>
          <w:lang w:val="sl-SI"/>
        </w:rPr>
        <w:t>22</w:t>
      </w:r>
      <w:r w:rsidR="008C1C29">
        <w:rPr>
          <w:rFonts w:eastAsia="Calibri" w:cs="Arial"/>
          <w:sz w:val="22"/>
          <w:szCs w:val="22"/>
          <w:lang w:val="sl-SI"/>
        </w:rPr>
        <w:t>4</w:t>
      </w:r>
    </w:p>
    <w:p w:rsidR="000A095B" w:rsidRPr="00CE7DE4" w:rsidRDefault="000A095B" w:rsidP="000A095B">
      <w:pPr>
        <w:spacing w:before="120" w:after="200" w:line="276" w:lineRule="auto"/>
        <w:ind w:right="-858"/>
        <w:rPr>
          <w:rFonts w:eastAsia="Calibri" w:cs="Arial"/>
          <w:sz w:val="22"/>
          <w:szCs w:val="22"/>
          <w:lang w:val="sl-SI"/>
        </w:rPr>
      </w:pPr>
      <w:r w:rsidRPr="00CE7DE4">
        <w:rPr>
          <w:rFonts w:eastAsia="Calibri" w:cs="Arial"/>
          <w:sz w:val="22"/>
          <w:szCs w:val="22"/>
          <w:lang w:val="sl-SI"/>
        </w:rPr>
        <w:t>1</w:t>
      </w:r>
      <w:r w:rsidR="0077619C" w:rsidRPr="00CE7DE4">
        <w:rPr>
          <w:rFonts w:eastAsia="Calibri" w:cs="Arial"/>
          <w:sz w:val="22"/>
          <w:szCs w:val="22"/>
          <w:lang w:val="sl-SI"/>
        </w:rPr>
        <w:t>6</w:t>
      </w:r>
      <w:r w:rsidRPr="00CE7DE4">
        <w:rPr>
          <w:rFonts w:eastAsia="Calibri" w:cs="Arial"/>
          <w:sz w:val="22"/>
          <w:szCs w:val="22"/>
          <w:lang w:val="sl-SI"/>
        </w:rPr>
        <w:t xml:space="preserve"> Okolje v Sloveniji in vplivi na zdravje </w:t>
      </w:r>
      <w:r w:rsidRPr="00CE7DE4">
        <w:rPr>
          <w:rFonts w:eastAsia="Calibri" w:cs="Arial"/>
          <w:sz w:val="22"/>
          <w:szCs w:val="22"/>
          <w:lang w:val="sl-SI"/>
        </w:rPr>
        <w:tab/>
      </w:r>
      <w:r w:rsidRPr="00CE7DE4">
        <w:rPr>
          <w:rFonts w:eastAsia="Calibri" w:cs="Arial"/>
          <w:sz w:val="22"/>
          <w:szCs w:val="22"/>
          <w:lang w:val="sl-SI"/>
        </w:rPr>
        <w:tab/>
      </w:r>
      <w:r w:rsidRPr="00CE7DE4">
        <w:rPr>
          <w:rFonts w:eastAsia="Calibri" w:cs="Arial"/>
          <w:sz w:val="22"/>
          <w:szCs w:val="22"/>
          <w:lang w:val="sl-SI"/>
        </w:rPr>
        <w:tab/>
      </w:r>
      <w:r w:rsidRPr="00CE7DE4">
        <w:rPr>
          <w:rFonts w:eastAsia="Calibri" w:cs="Arial"/>
          <w:sz w:val="22"/>
          <w:szCs w:val="22"/>
          <w:lang w:val="sl-SI"/>
        </w:rPr>
        <w:tab/>
      </w:r>
      <w:r w:rsidRPr="00CE7DE4">
        <w:rPr>
          <w:rFonts w:eastAsia="Calibri" w:cs="Arial"/>
          <w:sz w:val="22"/>
          <w:szCs w:val="22"/>
          <w:lang w:val="sl-SI"/>
        </w:rPr>
        <w:tab/>
      </w:r>
      <w:r w:rsidRPr="00CE7DE4">
        <w:rPr>
          <w:rFonts w:eastAsia="Calibri" w:cs="Arial"/>
          <w:sz w:val="22"/>
          <w:szCs w:val="22"/>
          <w:lang w:val="sl-SI"/>
        </w:rPr>
        <w:tab/>
      </w:r>
      <w:r w:rsidRPr="00CE7DE4">
        <w:rPr>
          <w:rFonts w:eastAsia="Calibri" w:cs="Arial"/>
          <w:sz w:val="22"/>
          <w:szCs w:val="22"/>
          <w:lang w:val="sl-SI"/>
        </w:rPr>
        <w:tab/>
        <w:t xml:space="preserve">str. </w:t>
      </w:r>
      <w:r w:rsidR="002974AD">
        <w:rPr>
          <w:rFonts w:eastAsia="Calibri" w:cs="Arial"/>
          <w:sz w:val="22"/>
          <w:szCs w:val="22"/>
          <w:lang w:val="sl-SI"/>
        </w:rPr>
        <w:t>23</w:t>
      </w:r>
      <w:r w:rsidR="008C1C29">
        <w:rPr>
          <w:rFonts w:eastAsia="Calibri" w:cs="Arial"/>
          <w:sz w:val="22"/>
          <w:szCs w:val="22"/>
          <w:lang w:val="sl-SI"/>
        </w:rPr>
        <w:t>7</w:t>
      </w:r>
    </w:p>
    <w:p w:rsidR="000A095B" w:rsidRPr="000A095B" w:rsidRDefault="000A095B" w:rsidP="000A095B">
      <w:pPr>
        <w:spacing w:before="120" w:after="200" w:line="276" w:lineRule="auto"/>
        <w:ind w:right="-858"/>
        <w:rPr>
          <w:rFonts w:eastAsia="Calibri" w:cs="Arial"/>
          <w:sz w:val="22"/>
          <w:szCs w:val="22"/>
          <w:lang w:val="sl-SI"/>
        </w:rPr>
      </w:pPr>
      <w:r w:rsidRPr="00CE7DE4">
        <w:rPr>
          <w:rFonts w:eastAsia="Calibri" w:cs="Arial"/>
          <w:sz w:val="22"/>
          <w:szCs w:val="22"/>
          <w:lang w:val="sl-SI"/>
        </w:rPr>
        <w:t>1</w:t>
      </w:r>
      <w:r w:rsidR="0077619C" w:rsidRPr="00CE7DE4">
        <w:rPr>
          <w:rFonts w:eastAsia="Calibri" w:cs="Arial"/>
          <w:sz w:val="22"/>
          <w:szCs w:val="22"/>
          <w:lang w:val="sl-SI"/>
        </w:rPr>
        <w:t>7</w:t>
      </w:r>
      <w:r w:rsidRPr="00CE7DE4">
        <w:rPr>
          <w:rFonts w:eastAsia="Calibri" w:cs="Arial"/>
          <w:sz w:val="22"/>
          <w:szCs w:val="22"/>
          <w:lang w:val="sl-SI"/>
        </w:rPr>
        <w:t xml:space="preserve"> Trajnostna raba prostora </w:t>
      </w:r>
      <w:r w:rsidRPr="00CE7DE4">
        <w:rPr>
          <w:rFonts w:eastAsia="Calibri" w:cs="Arial"/>
          <w:sz w:val="22"/>
          <w:szCs w:val="22"/>
          <w:lang w:val="sl-SI"/>
        </w:rPr>
        <w:tab/>
      </w:r>
      <w:r w:rsidRPr="00CE7DE4">
        <w:rPr>
          <w:rFonts w:eastAsia="Calibri" w:cs="Arial"/>
          <w:sz w:val="22"/>
          <w:szCs w:val="22"/>
          <w:lang w:val="sl-SI"/>
        </w:rPr>
        <w:tab/>
      </w:r>
      <w:r w:rsidRPr="00CE7DE4">
        <w:rPr>
          <w:rFonts w:eastAsia="Calibri" w:cs="Arial"/>
          <w:sz w:val="22"/>
          <w:szCs w:val="22"/>
          <w:lang w:val="sl-SI"/>
        </w:rPr>
        <w:tab/>
      </w:r>
      <w:r w:rsidRPr="00CE7DE4">
        <w:rPr>
          <w:rFonts w:eastAsia="Calibri" w:cs="Arial"/>
          <w:sz w:val="22"/>
          <w:szCs w:val="22"/>
          <w:lang w:val="sl-SI"/>
        </w:rPr>
        <w:tab/>
      </w:r>
      <w:r w:rsidRPr="00CE7DE4">
        <w:rPr>
          <w:rFonts w:eastAsia="Calibri" w:cs="Arial"/>
          <w:sz w:val="22"/>
          <w:szCs w:val="22"/>
          <w:lang w:val="sl-SI"/>
        </w:rPr>
        <w:tab/>
      </w:r>
      <w:r w:rsidRPr="00CE7DE4">
        <w:rPr>
          <w:rFonts w:eastAsia="Calibri" w:cs="Arial"/>
          <w:sz w:val="22"/>
          <w:szCs w:val="22"/>
          <w:lang w:val="sl-SI"/>
        </w:rPr>
        <w:tab/>
      </w:r>
      <w:r w:rsidRPr="00CE7DE4">
        <w:rPr>
          <w:rFonts w:eastAsia="Calibri" w:cs="Arial"/>
          <w:sz w:val="22"/>
          <w:szCs w:val="22"/>
          <w:lang w:val="sl-SI"/>
        </w:rPr>
        <w:tab/>
      </w:r>
      <w:r w:rsidRPr="00CE7DE4">
        <w:rPr>
          <w:rFonts w:eastAsia="Calibri" w:cs="Arial"/>
          <w:sz w:val="22"/>
          <w:szCs w:val="22"/>
          <w:lang w:val="sl-SI"/>
        </w:rPr>
        <w:tab/>
      </w:r>
      <w:r w:rsidRPr="00CE7DE4">
        <w:rPr>
          <w:rFonts w:eastAsia="Calibri" w:cs="Arial"/>
          <w:sz w:val="22"/>
          <w:szCs w:val="22"/>
          <w:lang w:val="sl-SI"/>
        </w:rPr>
        <w:tab/>
        <w:t xml:space="preserve">str. </w:t>
      </w:r>
      <w:r w:rsidR="002974AD">
        <w:rPr>
          <w:rFonts w:eastAsia="Calibri" w:cs="Arial"/>
          <w:sz w:val="22"/>
          <w:szCs w:val="22"/>
          <w:lang w:val="sl-SI"/>
        </w:rPr>
        <w:t>25</w:t>
      </w:r>
      <w:r w:rsidR="008C1C29">
        <w:rPr>
          <w:rFonts w:eastAsia="Calibri" w:cs="Arial"/>
          <w:sz w:val="22"/>
          <w:szCs w:val="22"/>
          <w:lang w:val="sl-SI"/>
        </w:rPr>
        <w:t>4</w:t>
      </w:r>
    </w:p>
    <w:p w:rsidR="00993FB7" w:rsidRPr="00993FB7" w:rsidRDefault="00993FB7" w:rsidP="00993FB7">
      <w:pPr>
        <w:spacing w:before="120" w:after="200" w:line="276" w:lineRule="auto"/>
        <w:rPr>
          <w:rFonts w:eastAsia="Calibri" w:cs="Arial"/>
          <w:b/>
          <w:szCs w:val="20"/>
          <w:lang w:val="sl-SI"/>
        </w:rPr>
      </w:pPr>
    </w:p>
    <w:p w:rsidR="00993FB7" w:rsidRPr="00993FB7" w:rsidRDefault="00993FB7" w:rsidP="00993FB7">
      <w:pPr>
        <w:spacing w:before="120" w:after="200" w:line="276" w:lineRule="auto"/>
        <w:rPr>
          <w:rFonts w:eastAsia="Calibri" w:cs="Arial"/>
          <w:b/>
          <w:szCs w:val="20"/>
          <w:lang w:val="sl-SI"/>
        </w:rPr>
      </w:pPr>
    </w:p>
    <w:p w:rsidR="00993FB7" w:rsidRPr="00993FB7" w:rsidRDefault="00993FB7" w:rsidP="00993FB7">
      <w:pPr>
        <w:spacing w:before="120" w:after="200" w:line="276" w:lineRule="auto"/>
        <w:rPr>
          <w:rFonts w:eastAsia="Calibri" w:cs="Arial"/>
          <w:b/>
          <w:szCs w:val="20"/>
          <w:lang w:val="sl-SI"/>
        </w:rPr>
      </w:pPr>
    </w:p>
    <w:p w:rsidR="00993FB7" w:rsidRPr="00993FB7" w:rsidRDefault="00993FB7" w:rsidP="00993FB7">
      <w:pPr>
        <w:spacing w:after="200" w:line="276" w:lineRule="auto"/>
        <w:jc w:val="center"/>
        <w:rPr>
          <w:rFonts w:eastAsia="Calibri" w:cs="Arial"/>
          <w:szCs w:val="20"/>
          <w:lang w:val="sl-SI"/>
        </w:rPr>
      </w:pPr>
    </w:p>
    <w:p w:rsidR="00993FB7" w:rsidRPr="00993FB7" w:rsidRDefault="00993FB7" w:rsidP="00993FB7">
      <w:pPr>
        <w:spacing w:after="200" w:line="276" w:lineRule="auto"/>
        <w:rPr>
          <w:rFonts w:eastAsia="Calibri" w:cs="Arial"/>
          <w:szCs w:val="20"/>
          <w:lang w:val="sl-SI"/>
        </w:rPr>
      </w:pPr>
    </w:p>
    <w:p w:rsidR="00993FB7" w:rsidRPr="00993FB7" w:rsidRDefault="00993FB7" w:rsidP="00993FB7">
      <w:pPr>
        <w:spacing w:after="200" w:line="276" w:lineRule="auto"/>
        <w:rPr>
          <w:rFonts w:eastAsia="Calibri" w:cs="Arial"/>
          <w:szCs w:val="20"/>
          <w:lang w:val="sl-SI"/>
        </w:rPr>
      </w:pPr>
    </w:p>
    <w:p w:rsidR="00993FB7" w:rsidRPr="00993FB7" w:rsidRDefault="00993FB7" w:rsidP="00993FB7">
      <w:pPr>
        <w:spacing w:after="200" w:line="276" w:lineRule="auto"/>
        <w:rPr>
          <w:rFonts w:eastAsia="Calibri" w:cs="Arial"/>
          <w:szCs w:val="20"/>
          <w:lang w:val="sl-SI"/>
        </w:rPr>
      </w:pPr>
    </w:p>
    <w:p w:rsidR="00993FB7" w:rsidRPr="00993FB7" w:rsidRDefault="00993FB7" w:rsidP="00993FB7">
      <w:pPr>
        <w:spacing w:after="200" w:line="276" w:lineRule="auto"/>
        <w:rPr>
          <w:rFonts w:eastAsia="Calibri" w:cs="Arial"/>
          <w:szCs w:val="20"/>
          <w:lang w:val="sl-SI"/>
        </w:rPr>
      </w:pPr>
    </w:p>
    <w:p w:rsidR="009E56E1" w:rsidRPr="005771BD" w:rsidRDefault="00993FB7" w:rsidP="009E56E1">
      <w:pPr>
        <w:spacing w:after="200" w:line="276" w:lineRule="auto"/>
        <w:rPr>
          <w:rFonts w:eastAsia="Calibri" w:cs="Arial"/>
          <w:b/>
          <w:sz w:val="22"/>
          <w:szCs w:val="22"/>
          <w:lang w:val="sl-SI"/>
        </w:rPr>
      </w:pPr>
      <w:r w:rsidRPr="00993FB7">
        <w:rPr>
          <w:rFonts w:eastAsia="Calibri" w:cs="Arial"/>
          <w:szCs w:val="20"/>
          <w:lang w:val="sl-SI"/>
        </w:rPr>
        <w:br w:type="column"/>
      </w:r>
      <w:r w:rsidRPr="00993FB7">
        <w:rPr>
          <w:rFonts w:eastAsia="Calibri" w:cs="Arial"/>
          <w:szCs w:val="20"/>
          <w:lang w:val="sl-SI"/>
        </w:rPr>
        <w:br w:type="column"/>
      </w:r>
      <w:r w:rsidR="009E56E1" w:rsidRPr="005771BD">
        <w:rPr>
          <w:rFonts w:eastAsia="Calibri" w:cs="Arial"/>
          <w:b/>
          <w:sz w:val="22"/>
          <w:szCs w:val="22"/>
          <w:lang w:val="sl-SI"/>
        </w:rPr>
        <w:t xml:space="preserve">1 UVOD </w:t>
      </w:r>
    </w:p>
    <w:p w:rsidR="009E56E1" w:rsidRPr="005771BD" w:rsidRDefault="009E56E1" w:rsidP="009E56E1">
      <w:pPr>
        <w:spacing w:after="200" w:line="276" w:lineRule="auto"/>
        <w:jc w:val="both"/>
        <w:rPr>
          <w:rFonts w:eastAsia="Calibri" w:cs="Arial"/>
          <w:szCs w:val="20"/>
          <w:lang w:val="sl-SI"/>
        </w:rPr>
      </w:pPr>
    </w:p>
    <w:p w:rsidR="009E56E1" w:rsidRPr="005771BD" w:rsidRDefault="009E56E1" w:rsidP="009E56E1">
      <w:pPr>
        <w:spacing w:after="200" w:line="276" w:lineRule="auto"/>
        <w:jc w:val="both"/>
        <w:rPr>
          <w:rFonts w:eastAsia="Calibri" w:cs="Arial"/>
          <w:szCs w:val="20"/>
          <w:lang w:val="sl-SI"/>
        </w:rPr>
      </w:pPr>
      <w:r w:rsidRPr="009E56E1">
        <w:rPr>
          <w:rFonts w:eastAsia="Calibri" w:cs="Arial"/>
          <w:szCs w:val="20"/>
          <w:lang w:val="sl-SI"/>
        </w:rPr>
        <w:t xml:space="preserve">Izdelano je Poročilo o okolju </w:t>
      </w:r>
      <w:r w:rsidR="00D14E2D">
        <w:rPr>
          <w:rFonts w:eastAsia="Calibri" w:cs="Arial"/>
          <w:szCs w:val="20"/>
          <w:lang w:val="sl-SI"/>
        </w:rPr>
        <w:t xml:space="preserve">v Republik Sloveniji </w:t>
      </w:r>
      <w:r w:rsidRPr="009E56E1">
        <w:rPr>
          <w:rFonts w:eastAsia="Calibri" w:cs="Arial"/>
          <w:szCs w:val="20"/>
          <w:lang w:val="sl-SI"/>
        </w:rPr>
        <w:t xml:space="preserve">2017, </w:t>
      </w:r>
      <w:r>
        <w:rPr>
          <w:rFonts w:eastAsia="Calibri" w:cs="Arial"/>
          <w:szCs w:val="20"/>
          <w:lang w:val="sl-SI"/>
        </w:rPr>
        <w:t xml:space="preserve">ki prikazuje </w:t>
      </w:r>
      <w:r w:rsidRPr="009E56E1">
        <w:rPr>
          <w:rFonts w:eastAsia="Calibri" w:cs="Arial"/>
          <w:szCs w:val="20"/>
          <w:lang w:val="sl-SI"/>
        </w:rPr>
        <w:t xml:space="preserve">stanje okolja in njegovo povezanost z dogajanji v družbi za obdobje 2009 </w:t>
      </w:r>
      <w:r>
        <w:rPr>
          <w:rFonts w:eastAsia="Calibri" w:cs="Arial"/>
          <w:szCs w:val="20"/>
          <w:lang w:val="sl-SI"/>
        </w:rPr>
        <w:t xml:space="preserve"> - </w:t>
      </w:r>
      <w:r w:rsidRPr="009E56E1">
        <w:rPr>
          <w:rFonts w:eastAsia="Calibri" w:cs="Arial"/>
          <w:szCs w:val="20"/>
          <w:lang w:val="sl-SI"/>
        </w:rPr>
        <w:t>2015.</w:t>
      </w:r>
      <w:r w:rsidRPr="005771BD">
        <w:rPr>
          <w:rFonts w:eastAsia="Calibri" w:cs="Arial"/>
          <w:szCs w:val="20"/>
          <w:lang w:val="sl-SI"/>
        </w:rPr>
        <w:t xml:space="preserve">  </w:t>
      </w:r>
    </w:p>
    <w:p w:rsidR="009E56E1" w:rsidRPr="005771BD" w:rsidRDefault="009E56E1" w:rsidP="009E56E1">
      <w:pPr>
        <w:spacing w:after="200" w:line="276" w:lineRule="auto"/>
        <w:jc w:val="both"/>
        <w:rPr>
          <w:rFonts w:eastAsia="Calibri" w:cs="Arial"/>
          <w:szCs w:val="20"/>
          <w:lang w:val="sl-SI"/>
        </w:rPr>
      </w:pPr>
      <w:r w:rsidRPr="005771BD">
        <w:rPr>
          <w:rFonts w:eastAsia="Calibri" w:cs="Arial"/>
          <w:szCs w:val="20"/>
          <w:lang w:val="sl-SI"/>
        </w:rPr>
        <w:t xml:space="preserve">Poročilo je izdelano v skladu z zahtevami za poročanje o stanju okolja in </w:t>
      </w:r>
      <w:r>
        <w:rPr>
          <w:rFonts w:eastAsia="Calibri" w:cs="Arial"/>
          <w:szCs w:val="20"/>
          <w:lang w:val="sl-SI"/>
        </w:rPr>
        <w:t xml:space="preserve">o </w:t>
      </w:r>
      <w:r w:rsidRPr="005771BD">
        <w:rPr>
          <w:rFonts w:eastAsia="Calibri" w:cs="Arial"/>
          <w:szCs w:val="20"/>
          <w:lang w:val="sl-SI"/>
        </w:rPr>
        <w:t>ohranjanj</w:t>
      </w:r>
      <w:r>
        <w:rPr>
          <w:rFonts w:eastAsia="Calibri" w:cs="Arial"/>
          <w:szCs w:val="20"/>
          <w:lang w:val="sl-SI"/>
        </w:rPr>
        <w:t>u</w:t>
      </w:r>
      <w:r w:rsidRPr="005771BD">
        <w:rPr>
          <w:rFonts w:eastAsia="Calibri" w:cs="Arial"/>
          <w:szCs w:val="20"/>
          <w:lang w:val="sl-SI"/>
        </w:rPr>
        <w:t xml:space="preserve"> narave iz zakona o varstvu okolja in zakona o ohranjanju narave.  </w:t>
      </w:r>
    </w:p>
    <w:p w:rsidR="009E56E1" w:rsidRPr="005771BD" w:rsidRDefault="009E56E1" w:rsidP="009E56E1">
      <w:pPr>
        <w:spacing w:after="200" w:line="276" w:lineRule="auto"/>
        <w:jc w:val="both"/>
        <w:rPr>
          <w:rFonts w:eastAsia="Calibri" w:cs="Arial"/>
          <w:szCs w:val="20"/>
          <w:lang w:val="sl-SI"/>
        </w:rPr>
      </w:pPr>
      <w:r w:rsidRPr="005771BD">
        <w:rPr>
          <w:rFonts w:eastAsia="Calibri" w:cs="Arial"/>
          <w:szCs w:val="20"/>
          <w:lang w:val="sl-SI"/>
        </w:rPr>
        <w:t xml:space="preserve">Stanje posameznih delov okolja </w:t>
      </w:r>
      <w:r>
        <w:rPr>
          <w:rFonts w:eastAsia="Calibri" w:cs="Arial"/>
          <w:szCs w:val="20"/>
          <w:lang w:val="sl-SI"/>
        </w:rPr>
        <w:t xml:space="preserve">je prikazano </w:t>
      </w:r>
      <w:r w:rsidRPr="005771BD">
        <w:rPr>
          <w:rFonts w:eastAsia="Calibri" w:cs="Arial"/>
          <w:szCs w:val="20"/>
          <w:lang w:val="sl-SI"/>
        </w:rPr>
        <w:t>na podlagi kazalcev okolja, rezultatov obratovalnih in drugih monitoringov ter ustreznih strokovnih podlag. Prikaz</w:t>
      </w:r>
      <w:r>
        <w:rPr>
          <w:rFonts w:eastAsia="Calibri" w:cs="Arial"/>
          <w:szCs w:val="20"/>
          <w:lang w:val="sl-SI"/>
        </w:rPr>
        <w:t>ane so tudi obremenitve</w:t>
      </w:r>
      <w:r w:rsidRPr="005771BD">
        <w:rPr>
          <w:rFonts w:eastAsia="Calibri" w:cs="Arial"/>
          <w:szCs w:val="20"/>
          <w:lang w:val="sl-SI"/>
        </w:rPr>
        <w:t xml:space="preserve"> in </w:t>
      </w:r>
      <w:r>
        <w:rPr>
          <w:rFonts w:eastAsia="Calibri" w:cs="Arial"/>
          <w:szCs w:val="20"/>
          <w:lang w:val="sl-SI"/>
        </w:rPr>
        <w:t xml:space="preserve">pritiski, </w:t>
      </w:r>
      <w:r w:rsidRPr="005771BD">
        <w:rPr>
          <w:rFonts w:eastAsia="Calibri" w:cs="Arial"/>
          <w:szCs w:val="20"/>
          <w:lang w:val="sl-SI"/>
        </w:rPr>
        <w:t>ki vplivajo na stanje okolja, ter mehanizm</w:t>
      </w:r>
      <w:r>
        <w:rPr>
          <w:rFonts w:eastAsia="Calibri" w:cs="Arial"/>
          <w:szCs w:val="20"/>
          <w:lang w:val="sl-SI"/>
        </w:rPr>
        <w:t>i</w:t>
      </w:r>
      <w:r w:rsidRPr="005771BD">
        <w:rPr>
          <w:rFonts w:eastAsia="Calibri" w:cs="Arial"/>
          <w:szCs w:val="20"/>
          <w:lang w:val="sl-SI"/>
        </w:rPr>
        <w:t xml:space="preserve"> za obvladovanje </w:t>
      </w:r>
      <w:r>
        <w:rPr>
          <w:rFonts w:eastAsia="Calibri" w:cs="Arial"/>
          <w:szCs w:val="20"/>
          <w:lang w:val="sl-SI"/>
        </w:rPr>
        <w:t>obremenitev</w:t>
      </w:r>
      <w:r w:rsidRPr="005771BD">
        <w:rPr>
          <w:rFonts w:eastAsia="Calibri" w:cs="Arial"/>
          <w:szCs w:val="20"/>
          <w:lang w:val="sl-SI"/>
        </w:rPr>
        <w:t xml:space="preserve"> in ohranjanje stanja okolja ali njegovo izboljševanje.  </w:t>
      </w:r>
    </w:p>
    <w:p w:rsidR="009E56E1" w:rsidRPr="005771BD" w:rsidRDefault="009E56E1" w:rsidP="009E56E1">
      <w:pPr>
        <w:spacing w:after="200" w:line="276" w:lineRule="auto"/>
        <w:jc w:val="both"/>
        <w:rPr>
          <w:rFonts w:eastAsia="Calibri" w:cs="Arial"/>
          <w:szCs w:val="20"/>
          <w:lang w:val="sl-SI"/>
        </w:rPr>
      </w:pPr>
      <w:r>
        <w:rPr>
          <w:rFonts w:eastAsia="Calibri" w:cs="Arial"/>
          <w:szCs w:val="20"/>
          <w:lang w:val="sl-SI"/>
        </w:rPr>
        <w:t xml:space="preserve">Stanje okolja se izboljšuje, kar je </w:t>
      </w:r>
      <w:r w:rsidRPr="005771BD">
        <w:rPr>
          <w:rFonts w:eastAsia="Calibri" w:cs="Arial"/>
          <w:szCs w:val="20"/>
          <w:lang w:val="sl-SI"/>
        </w:rPr>
        <w:t>posledica načrtne okoljske politike in celovite okoljske zakonodaje, sprejete v zadnjih desetletjih. Zmanjšali so se izpusti nekaterih onesnaževal v zrak in vodo, boljše ravnamo z odpadki, okrepljena so prizadevanja za ohranjanje biotske raznovrstnosti</w:t>
      </w:r>
      <w:r>
        <w:rPr>
          <w:rFonts w:eastAsia="Calibri" w:cs="Arial"/>
          <w:szCs w:val="20"/>
          <w:lang w:val="sl-SI"/>
        </w:rPr>
        <w:t>,</w:t>
      </w:r>
      <w:r w:rsidRPr="005771BD">
        <w:rPr>
          <w:rFonts w:eastAsia="Calibri" w:cs="Arial"/>
          <w:szCs w:val="20"/>
          <w:lang w:val="sl-SI"/>
        </w:rPr>
        <w:t xml:space="preserve"> bolje razumemo povzročitelje okoljskih izzivov. Zaskrbljujoče pa je stanje okolja na posameznih omejenih lokacijah, predvsem glede kakovosti zraka in onesnaženosti tal, boljši napredek je nujen tudi pri trajnostni rabi prostora.  </w:t>
      </w:r>
    </w:p>
    <w:p w:rsidR="009E56E1" w:rsidRPr="005771BD" w:rsidRDefault="009E56E1" w:rsidP="009E56E1">
      <w:pPr>
        <w:spacing w:after="200" w:line="276" w:lineRule="auto"/>
        <w:jc w:val="both"/>
        <w:rPr>
          <w:rFonts w:eastAsia="Calibri" w:cs="Arial"/>
          <w:szCs w:val="20"/>
          <w:lang w:val="sl-SI"/>
        </w:rPr>
      </w:pPr>
      <w:r w:rsidRPr="005771BD">
        <w:rPr>
          <w:rFonts w:eastAsia="Calibri" w:cs="Arial"/>
          <w:szCs w:val="20"/>
          <w:lang w:val="sl-SI"/>
        </w:rPr>
        <w:t xml:space="preserve">Vendar stanje okolja v Sloveniji že dolgo ni odvisno le od našega lokalnega ravnanja, saj nanj vplivajo tudi </w:t>
      </w:r>
      <w:r>
        <w:rPr>
          <w:rFonts w:eastAsia="Calibri" w:cs="Arial"/>
          <w:szCs w:val="20"/>
          <w:lang w:val="sl-SI"/>
        </w:rPr>
        <w:t>globalne obremenitve</w:t>
      </w:r>
      <w:r w:rsidRPr="005771BD">
        <w:rPr>
          <w:rFonts w:eastAsia="Calibri" w:cs="Arial"/>
          <w:szCs w:val="20"/>
          <w:lang w:val="sl-SI"/>
        </w:rPr>
        <w:t>, ki se povečujejo hitreje kot doslej predvsem zaradi gospodarske rasti, rasti prebiva</w:t>
      </w:r>
      <w:r>
        <w:rPr>
          <w:rFonts w:eastAsia="Calibri" w:cs="Arial"/>
          <w:szCs w:val="20"/>
          <w:lang w:val="sl-SI"/>
        </w:rPr>
        <w:t>l</w:t>
      </w:r>
      <w:r w:rsidRPr="005771BD">
        <w:rPr>
          <w:rFonts w:eastAsia="Calibri" w:cs="Arial"/>
          <w:szCs w:val="20"/>
          <w:lang w:val="sl-SI"/>
        </w:rPr>
        <w:t xml:space="preserve">stva ter spreminjajočih se vzorcev potrošnje in proizvodnje. </w:t>
      </w:r>
    </w:p>
    <w:p w:rsidR="00420279" w:rsidRDefault="009E56E1" w:rsidP="009E56E1">
      <w:pPr>
        <w:spacing w:after="200" w:line="276" w:lineRule="auto"/>
        <w:jc w:val="both"/>
        <w:rPr>
          <w:rFonts w:eastAsia="Calibri" w:cs="Arial"/>
          <w:szCs w:val="20"/>
          <w:lang w:val="sl-SI"/>
        </w:rPr>
      </w:pPr>
      <w:r w:rsidRPr="005771BD">
        <w:rPr>
          <w:rFonts w:eastAsia="Calibri" w:cs="Arial"/>
          <w:szCs w:val="20"/>
          <w:lang w:val="sl-SI"/>
        </w:rPr>
        <w:t>Okoljevarstvena prizadevanja se premikajo v smer nizkoogljične družbe, krožnega gospodarstva, odpornih ekosistemov, makroekonomskih trajnostnih modelov razvoja. To so temelji blaginje državljanov, ki s</w:t>
      </w:r>
      <w:r w:rsidR="0077619C">
        <w:rPr>
          <w:rFonts w:eastAsia="Calibri" w:cs="Arial"/>
          <w:szCs w:val="20"/>
          <w:lang w:val="sl-SI"/>
        </w:rPr>
        <w:t xml:space="preserve">o </w:t>
      </w:r>
      <w:r w:rsidRPr="005771BD">
        <w:rPr>
          <w:rFonts w:eastAsia="Calibri" w:cs="Arial"/>
          <w:szCs w:val="20"/>
          <w:lang w:val="sl-SI"/>
        </w:rPr>
        <w:t>prepozna</w:t>
      </w:r>
      <w:r w:rsidR="0077619C">
        <w:rPr>
          <w:rFonts w:eastAsia="Calibri" w:cs="Arial"/>
          <w:szCs w:val="20"/>
          <w:lang w:val="sl-SI"/>
        </w:rPr>
        <w:t xml:space="preserve">ne </w:t>
      </w:r>
      <w:r w:rsidRPr="005771BD">
        <w:rPr>
          <w:rFonts w:eastAsia="Calibri" w:cs="Arial"/>
          <w:szCs w:val="20"/>
          <w:lang w:val="sl-SI"/>
        </w:rPr>
        <w:t xml:space="preserve">tudi v </w:t>
      </w:r>
      <w:r w:rsidR="00420279">
        <w:rPr>
          <w:rFonts w:eastAsia="Calibri" w:cs="Arial"/>
          <w:szCs w:val="20"/>
          <w:lang w:val="sl-SI"/>
        </w:rPr>
        <w:t>o</w:t>
      </w:r>
      <w:r w:rsidRPr="005771BD">
        <w:rPr>
          <w:rFonts w:eastAsia="Calibri" w:cs="Arial"/>
          <w:szCs w:val="20"/>
          <w:lang w:val="sl-SI"/>
        </w:rPr>
        <w:t>koljskem programu EU s sporočilnim naslovom ‘Dobro živeti ob upoštevanju omejitev našega planeta’. Sliši se lepo, a ta »vizija ni več okoljska, če je sploh kdaj bila«. Za njeno uresničitev politike varstva okolja ne moremo izvajati ločeno od politik drugih sektorjev, kot so kmetijstvo, promet, energetika, turizem</w:t>
      </w:r>
      <w:r w:rsidR="00420279">
        <w:rPr>
          <w:rFonts w:eastAsia="Calibri" w:cs="Arial"/>
          <w:szCs w:val="20"/>
          <w:lang w:val="sl-SI"/>
        </w:rPr>
        <w:t>, saj je n</w:t>
      </w:r>
      <w:r w:rsidRPr="005771BD">
        <w:rPr>
          <w:rFonts w:eastAsia="Calibri" w:cs="Arial"/>
          <w:szCs w:val="20"/>
          <w:lang w:val="sl-SI"/>
        </w:rPr>
        <w:t xml:space="preserve">eločljivo povezana s širšim gospodarskim in družbenim razvojem. Ob vse boljšem razumevanju značilnosti okoljskih izzivov v Evropi in njihovi soodvisnosti z gospodarskimi in družbenimi sistemi v globaliziranem svetu se krepi spoznanje, da z obstoječim znanjem in uveljavljenimi načini upravljanja temu ne bomo kos. </w:t>
      </w:r>
    </w:p>
    <w:p w:rsidR="00420279" w:rsidRPr="005771BD" w:rsidRDefault="00420279" w:rsidP="00420279">
      <w:pPr>
        <w:spacing w:after="200" w:line="276" w:lineRule="auto"/>
        <w:jc w:val="both"/>
        <w:rPr>
          <w:rFonts w:eastAsia="Calibri" w:cs="Arial"/>
          <w:szCs w:val="20"/>
          <w:lang w:val="sl-SI"/>
        </w:rPr>
      </w:pPr>
      <w:r w:rsidRPr="005771BD">
        <w:rPr>
          <w:rFonts w:eastAsia="Calibri" w:cs="Arial"/>
          <w:szCs w:val="20"/>
          <w:lang w:val="sl-SI"/>
        </w:rPr>
        <w:t>To je po poročilih o okolju iz let 1996, 2003 in 2009 četrto poročilo o stanju okolja v Sloveniji. Kako se je spremenil »jezik okolja« in kako so se spremenila področja »okoljskih izzivov«! Tradicionalni »nadzor nad emisijami« je zamenjalo zavedanje o omejenem prostoru in naravnih virih, o pomenu ekosistemskih storitev za ohranjanje blaginje in o tem, da negativnih učinkov naših vz</w:t>
      </w:r>
      <w:r>
        <w:rPr>
          <w:rFonts w:eastAsia="Calibri" w:cs="Arial"/>
          <w:szCs w:val="20"/>
          <w:lang w:val="sl-SI"/>
        </w:rPr>
        <w:t>or</w:t>
      </w:r>
      <w:r w:rsidRPr="005771BD">
        <w:rPr>
          <w:rFonts w:eastAsia="Calibri" w:cs="Arial"/>
          <w:szCs w:val="20"/>
          <w:lang w:val="sl-SI"/>
        </w:rPr>
        <w:t xml:space="preserve">cev potrošnje in proizvodnje ne moremo prelagati na druge regije.  </w:t>
      </w:r>
    </w:p>
    <w:p w:rsidR="009E56E1" w:rsidRPr="005771BD" w:rsidRDefault="00420279" w:rsidP="009E56E1">
      <w:pPr>
        <w:spacing w:after="200" w:line="276" w:lineRule="auto"/>
        <w:jc w:val="both"/>
        <w:rPr>
          <w:rFonts w:eastAsia="Calibri" w:cs="Arial"/>
          <w:szCs w:val="20"/>
          <w:lang w:val="sl-SI"/>
        </w:rPr>
      </w:pPr>
      <w:r>
        <w:rPr>
          <w:rFonts w:eastAsia="Calibri" w:cs="Arial"/>
          <w:szCs w:val="20"/>
          <w:lang w:val="sl-SI"/>
        </w:rPr>
        <w:t xml:space="preserve">Ključno </w:t>
      </w:r>
      <w:r w:rsidR="009E56E1" w:rsidRPr="005771BD">
        <w:rPr>
          <w:rFonts w:eastAsia="Calibri" w:cs="Arial"/>
          <w:szCs w:val="20"/>
          <w:lang w:val="sl-SI"/>
        </w:rPr>
        <w:t xml:space="preserve">sporočilo tega poročila o okolju  - podobno kot prejšnjih poročil </w:t>
      </w:r>
      <w:r>
        <w:rPr>
          <w:rFonts w:eastAsia="Calibri" w:cs="Arial"/>
          <w:szCs w:val="20"/>
          <w:lang w:val="sl-SI"/>
        </w:rPr>
        <w:t>– je,</w:t>
      </w:r>
      <w:r w:rsidR="009E56E1" w:rsidRPr="005771BD">
        <w:rPr>
          <w:rFonts w:eastAsia="Calibri" w:cs="Arial"/>
          <w:szCs w:val="20"/>
          <w:lang w:val="sl-SI"/>
        </w:rPr>
        <w:t xml:space="preserve"> da je okoljska politika privedla do občutnega izboljšanja stanja okolja, vendar pomembni okoljski izzivi ostajajo. Še več – nastajajo novi.  </w:t>
      </w:r>
    </w:p>
    <w:p w:rsidR="00420279" w:rsidRPr="005771BD" w:rsidRDefault="00420279" w:rsidP="00420279">
      <w:pPr>
        <w:spacing w:after="200" w:line="276" w:lineRule="auto"/>
        <w:jc w:val="both"/>
        <w:rPr>
          <w:rFonts w:eastAsia="Calibri" w:cs="Arial"/>
          <w:szCs w:val="20"/>
          <w:lang w:val="sl-SI"/>
        </w:rPr>
      </w:pPr>
      <w:r w:rsidRPr="005771BD">
        <w:rPr>
          <w:rFonts w:eastAsia="Calibri" w:cs="Arial"/>
          <w:szCs w:val="20"/>
          <w:lang w:val="sl-SI"/>
        </w:rPr>
        <w:t xml:space="preserve">Zato bo to poročilo podlaga za načrtovanje </w:t>
      </w:r>
      <w:r w:rsidR="0077619C">
        <w:rPr>
          <w:rFonts w:eastAsia="Calibri" w:cs="Arial"/>
          <w:szCs w:val="20"/>
          <w:lang w:val="sl-SI"/>
        </w:rPr>
        <w:t>prihodnje okoljske politike in aktivnosti.</w:t>
      </w:r>
      <w:r w:rsidRPr="005771BD">
        <w:rPr>
          <w:rFonts w:eastAsia="Calibri" w:cs="Arial"/>
          <w:szCs w:val="20"/>
          <w:lang w:val="sl-SI"/>
        </w:rPr>
        <w:t xml:space="preserve"> </w:t>
      </w:r>
    </w:p>
    <w:p w:rsidR="0077619C" w:rsidRPr="005771BD" w:rsidRDefault="0077619C" w:rsidP="0077619C">
      <w:pPr>
        <w:spacing w:after="200" w:line="276" w:lineRule="auto"/>
        <w:rPr>
          <w:rFonts w:eastAsia="Calibri" w:cs="Arial"/>
          <w:b/>
          <w:sz w:val="22"/>
          <w:szCs w:val="22"/>
          <w:lang w:val="sl-SI"/>
        </w:rPr>
      </w:pPr>
      <w:r>
        <w:rPr>
          <w:rFonts w:eastAsia="Calibri" w:cs="Arial"/>
          <w:b/>
          <w:sz w:val="22"/>
          <w:szCs w:val="22"/>
          <w:lang w:val="sl-SI"/>
        </w:rPr>
        <w:br w:type="column"/>
        <w:t>2</w:t>
      </w:r>
      <w:r w:rsidRPr="005771BD">
        <w:rPr>
          <w:rFonts w:eastAsia="Calibri" w:cs="Arial"/>
          <w:b/>
          <w:sz w:val="22"/>
          <w:szCs w:val="22"/>
          <w:lang w:val="sl-SI"/>
        </w:rPr>
        <w:t xml:space="preserve"> </w:t>
      </w:r>
      <w:r>
        <w:rPr>
          <w:rFonts w:eastAsia="Calibri" w:cs="Arial"/>
          <w:b/>
          <w:sz w:val="22"/>
          <w:szCs w:val="22"/>
          <w:lang w:val="sl-SI"/>
        </w:rPr>
        <w:t>OKVIRNI PREGLED OKOLJSKIH TRENDOV</w:t>
      </w:r>
      <w:r w:rsidRPr="005771BD">
        <w:rPr>
          <w:rFonts w:eastAsia="Calibri" w:cs="Arial"/>
          <w:b/>
          <w:sz w:val="22"/>
          <w:szCs w:val="22"/>
          <w:lang w:val="sl-SI"/>
        </w:rPr>
        <w:t xml:space="preserve"> </w:t>
      </w:r>
    </w:p>
    <w:tbl>
      <w:tblPr>
        <w:tblStyle w:val="Tabelamrea13"/>
        <w:tblW w:w="9215" w:type="dxa"/>
        <w:tblInd w:w="-459" w:type="dxa"/>
        <w:tblLayout w:type="fixed"/>
        <w:tblLook w:val="04A0" w:firstRow="1" w:lastRow="0" w:firstColumn="1" w:lastColumn="0" w:noHBand="0" w:noVBand="1"/>
      </w:tblPr>
      <w:tblGrid>
        <w:gridCol w:w="3686"/>
        <w:gridCol w:w="2552"/>
        <w:gridCol w:w="2977"/>
      </w:tblGrid>
      <w:tr w:rsidR="009E56E1" w:rsidRPr="005771BD" w:rsidTr="009E56E1">
        <w:tc>
          <w:tcPr>
            <w:tcW w:w="3686" w:type="dxa"/>
          </w:tcPr>
          <w:p w:rsidR="009E56E1" w:rsidRPr="005771BD" w:rsidRDefault="009E56E1" w:rsidP="009E56E1">
            <w:pPr>
              <w:spacing w:after="120" w:line="240" w:lineRule="auto"/>
              <w:ind w:firstLine="720"/>
              <w:rPr>
                <w:rFonts w:ascii="Calibri" w:hAnsi="Calibri"/>
                <w:szCs w:val="22"/>
                <w:lang w:val="sl-SI"/>
              </w:rPr>
            </w:pPr>
          </w:p>
          <w:p w:rsidR="009E56E1" w:rsidRPr="005771BD" w:rsidRDefault="009E56E1" w:rsidP="009E56E1">
            <w:pPr>
              <w:spacing w:after="120" w:line="240" w:lineRule="auto"/>
              <w:jc w:val="center"/>
              <w:rPr>
                <w:rFonts w:ascii="Calibri" w:hAnsi="Calibri"/>
                <w:szCs w:val="22"/>
                <w:lang w:val="sl-SI"/>
              </w:rPr>
            </w:pPr>
          </w:p>
        </w:tc>
        <w:tc>
          <w:tcPr>
            <w:tcW w:w="2552" w:type="dxa"/>
          </w:tcPr>
          <w:p w:rsidR="009E56E1" w:rsidRPr="005771BD" w:rsidRDefault="009E56E1" w:rsidP="009E56E1">
            <w:pPr>
              <w:spacing w:before="120" w:after="120" w:line="240" w:lineRule="auto"/>
              <w:jc w:val="center"/>
              <w:rPr>
                <w:rFonts w:ascii="Calibri" w:hAnsi="Calibri"/>
                <w:szCs w:val="22"/>
                <w:lang w:val="sl-SI"/>
              </w:rPr>
            </w:pPr>
            <w:r w:rsidRPr="005771BD">
              <w:rPr>
                <w:rFonts w:ascii="Calibri" w:hAnsi="Calibri"/>
                <w:szCs w:val="22"/>
                <w:lang w:val="sl-SI"/>
              </w:rPr>
              <w:t>Napredek pri doseganju ciljev politike</w:t>
            </w:r>
          </w:p>
        </w:tc>
        <w:tc>
          <w:tcPr>
            <w:tcW w:w="2977" w:type="dxa"/>
          </w:tcPr>
          <w:p w:rsidR="009E56E1" w:rsidRPr="005771BD" w:rsidRDefault="009E56E1" w:rsidP="009E56E1">
            <w:pPr>
              <w:spacing w:before="120" w:after="120" w:line="240" w:lineRule="auto"/>
              <w:jc w:val="center"/>
              <w:rPr>
                <w:rFonts w:ascii="Calibri" w:hAnsi="Calibri"/>
                <w:szCs w:val="22"/>
                <w:lang w:val="sl-SI"/>
              </w:rPr>
            </w:pPr>
            <w:r w:rsidRPr="005771BD">
              <w:rPr>
                <w:rFonts w:ascii="Calibri" w:hAnsi="Calibri"/>
                <w:szCs w:val="22"/>
                <w:lang w:val="sl-SI"/>
              </w:rPr>
              <w:t>Kratkoročni trend (5–10 let)</w:t>
            </w:r>
          </w:p>
        </w:tc>
      </w:tr>
      <w:tr w:rsidR="009E56E1" w:rsidRPr="005771BD" w:rsidTr="009E56E1">
        <w:tc>
          <w:tcPr>
            <w:tcW w:w="3686" w:type="dxa"/>
          </w:tcPr>
          <w:p w:rsidR="009E56E1" w:rsidRPr="005771BD" w:rsidRDefault="009E56E1" w:rsidP="009E56E1">
            <w:pPr>
              <w:spacing w:after="120" w:line="240" w:lineRule="auto"/>
              <w:rPr>
                <w:rFonts w:ascii="Calibri" w:hAnsi="Calibri"/>
                <w:szCs w:val="22"/>
                <w:lang w:val="sl-SI"/>
              </w:rPr>
            </w:pPr>
            <w:r w:rsidRPr="005771BD">
              <w:rPr>
                <w:rFonts w:ascii="Calibri" w:hAnsi="Calibri"/>
                <w:szCs w:val="22"/>
                <w:lang w:val="sl-SI"/>
              </w:rPr>
              <w:t>Biotska raznovrstnost kopnega in celinskih voda</w:t>
            </w:r>
          </w:p>
        </w:tc>
        <w:tc>
          <w:tcPr>
            <w:tcW w:w="2552" w:type="dxa"/>
          </w:tcPr>
          <w:p w:rsidR="009E56E1" w:rsidRPr="005771BD" w:rsidRDefault="009E56E1" w:rsidP="009E56E1">
            <w:pPr>
              <w:spacing w:after="120" w:line="240" w:lineRule="auto"/>
              <w:jc w:val="center"/>
              <w:rPr>
                <w:rFonts w:ascii="Calibri" w:hAnsi="Calibri"/>
                <w:szCs w:val="22"/>
                <w:lang w:val="sl-SI"/>
              </w:rPr>
            </w:pPr>
            <w:r w:rsidRPr="007F272F">
              <w:rPr>
                <w:rFonts w:ascii="Calibri" w:hAnsi="Calibri"/>
                <w:noProof/>
                <w:szCs w:val="22"/>
                <w:lang w:val="sl-SI" w:eastAsia="sl-SI"/>
              </w:rPr>
              <w:drawing>
                <wp:inline distT="0" distB="0" distL="0" distR="0" wp14:anchorId="676D2140" wp14:editId="60A17BA6">
                  <wp:extent cx="274320" cy="274320"/>
                  <wp:effectExtent l="0" t="0" r="0" b="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pic:spPr>
                      </pic:pic>
                    </a:graphicData>
                  </a:graphic>
                </wp:inline>
              </w:drawing>
            </w:r>
          </w:p>
        </w:tc>
        <w:tc>
          <w:tcPr>
            <w:tcW w:w="2977" w:type="dxa"/>
            <w:shd w:val="clear" w:color="auto" w:fill="FFC000"/>
          </w:tcPr>
          <w:p w:rsidR="009E56E1" w:rsidRPr="005771BD" w:rsidRDefault="009E56E1" w:rsidP="009E56E1">
            <w:pPr>
              <w:spacing w:after="120" w:line="240" w:lineRule="auto"/>
              <w:jc w:val="center"/>
              <w:rPr>
                <w:rFonts w:ascii="Calibri" w:hAnsi="Calibri"/>
                <w:szCs w:val="22"/>
                <w:lang w:val="sl-SI"/>
              </w:rPr>
            </w:pPr>
          </w:p>
        </w:tc>
      </w:tr>
      <w:tr w:rsidR="009E56E1" w:rsidRPr="005771BD" w:rsidTr="009E56E1">
        <w:tc>
          <w:tcPr>
            <w:tcW w:w="3686" w:type="dxa"/>
          </w:tcPr>
          <w:p w:rsidR="009E56E1" w:rsidRPr="005771BD" w:rsidRDefault="009E56E1" w:rsidP="009E56E1">
            <w:pPr>
              <w:spacing w:after="120" w:line="240" w:lineRule="auto"/>
              <w:rPr>
                <w:rFonts w:ascii="Calibri" w:hAnsi="Calibri"/>
                <w:szCs w:val="22"/>
                <w:lang w:val="sl-SI"/>
              </w:rPr>
            </w:pPr>
            <w:r w:rsidRPr="005771BD">
              <w:rPr>
                <w:rFonts w:ascii="Calibri" w:hAnsi="Calibri"/>
                <w:szCs w:val="22"/>
                <w:lang w:val="sl-SI"/>
              </w:rPr>
              <w:t>Biotska raznovrstnost morja in obalnih območij</w:t>
            </w:r>
          </w:p>
        </w:tc>
        <w:tc>
          <w:tcPr>
            <w:tcW w:w="2552" w:type="dxa"/>
          </w:tcPr>
          <w:p w:rsidR="009E56E1" w:rsidRPr="005771BD" w:rsidRDefault="009E56E1" w:rsidP="009E56E1">
            <w:pPr>
              <w:spacing w:after="120" w:line="240" w:lineRule="auto"/>
              <w:jc w:val="center"/>
              <w:rPr>
                <w:rFonts w:ascii="Calibri" w:hAnsi="Calibri"/>
                <w:szCs w:val="22"/>
                <w:lang w:val="sl-SI"/>
              </w:rPr>
            </w:pPr>
            <w:r w:rsidRPr="007F272F">
              <w:rPr>
                <w:rFonts w:ascii="Calibri" w:hAnsi="Calibri"/>
                <w:noProof/>
                <w:szCs w:val="22"/>
                <w:lang w:val="sl-SI" w:eastAsia="sl-SI"/>
              </w:rPr>
              <w:drawing>
                <wp:inline distT="0" distB="0" distL="0" distR="0" wp14:anchorId="3A99F24F" wp14:editId="3EF19E36">
                  <wp:extent cx="274320" cy="274320"/>
                  <wp:effectExtent l="0" t="0" r="0" b="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pic:spPr>
                      </pic:pic>
                    </a:graphicData>
                  </a:graphic>
                </wp:inline>
              </w:drawing>
            </w:r>
          </w:p>
        </w:tc>
        <w:tc>
          <w:tcPr>
            <w:tcW w:w="2977" w:type="dxa"/>
            <w:shd w:val="clear" w:color="auto" w:fill="FFC000"/>
          </w:tcPr>
          <w:p w:rsidR="009E56E1" w:rsidRPr="005771BD" w:rsidRDefault="009E56E1" w:rsidP="009E56E1">
            <w:pPr>
              <w:spacing w:after="120" w:line="240" w:lineRule="auto"/>
              <w:jc w:val="center"/>
              <w:rPr>
                <w:rFonts w:ascii="Calibri" w:hAnsi="Calibri"/>
                <w:szCs w:val="22"/>
                <w:lang w:val="sl-SI"/>
              </w:rPr>
            </w:pPr>
          </w:p>
        </w:tc>
      </w:tr>
      <w:tr w:rsidR="009E56E1" w:rsidRPr="005771BD" w:rsidTr="009E56E1">
        <w:tc>
          <w:tcPr>
            <w:tcW w:w="3686" w:type="dxa"/>
          </w:tcPr>
          <w:p w:rsidR="009E56E1" w:rsidRPr="005771BD" w:rsidRDefault="009E56E1" w:rsidP="009E56E1">
            <w:pPr>
              <w:spacing w:after="120" w:line="240" w:lineRule="auto"/>
              <w:rPr>
                <w:rFonts w:ascii="Calibri" w:hAnsi="Calibri"/>
                <w:szCs w:val="22"/>
                <w:lang w:val="sl-SI"/>
              </w:rPr>
            </w:pPr>
            <w:r w:rsidRPr="005771BD">
              <w:rPr>
                <w:rFonts w:ascii="Calibri" w:hAnsi="Calibri"/>
                <w:szCs w:val="22"/>
                <w:lang w:val="sl-SI"/>
              </w:rPr>
              <w:t>Izpusti glavnih onesnaževal zunanjega zraka</w:t>
            </w:r>
          </w:p>
        </w:tc>
        <w:tc>
          <w:tcPr>
            <w:tcW w:w="2552" w:type="dxa"/>
          </w:tcPr>
          <w:p w:rsidR="009E56E1" w:rsidRPr="005771BD" w:rsidRDefault="009E56E1" w:rsidP="009E56E1">
            <w:pPr>
              <w:spacing w:after="120" w:line="240" w:lineRule="auto"/>
              <w:jc w:val="center"/>
              <w:rPr>
                <w:rFonts w:ascii="Calibri" w:hAnsi="Calibri"/>
                <w:szCs w:val="22"/>
                <w:lang w:val="sl-SI"/>
              </w:rPr>
            </w:pPr>
            <w:r w:rsidRPr="007F272F">
              <w:rPr>
                <w:rFonts w:ascii="Calibri" w:hAnsi="Calibri"/>
                <w:noProof/>
                <w:szCs w:val="22"/>
                <w:lang w:val="sl-SI" w:eastAsia="sl-SI"/>
              </w:rPr>
              <w:drawing>
                <wp:inline distT="0" distB="0" distL="0" distR="0" wp14:anchorId="7FE42D2D" wp14:editId="6FA6074A">
                  <wp:extent cx="274320" cy="262255"/>
                  <wp:effectExtent l="0" t="0" r="0" b="4445"/>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4320" cy="262255"/>
                          </a:xfrm>
                          <a:prstGeom prst="rect">
                            <a:avLst/>
                          </a:prstGeom>
                          <a:noFill/>
                        </pic:spPr>
                      </pic:pic>
                    </a:graphicData>
                  </a:graphic>
                </wp:inline>
              </w:drawing>
            </w:r>
          </w:p>
        </w:tc>
        <w:tc>
          <w:tcPr>
            <w:tcW w:w="2977" w:type="dxa"/>
            <w:shd w:val="clear" w:color="auto" w:fill="92D050"/>
          </w:tcPr>
          <w:p w:rsidR="009E56E1" w:rsidRPr="005771BD" w:rsidRDefault="009E56E1" w:rsidP="009E56E1">
            <w:pPr>
              <w:spacing w:after="120" w:line="240" w:lineRule="auto"/>
              <w:jc w:val="center"/>
              <w:rPr>
                <w:rFonts w:ascii="Calibri" w:hAnsi="Calibri"/>
                <w:szCs w:val="22"/>
                <w:lang w:val="sl-SI"/>
              </w:rPr>
            </w:pPr>
          </w:p>
        </w:tc>
      </w:tr>
      <w:tr w:rsidR="009E56E1" w:rsidRPr="005771BD" w:rsidTr="009E56E1">
        <w:tc>
          <w:tcPr>
            <w:tcW w:w="3686" w:type="dxa"/>
          </w:tcPr>
          <w:p w:rsidR="009E56E1" w:rsidRPr="005771BD" w:rsidRDefault="009E56E1" w:rsidP="009E56E1">
            <w:pPr>
              <w:spacing w:after="120" w:line="240" w:lineRule="auto"/>
              <w:rPr>
                <w:rFonts w:ascii="Calibri" w:hAnsi="Calibri"/>
                <w:szCs w:val="22"/>
                <w:lang w:val="sl-SI"/>
              </w:rPr>
            </w:pPr>
            <w:r w:rsidRPr="005771BD">
              <w:rPr>
                <w:rFonts w:ascii="Calibri" w:hAnsi="Calibri"/>
                <w:szCs w:val="22"/>
                <w:lang w:val="sl-SI"/>
              </w:rPr>
              <w:t>Onesnaženost zraka s PM10 in prizemnim ozonom</w:t>
            </w:r>
          </w:p>
        </w:tc>
        <w:tc>
          <w:tcPr>
            <w:tcW w:w="2552" w:type="dxa"/>
          </w:tcPr>
          <w:p w:rsidR="009E56E1" w:rsidRPr="005771BD" w:rsidRDefault="009E56E1" w:rsidP="009E56E1">
            <w:pPr>
              <w:spacing w:after="120" w:line="240" w:lineRule="auto"/>
              <w:jc w:val="center"/>
              <w:rPr>
                <w:rFonts w:ascii="Calibri" w:hAnsi="Calibri"/>
                <w:szCs w:val="22"/>
                <w:lang w:val="sl-SI"/>
              </w:rPr>
            </w:pPr>
            <w:r w:rsidRPr="007F272F">
              <w:rPr>
                <w:rFonts w:ascii="Calibri" w:hAnsi="Calibri"/>
                <w:noProof/>
                <w:szCs w:val="22"/>
                <w:lang w:val="sl-SI" w:eastAsia="sl-SI"/>
              </w:rPr>
              <w:drawing>
                <wp:inline distT="0" distB="0" distL="0" distR="0" wp14:anchorId="26DEE80C" wp14:editId="5078E941">
                  <wp:extent cx="274320" cy="274320"/>
                  <wp:effectExtent l="0" t="0" r="0" b="0"/>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pic:spPr>
                      </pic:pic>
                    </a:graphicData>
                  </a:graphic>
                </wp:inline>
              </w:drawing>
            </w:r>
          </w:p>
        </w:tc>
        <w:tc>
          <w:tcPr>
            <w:tcW w:w="2977" w:type="dxa"/>
            <w:shd w:val="clear" w:color="auto" w:fill="FFC000"/>
          </w:tcPr>
          <w:p w:rsidR="009E56E1" w:rsidRPr="005771BD" w:rsidRDefault="009E56E1" w:rsidP="009E56E1">
            <w:pPr>
              <w:spacing w:after="120" w:line="240" w:lineRule="auto"/>
              <w:jc w:val="center"/>
              <w:rPr>
                <w:rFonts w:ascii="Calibri" w:hAnsi="Calibri"/>
                <w:szCs w:val="22"/>
                <w:lang w:val="sl-SI"/>
              </w:rPr>
            </w:pPr>
          </w:p>
        </w:tc>
      </w:tr>
      <w:tr w:rsidR="009E56E1" w:rsidRPr="005771BD" w:rsidTr="009E56E1">
        <w:tc>
          <w:tcPr>
            <w:tcW w:w="3686" w:type="dxa"/>
          </w:tcPr>
          <w:p w:rsidR="009E56E1" w:rsidRPr="005771BD" w:rsidRDefault="009E56E1" w:rsidP="009E56E1">
            <w:pPr>
              <w:spacing w:after="120" w:line="240" w:lineRule="auto"/>
              <w:rPr>
                <w:rFonts w:ascii="Calibri" w:hAnsi="Calibri"/>
                <w:szCs w:val="22"/>
                <w:lang w:val="sl-SI"/>
              </w:rPr>
            </w:pPr>
            <w:r w:rsidRPr="005771BD">
              <w:rPr>
                <w:rFonts w:ascii="Calibri" w:hAnsi="Calibri"/>
                <w:szCs w:val="22"/>
                <w:lang w:val="sl-SI"/>
              </w:rPr>
              <w:t xml:space="preserve">Vpliv onesnaženega zraka na ekosisteme </w:t>
            </w:r>
          </w:p>
        </w:tc>
        <w:tc>
          <w:tcPr>
            <w:tcW w:w="2552" w:type="dxa"/>
          </w:tcPr>
          <w:p w:rsidR="009E56E1" w:rsidRPr="005771BD" w:rsidRDefault="009E56E1" w:rsidP="009E56E1">
            <w:pPr>
              <w:spacing w:after="120" w:line="240" w:lineRule="auto"/>
              <w:jc w:val="center"/>
              <w:rPr>
                <w:rFonts w:ascii="Calibri" w:hAnsi="Calibri"/>
                <w:szCs w:val="22"/>
                <w:lang w:val="sl-SI"/>
              </w:rPr>
            </w:pPr>
            <w:r w:rsidRPr="007F272F">
              <w:rPr>
                <w:rFonts w:ascii="Calibri" w:hAnsi="Calibri"/>
                <w:noProof/>
                <w:szCs w:val="22"/>
                <w:lang w:val="sl-SI" w:eastAsia="sl-SI"/>
              </w:rPr>
              <w:drawing>
                <wp:inline distT="0" distB="0" distL="0" distR="0" wp14:anchorId="5B8AAE65" wp14:editId="72513107">
                  <wp:extent cx="274320" cy="262255"/>
                  <wp:effectExtent l="0" t="0" r="0" b="4445"/>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4320" cy="262255"/>
                          </a:xfrm>
                          <a:prstGeom prst="rect">
                            <a:avLst/>
                          </a:prstGeom>
                          <a:noFill/>
                        </pic:spPr>
                      </pic:pic>
                    </a:graphicData>
                  </a:graphic>
                </wp:inline>
              </w:drawing>
            </w:r>
          </w:p>
        </w:tc>
        <w:tc>
          <w:tcPr>
            <w:tcW w:w="2977" w:type="dxa"/>
            <w:shd w:val="clear" w:color="auto" w:fill="92D050"/>
          </w:tcPr>
          <w:p w:rsidR="009E56E1" w:rsidRPr="005771BD" w:rsidRDefault="009E56E1" w:rsidP="009E56E1">
            <w:pPr>
              <w:spacing w:after="120" w:line="240" w:lineRule="auto"/>
              <w:jc w:val="center"/>
              <w:rPr>
                <w:rFonts w:ascii="Calibri" w:hAnsi="Calibri"/>
                <w:szCs w:val="22"/>
                <w:lang w:val="sl-SI"/>
              </w:rPr>
            </w:pPr>
          </w:p>
        </w:tc>
      </w:tr>
      <w:tr w:rsidR="009E56E1" w:rsidRPr="005771BD" w:rsidTr="009E56E1">
        <w:tc>
          <w:tcPr>
            <w:tcW w:w="3686" w:type="dxa"/>
          </w:tcPr>
          <w:p w:rsidR="009E56E1" w:rsidRPr="005771BD" w:rsidRDefault="009E56E1" w:rsidP="009E56E1">
            <w:pPr>
              <w:spacing w:after="120" w:line="240" w:lineRule="auto"/>
              <w:rPr>
                <w:rFonts w:ascii="Calibri" w:hAnsi="Calibri"/>
                <w:szCs w:val="22"/>
                <w:lang w:val="sl-SI"/>
              </w:rPr>
            </w:pPr>
            <w:r w:rsidRPr="005771BD">
              <w:rPr>
                <w:rFonts w:ascii="Calibri" w:hAnsi="Calibri"/>
                <w:szCs w:val="22"/>
                <w:lang w:val="sl-SI"/>
              </w:rPr>
              <w:t>Ekološko stanje površinskih voda</w:t>
            </w:r>
          </w:p>
        </w:tc>
        <w:tc>
          <w:tcPr>
            <w:tcW w:w="2552" w:type="dxa"/>
          </w:tcPr>
          <w:p w:rsidR="009E56E1" w:rsidRPr="005771BD" w:rsidRDefault="009E56E1" w:rsidP="009E56E1">
            <w:pPr>
              <w:spacing w:after="120" w:line="240" w:lineRule="auto"/>
              <w:jc w:val="center"/>
              <w:rPr>
                <w:rFonts w:ascii="Calibri" w:hAnsi="Calibri"/>
                <w:szCs w:val="22"/>
                <w:lang w:val="sl-SI"/>
              </w:rPr>
            </w:pPr>
            <w:r w:rsidRPr="007F272F">
              <w:rPr>
                <w:rFonts w:ascii="Calibri" w:hAnsi="Calibri"/>
                <w:noProof/>
                <w:szCs w:val="22"/>
                <w:lang w:val="sl-SI" w:eastAsia="sl-SI"/>
              </w:rPr>
              <w:drawing>
                <wp:inline distT="0" distB="0" distL="0" distR="0" wp14:anchorId="0C1662C9" wp14:editId="51D87470">
                  <wp:extent cx="274320" cy="262255"/>
                  <wp:effectExtent l="0" t="0" r="0" b="4445"/>
                  <wp:docPr id="253" name="Slika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4320" cy="262255"/>
                          </a:xfrm>
                          <a:prstGeom prst="rect">
                            <a:avLst/>
                          </a:prstGeom>
                          <a:noFill/>
                        </pic:spPr>
                      </pic:pic>
                    </a:graphicData>
                  </a:graphic>
                </wp:inline>
              </w:drawing>
            </w:r>
          </w:p>
        </w:tc>
        <w:tc>
          <w:tcPr>
            <w:tcW w:w="2977" w:type="dxa"/>
            <w:shd w:val="clear" w:color="auto" w:fill="92D050"/>
          </w:tcPr>
          <w:p w:rsidR="009E56E1" w:rsidRPr="005771BD" w:rsidRDefault="009E56E1" w:rsidP="009E56E1">
            <w:pPr>
              <w:spacing w:after="120" w:line="240" w:lineRule="auto"/>
              <w:jc w:val="center"/>
              <w:rPr>
                <w:rFonts w:ascii="Calibri" w:hAnsi="Calibri"/>
                <w:szCs w:val="22"/>
                <w:lang w:val="sl-SI"/>
              </w:rPr>
            </w:pPr>
          </w:p>
        </w:tc>
      </w:tr>
      <w:tr w:rsidR="009E56E1" w:rsidRPr="005771BD" w:rsidTr="009E56E1">
        <w:tc>
          <w:tcPr>
            <w:tcW w:w="3686" w:type="dxa"/>
          </w:tcPr>
          <w:p w:rsidR="009E56E1" w:rsidRPr="005771BD" w:rsidRDefault="009E56E1" w:rsidP="009E56E1">
            <w:pPr>
              <w:spacing w:after="120" w:line="240" w:lineRule="auto"/>
              <w:rPr>
                <w:rFonts w:ascii="Calibri" w:hAnsi="Calibri"/>
                <w:szCs w:val="22"/>
                <w:lang w:val="sl-SI"/>
              </w:rPr>
            </w:pPr>
            <w:r w:rsidRPr="005771BD">
              <w:rPr>
                <w:rFonts w:ascii="Calibri" w:hAnsi="Calibri"/>
                <w:szCs w:val="22"/>
                <w:lang w:val="sl-SI"/>
              </w:rPr>
              <w:t>Kemijsko stanje površinskih voda</w:t>
            </w:r>
          </w:p>
        </w:tc>
        <w:tc>
          <w:tcPr>
            <w:tcW w:w="2552" w:type="dxa"/>
          </w:tcPr>
          <w:p w:rsidR="009E56E1" w:rsidRPr="005531CD" w:rsidRDefault="009E56E1" w:rsidP="009E56E1">
            <w:pPr>
              <w:spacing w:after="120" w:line="240" w:lineRule="auto"/>
              <w:jc w:val="center"/>
              <w:rPr>
                <w:rFonts w:ascii="Calibri" w:hAnsi="Calibri"/>
                <w:noProof/>
                <w:szCs w:val="22"/>
                <w:lang w:val="sl-SI" w:eastAsia="en-GB"/>
              </w:rPr>
            </w:pPr>
            <w:r w:rsidRPr="007F272F">
              <w:rPr>
                <w:rFonts w:ascii="Calibri" w:hAnsi="Calibri"/>
                <w:noProof/>
                <w:szCs w:val="22"/>
                <w:lang w:val="sl-SI" w:eastAsia="sl-SI"/>
              </w:rPr>
              <w:drawing>
                <wp:inline distT="0" distB="0" distL="0" distR="0" wp14:anchorId="7858A86B" wp14:editId="7C421B1C">
                  <wp:extent cx="274320" cy="262255"/>
                  <wp:effectExtent l="0" t="0" r="0" b="4445"/>
                  <wp:docPr id="259" name="Slika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4320" cy="262255"/>
                          </a:xfrm>
                          <a:prstGeom prst="rect">
                            <a:avLst/>
                          </a:prstGeom>
                          <a:noFill/>
                        </pic:spPr>
                      </pic:pic>
                    </a:graphicData>
                  </a:graphic>
                </wp:inline>
              </w:drawing>
            </w:r>
          </w:p>
        </w:tc>
        <w:tc>
          <w:tcPr>
            <w:tcW w:w="2977" w:type="dxa"/>
            <w:shd w:val="clear" w:color="auto" w:fill="92D050"/>
          </w:tcPr>
          <w:p w:rsidR="009E56E1" w:rsidRPr="005771BD" w:rsidRDefault="009E56E1" w:rsidP="009E56E1">
            <w:pPr>
              <w:spacing w:after="120" w:line="240" w:lineRule="auto"/>
              <w:jc w:val="center"/>
              <w:rPr>
                <w:rFonts w:ascii="Calibri" w:hAnsi="Calibri"/>
                <w:szCs w:val="22"/>
                <w:lang w:val="sl-SI"/>
              </w:rPr>
            </w:pPr>
          </w:p>
        </w:tc>
      </w:tr>
      <w:tr w:rsidR="009E56E1" w:rsidRPr="005771BD" w:rsidTr="009E56E1">
        <w:tc>
          <w:tcPr>
            <w:tcW w:w="3686" w:type="dxa"/>
          </w:tcPr>
          <w:p w:rsidR="009E56E1" w:rsidRPr="005771BD" w:rsidRDefault="009E56E1" w:rsidP="009E56E1">
            <w:pPr>
              <w:spacing w:after="120" w:line="240" w:lineRule="auto"/>
              <w:rPr>
                <w:rFonts w:ascii="Calibri" w:hAnsi="Calibri"/>
                <w:szCs w:val="22"/>
                <w:lang w:val="sl-SI"/>
              </w:rPr>
            </w:pPr>
            <w:r w:rsidRPr="005771BD">
              <w:rPr>
                <w:rFonts w:ascii="Calibri" w:hAnsi="Calibri"/>
                <w:szCs w:val="22"/>
                <w:lang w:val="sl-SI"/>
              </w:rPr>
              <w:t>Kemijsko stanje podzemnih voda</w:t>
            </w:r>
          </w:p>
        </w:tc>
        <w:tc>
          <w:tcPr>
            <w:tcW w:w="2552" w:type="dxa"/>
          </w:tcPr>
          <w:p w:rsidR="009E56E1" w:rsidRPr="005531CD" w:rsidRDefault="009E56E1" w:rsidP="009E56E1">
            <w:pPr>
              <w:spacing w:after="120" w:line="240" w:lineRule="auto"/>
              <w:jc w:val="center"/>
              <w:rPr>
                <w:rFonts w:ascii="Calibri" w:hAnsi="Calibri"/>
                <w:noProof/>
                <w:szCs w:val="22"/>
                <w:lang w:val="sl-SI" w:eastAsia="en-GB"/>
              </w:rPr>
            </w:pPr>
            <w:r w:rsidRPr="007F272F">
              <w:rPr>
                <w:rFonts w:ascii="Calibri" w:hAnsi="Calibri"/>
                <w:noProof/>
                <w:szCs w:val="22"/>
                <w:lang w:val="sl-SI" w:eastAsia="sl-SI"/>
              </w:rPr>
              <w:drawing>
                <wp:inline distT="0" distB="0" distL="0" distR="0" wp14:anchorId="486DF018" wp14:editId="3CA09E4A">
                  <wp:extent cx="274320" cy="262255"/>
                  <wp:effectExtent l="0" t="0" r="0" b="4445"/>
                  <wp:docPr id="274" name="Slika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4320" cy="262255"/>
                          </a:xfrm>
                          <a:prstGeom prst="rect">
                            <a:avLst/>
                          </a:prstGeom>
                          <a:noFill/>
                        </pic:spPr>
                      </pic:pic>
                    </a:graphicData>
                  </a:graphic>
                </wp:inline>
              </w:drawing>
            </w:r>
          </w:p>
        </w:tc>
        <w:tc>
          <w:tcPr>
            <w:tcW w:w="2977" w:type="dxa"/>
            <w:shd w:val="clear" w:color="auto" w:fill="92D050"/>
          </w:tcPr>
          <w:p w:rsidR="009E56E1" w:rsidRPr="005771BD" w:rsidRDefault="009E56E1" w:rsidP="009E56E1">
            <w:pPr>
              <w:spacing w:after="120" w:line="240" w:lineRule="auto"/>
              <w:jc w:val="center"/>
              <w:rPr>
                <w:rFonts w:ascii="Calibri" w:hAnsi="Calibri"/>
                <w:szCs w:val="22"/>
                <w:lang w:val="sl-SI"/>
              </w:rPr>
            </w:pPr>
          </w:p>
        </w:tc>
      </w:tr>
      <w:tr w:rsidR="009E56E1" w:rsidRPr="005771BD" w:rsidTr="009E56E1">
        <w:tc>
          <w:tcPr>
            <w:tcW w:w="3686" w:type="dxa"/>
          </w:tcPr>
          <w:p w:rsidR="009E56E1" w:rsidRPr="005771BD" w:rsidRDefault="009E56E1" w:rsidP="009E56E1">
            <w:pPr>
              <w:spacing w:after="120" w:line="240" w:lineRule="auto"/>
              <w:rPr>
                <w:rFonts w:ascii="Calibri" w:hAnsi="Calibri"/>
                <w:szCs w:val="22"/>
                <w:lang w:val="sl-SI"/>
              </w:rPr>
            </w:pPr>
            <w:r w:rsidRPr="005771BD">
              <w:rPr>
                <w:rFonts w:ascii="Calibri" w:hAnsi="Calibri"/>
                <w:szCs w:val="22"/>
                <w:lang w:val="sl-SI"/>
              </w:rPr>
              <w:t>Raba zemljišč in funkcije tal</w:t>
            </w:r>
          </w:p>
        </w:tc>
        <w:tc>
          <w:tcPr>
            <w:tcW w:w="2552" w:type="dxa"/>
          </w:tcPr>
          <w:p w:rsidR="009E56E1" w:rsidRPr="005771BD" w:rsidRDefault="009E56E1" w:rsidP="009E56E1">
            <w:pPr>
              <w:spacing w:after="120" w:line="240" w:lineRule="auto"/>
              <w:jc w:val="center"/>
              <w:rPr>
                <w:rFonts w:ascii="Calibri" w:hAnsi="Calibri"/>
                <w:szCs w:val="22"/>
                <w:lang w:val="sl-SI"/>
              </w:rPr>
            </w:pPr>
            <w:r w:rsidRPr="005771BD">
              <w:rPr>
                <w:rFonts w:ascii="Calibri" w:hAnsi="Calibri"/>
                <w:szCs w:val="22"/>
                <w:lang w:val="sl-SI"/>
              </w:rPr>
              <w:t>-</w:t>
            </w:r>
          </w:p>
        </w:tc>
        <w:tc>
          <w:tcPr>
            <w:tcW w:w="2977" w:type="dxa"/>
            <w:shd w:val="clear" w:color="auto" w:fill="FFC000"/>
          </w:tcPr>
          <w:p w:rsidR="009E56E1" w:rsidRPr="005531CD" w:rsidRDefault="009E56E1" w:rsidP="009E56E1">
            <w:pPr>
              <w:spacing w:after="120" w:line="240" w:lineRule="auto"/>
              <w:jc w:val="center"/>
              <w:rPr>
                <w:rFonts w:ascii="Calibri" w:hAnsi="Calibri"/>
                <w:noProof/>
                <w:szCs w:val="22"/>
                <w:lang w:val="sl-SI" w:eastAsia="en-GB"/>
              </w:rPr>
            </w:pPr>
          </w:p>
        </w:tc>
      </w:tr>
      <w:tr w:rsidR="009E56E1" w:rsidRPr="005771BD" w:rsidTr="009E56E1">
        <w:tc>
          <w:tcPr>
            <w:tcW w:w="3686" w:type="dxa"/>
          </w:tcPr>
          <w:p w:rsidR="009E56E1" w:rsidRPr="005771BD" w:rsidRDefault="009E56E1" w:rsidP="009E56E1">
            <w:pPr>
              <w:spacing w:after="120" w:line="240" w:lineRule="auto"/>
              <w:rPr>
                <w:rFonts w:ascii="Calibri" w:hAnsi="Calibri"/>
                <w:szCs w:val="22"/>
                <w:lang w:val="sl-SI"/>
              </w:rPr>
            </w:pPr>
            <w:r w:rsidRPr="005771BD">
              <w:rPr>
                <w:rFonts w:ascii="Calibri" w:hAnsi="Calibri"/>
                <w:szCs w:val="22"/>
                <w:lang w:val="sl-SI"/>
              </w:rPr>
              <w:t>Učinkovita raba snovi in virov</w:t>
            </w:r>
          </w:p>
        </w:tc>
        <w:tc>
          <w:tcPr>
            <w:tcW w:w="2552" w:type="dxa"/>
          </w:tcPr>
          <w:p w:rsidR="009E56E1" w:rsidRPr="005771BD" w:rsidRDefault="009E56E1" w:rsidP="009E56E1">
            <w:pPr>
              <w:spacing w:after="120" w:line="240" w:lineRule="auto"/>
              <w:jc w:val="center"/>
              <w:rPr>
                <w:rFonts w:ascii="Calibri" w:hAnsi="Calibri"/>
                <w:szCs w:val="22"/>
                <w:lang w:val="sl-SI"/>
              </w:rPr>
            </w:pPr>
            <w:r w:rsidRPr="007F272F">
              <w:rPr>
                <w:rFonts w:ascii="Calibri" w:hAnsi="Calibri"/>
                <w:noProof/>
                <w:szCs w:val="22"/>
                <w:lang w:val="sl-SI" w:eastAsia="sl-SI"/>
              </w:rPr>
              <w:drawing>
                <wp:inline distT="0" distB="0" distL="0" distR="0" wp14:anchorId="6B871566" wp14:editId="384CE324">
                  <wp:extent cx="274320" cy="262255"/>
                  <wp:effectExtent l="0" t="0" r="0" b="4445"/>
                  <wp:docPr id="275" name="Slika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4320" cy="262255"/>
                          </a:xfrm>
                          <a:prstGeom prst="rect">
                            <a:avLst/>
                          </a:prstGeom>
                          <a:noFill/>
                        </pic:spPr>
                      </pic:pic>
                    </a:graphicData>
                  </a:graphic>
                </wp:inline>
              </w:drawing>
            </w:r>
          </w:p>
        </w:tc>
        <w:tc>
          <w:tcPr>
            <w:tcW w:w="2977" w:type="dxa"/>
            <w:shd w:val="clear" w:color="auto" w:fill="FFC000"/>
          </w:tcPr>
          <w:p w:rsidR="009E56E1" w:rsidRPr="005771BD" w:rsidRDefault="009E56E1" w:rsidP="009E56E1">
            <w:pPr>
              <w:spacing w:after="120" w:line="240" w:lineRule="auto"/>
              <w:jc w:val="center"/>
              <w:rPr>
                <w:rFonts w:ascii="Calibri" w:hAnsi="Calibri"/>
                <w:szCs w:val="22"/>
                <w:lang w:val="sl-SI"/>
              </w:rPr>
            </w:pPr>
          </w:p>
        </w:tc>
      </w:tr>
      <w:tr w:rsidR="009E56E1" w:rsidRPr="005771BD" w:rsidTr="009E56E1">
        <w:tc>
          <w:tcPr>
            <w:tcW w:w="3686" w:type="dxa"/>
          </w:tcPr>
          <w:p w:rsidR="009E56E1" w:rsidRPr="005771BD" w:rsidRDefault="009E56E1" w:rsidP="009E56E1">
            <w:pPr>
              <w:spacing w:after="120" w:line="240" w:lineRule="auto"/>
              <w:rPr>
                <w:rFonts w:ascii="Calibri" w:hAnsi="Calibri"/>
                <w:szCs w:val="22"/>
                <w:lang w:val="sl-SI"/>
              </w:rPr>
            </w:pPr>
            <w:r w:rsidRPr="005771BD">
              <w:rPr>
                <w:rFonts w:ascii="Calibri" w:hAnsi="Calibri"/>
                <w:szCs w:val="22"/>
                <w:lang w:val="sl-SI"/>
              </w:rPr>
              <w:t>Ravnanje z odpadki</w:t>
            </w:r>
          </w:p>
        </w:tc>
        <w:tc>
          <w:tcPr>
            <w:tcW w:w="2552" w:type="dxa"/>
          </w:tcPr>
          <w:p w:rsidR="009E56E1" w:rsidRPr="005771BD" w:rsidRDefault="009E56E1" w:rsidP="009E56E1">
            <w:pPr>
              <w:spacing w:after="120" w:line="240" w:lineRule="auto"/>
              <w:jc w:val="center"/>
              <w:rPr>
                <w:rFonts w:ascii="Calibri" w:hAnsi="Calibri"/>
                <w:szCs w:val="22"/>
                <w:lang w:val="sl-SI"/>
              </w:rPr>
            </w:pPr>
            <w:r w:rsidRPr="007F272F">
              <w:rPr>
                <w:rFonts w:ascii="Calibri" w:hAnsi="Calibri"/>
                <w:noProof/>
                <w:szCs w:val="22"/>
                <w:lang w:val="sl-SI" w:eastAsia="sl-SI"/>
              </w:rPr>
              <w:drawing>
                <wp:inline distT="0" distB="0" distL="0" distR="0" wp14:anchorId="0E26DEB7" wp14:editId="043AD1F3">
                  <wp:extent cx="274320" cy="267970"/>
                  <wp:effectExtent l="0" t="0" r="0" b="0"/>
                  <wp:docPr id="276" name="Slika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 cy="267970"/>
                          </a:xfrm>
                          <a:prstGeom prst="rect">
                            <a:avLst/>
                          </a:prstGeom>
                          <a:noFill/>
                        </pic:spPr>
                      </pic:pic>
                    </a:graphicData>
                  </a:graphic>
                </wp:inline>
              </w:drawing>
            </w:r>
          </w:p>
        </w:tc>
        <w:tc>
          <w:tcPr>
            <w:tcW w:w="2977" w:type="dxa"/>
            <w:shd w:val="clear" w:color="auto" w:fill="92D050"/>
          </w:tcPr>
          <w:p w:rsidR="009E56E1" w:rsidRPr="005771BD" w:rsidRDefault="009E56E1" w:rsidP="009E56E1">
            <w:pPr>
              <w:spacing w:after="120" w:line="240" w:lineRule="auto"/>
              <w:jc w:val="center"/>
              <w:rPr>
                <w:rFonts w:ascii="Calibri" w:hAnsi="Calibri"/>
                <w:szCs w:val="22"/>
                <w:lang w:val="sl-SI"/>
              </w:rPr>
            </w:pPr>
          </w:p>
        </w:tc>
      </w:tr>
      <w:tr w:rsidR="009E56E1" w:rsidRPr="005771BD" w:rsidTr="009E56E1">
        <w:tc>
          <w:tcPr>
            <w:tcW w:w="3686" w:type="dxa"/>
          </w:tcPr>
          <w:p w:rsidR="009E56E1" w:rsidRPr="005771BD" w:rsidRDefault="009E56E1" w:rsidP="009E56E1">
            <w:pPr>
              <w:spacing w:after="120" w:line="240" w:lineRule="auto"/>
              <w:rPr>
                <w:rFonts w:ascii="Calibri" w:hAnsi="Calibri"/>
                <w:szCs w:val="22"/>
                <w:lang w:val="sl-SI"/>
              </w:rPr>
            </w:pPr>
            <w:r w:rsidRPr="005771BD">
              <w:rPr>
                <w:rFonts w:ascii="Calibri" w:hAnsi="Calibri"/>
                <w:szCs w:val="22"/>
                <w:lang w:val="sl-SI"/>
              </w:rPr>
              <w:t>Izpusti TGP in blaženje podnebnih sprememb</w:t>
            </w:r>
          </w:p>
        </w:tc>
        <w:tc>
          <w:tcPr>
            <w:tcW w:w="2552" w:type="dxa"/>
          </w:tcPr>
          <w:p w:rsidR="009E56E1" w:rsidRPr="005771BD" w:rsidRDefault="009E56E1" w:rsidP="009E56E1">
            <w:pPr>
              <w:spacing w:after="120" w:line="240" w:lineRule="auto"/>
              <w:jc w:val="center"/>
              <w:rPr>
                <w:rFonts w:ascii="Calibri" w:hAnsi="Calibri"/>
                <w:szCs w:val="22"/>
                <w:lang w:val="sl-SI"/>
              </w:rPr>
            </w:pPr>
            <w:r w:rsidRPr="007F272F">
              <w:rPr>
                <w:rFonts w:ascii="Calibri" w:hAnsi="Calibri"/>
                <w:noProof/>
                <w:szCs w:val="22"/>
                <w:lang w:val="sl-SI" w:eastAsia="sl-SI"/>
              </w:rPr>
              <w:drawing>
                <wp:inline distT="0" distB="0" distL="0" distR="0" wp14:anchorId="7294F5D9" wp14:editId="57A885E2">
                  <wp:extent cx="274320" cy="267970"/>
                  <wp:effectExtent l="0" t="0" r="0" b="0"/>
                  <wp:docPr id="277" name="Slika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 cy="267970"/>
                          </a:xfrm>
                          <a:prstGeom prst="rect">
                            <a:avLst/>
                          </a:prstGeom>
                          <a:noFill/>
                        </pic:spPr>
                      </pic:pic>
                    </a:graphicData>
                  </a:graphic>
                </wp:inline>
              </w:drawing>
            </w:r>
          </w:p>
        </w:tc>
        <w:tc>
          <w:tcPr>
            <w:tcW w:w="2977" w:type="dxa"/>
            <w:shd w:val="clear" w:color="auto" w:fill="FFC000"/>
          </w:tcPr>
          <w:p w:rsidR="009E56E1" w:rsidRPr="005771BD" w:rsidRDefault="009E56E1" w:rsidP="009E56E1">
            <w:pPr>
              <w:spacing w:after="120" w:line="240" w:lineRule="auto"/>
              <w:jc w:val="center"/>
              <w:rPr>
                <w:rFonts w:ascii="Calibri" w:hAnsi="Calibri"/>
                <w:szCs w:val="22"/>
                <w:lang w:val="sl-SI"/>
              </w:rPr>
            </w:pPr>
          </w:p>
        </w:tc>
      </w:tr>
      <w:tr w:rsidR="009E56E1" w:rsidRPr="005771BD" w:rsidTr="009E56E1">
        <w:tc>
          <w:tcPr>
            <w:tcW w:w="3686" w:type="dxa"/>
          </w:tcPr>
          <w:p w:rsidR="009E56E1" w:rsidRPr="005771BD" w:rsidRDefault="009E56E1" w:rsidP="009E56E1">
            <w:pPr>
              <w:spacing w:after="120" w:line="240" w:lineRule="auto"/>
              <w:rPr>
                <w:rFonts w:ascii="Calibri" w:hAnsi="Calibri"/>
                <w:szCs w:val="22"/>
                <w:lang w:val="sl-SI"/>
              </w:rPr>
            </w:pPr>
            <w:r w:rsidRPr="005771BD">
              <w:rPr>
                <w:rFonts w:ascii="Calibri" w:hAnsi="Calibri"/>
                <w:szCs w:val="22"/>
                <w:lang w:val="sl-SI"/>
              </w:rPr>
              <w:t>Prilagajanje podnebnim spremembam</w:t>
            </w:r>
          </w:p>
        </w:tc>
        <w:tc>
          <w:tcPr>
            <w:tcW w:w="2552" w:type="dxa"/>
          </w:tcPr>
          <w:p w:rsidR="009E56E1" w:rsidRPr="005531CD" w:rsidRDefault="009E56E1" w:rsidP="009E56E1">
            <w:pPr>
              <w:spacing w:after="120" w:line="240" w:lineRule="auto"/>
              <w:jc w:val="center"/>
              <w:rPr>
                <w:rFonts w:ascii="Calibri" w:hAnsi="Calibri"/>
                <w:noProof/>
                <w:szCs w:val="22"/>
                <w:lang w:val="sl-SI" w:eastAsia="en-GB"/>
              </w:rPr>
            </w:pPr>
            <w:r w:rsidRPr="005531CD">
              <w:rPr>
                <w:rFonts w:ascii="Calibri" w:hAnsi="Calibri"/>
                <w:noProof/>
                <w:szCs w:val="22"/>
                <w:lang w:val="sl-SI" w:eastAsia="en-GB"/>
              </w:rPr>
              <w:t>-</w:t>
            </w:r>
          </w:p>
        </w:tc>
        <w:tc>
          <w:tcPr>
            <w:tcW w:w="2977" w:type="dxa"/>
            <w:shd w:val="clear" w:color="auto" w:fill="auto"/>
          </w:tcPr>
          <w:p w:rsidR="009E56E1" w:rsidRPr="005771BD" w:rsidRDefault="009E56E1" w:rsidP="009E56E1">
            <w:pPr>
              <w:spacing w:after="120" w:line="240" w:lineRule="auto"/>
              <w:jc w:val="center"/>
              <w:rPr>
                <w:rFonts w:ascii="Calibri" w:hAnsi="Calibri"/>
                <w:szCs w:val="22"/>
                <w:lang w:val="sl-SI"/>
              </w:rPr>
            </w:pPr>
            <w:r w:rsidRPr="005771BD">
              <w:rPr>
                <w:rFonts w:ascii="Calibri" w:hAnsi="Calibri"/>
                <w:szCs w:val="22"/>
                <w:lang w:val="sl-SI"/>
              </w:rPr>
              <w:t>-</w:t>
            </w:r>
          </w:p>
        </w:tc>
      </w:tr>
      <w:tr w:rsidR="009E56E1" w:rsidRPr="005771BD" w:rsidTr="009E56E1">
        <w:tc>
          <w:tcPr>
            <w:tcW w:w="3686" w:type="dxa"/>
          </w:tcPr>
          <w:p w:rsidR="009E56E1" w:rsidRPr="005771BD" w:rsidRDefault="009E56E1" w:rsidP="009E56E1">
            <w:pPr>
              <w:spacing w:after="120" w:line="240" w:lineRule="auto"/>
              <w:rPr>
                <w:rFonts w:ascii="Calibri" w:hAnsi="Calibri"/>
                <w:szCs w:val="22"/>
                <w:lang w:val="sl-SI"/>
              </w:rPr>
            </w:pPr>
            <w:r w:rsidRPr="005771BD">
              <w:rPr>
                <w:rFonts w:ascii="Calibri" w:hAnsi="Calibri"/>
                <w:szCs w:val="22"/>
                <w:lang w:val="sl-SI"/>
              </w:rPr>
              <w:t>Onesnaženost vode in s tem povezani škodljivi vplivi na zdravje ljudi</w:t>
            </w:r>
          </w:p>
        </w:tc>
        <w:tc>
          <w:tcPr>
            <w:tcW w:w="2552" w:type="dxa"/>
          </w:tcPr>
          <w:p w:rsidR="009E56E1" w:rsidRPr="005771BD" w:rsidRDefault="009E56E1" w:rsidP="009E56E1">
            <w:pPr>
              <w:spacing w:after="120" w:line="240" w:lineRule="auto"/>
              <w:jc w:val="center"/>
              <w:rPr>
                <w:rFonts w:ascii="Calibri" w:hAnsi="Calibri"/>
                <w:szCs w:val="22"/>
                <w:lang w:val="sl-SI"/>
              </w:rPr>
            </w:pPr>
            <w:r w:rsidRPr="007F272F">
              <w:rPr>
                <w:rFonts w:ascii="Calibri" w:hAnsi="Calibri"/>
                <w:noProof/>
                <w:szCs w:val="22"/>
                <w:lang w:val="sl-SI" w:eastAsia="sl-SI"/>
              </w:rPr>
              <w:drawing>
                <wp:inline distT="0" distB="0" distL="0" distR="0" wp14:anchorId="1A499A2B" wp14:editId="14AC3047">
                  <wp:extent cx="274320" cy="267970"/>
                  <wp:effectExtent l="0" t="0" r="0" b="0"/>
                  <wp:docPr id="278" name="Slika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 cy="267970"/>
                          </a:xfrm>
                          <a:prstGeom prst="rect">
                            <a:avLst/>
                          </a:prstGeom>
                          <a:noFill/>
                        </pic:spPr>
                      </pic:pic>
                    </a:graphicData>
                  </a:graphic>
                </wp:inline>
              </w:drawing>
            </w:r>
          </w:p>
        </w:tc>
        <w:tc>
          <w:tcPr>
            <w:tcW w:w="2977" w:type="dxa"/>
            <w:shd w:val="clear" w:color="auto" w:fill="92D050"/>
          </w:tcPr>
          <w:p w:rsidR="009E56E1" w:rsidRPr="005771BD" w:rsidRDefault="009E56E1" w:rsidP="009E56E1">
            <w:pPr>
              <w:spacing w:after="120" w:line="240" w:lineRule="auto"/>
              <w:jc w:val="center"/>
              <w:rPr>
                <w:rFonts w:ascii="Calibri" w:hAnsi="Calibri"/>
                <w:szCs w:val="22"/>
                <w:lang w:val="sl-SI"/>
              </w:rPr>
            </w:pPr>
          </w:p>
        </w:tc>
      </w:tr>
    </w:tbl>
    <w:p w:rsidR="0077619C" w:rsidRPr="0077619C" w:rsidRDefault="0077619C" w:rsidP="0077619C">
      <w:pPr>
        <w:spacing w:before="60" w:after="200" w:line="276" w:lineRule="auto"/>
        <w:ind w:left="-567"/>
        <w:jc w:val="both"/>
        <w:rPr>
          <w:rFonts w:eastAsia="Calibri" w:cs="Arial"/>
          <w:sz w:val="18"/>
          <w:szCs w:val="18"/>
          <w:lang w:val="sl-SI"/>
        </w:rPr>
      </w:pPr>
      <w:r>
        <w:rPr>
          <w:rFonts w:eastAsia="Calibri" w:cs="Arial"/>
          <w:sz w:val="18"/>
          <w:szCs w:val="18"/>
          <w:lang w:val="sl-SI"/>
        </w:rPr>
        <w:t xml:space="preserve">Opomba: </w:t>
      </w:r>
      <w:r w:rsidRPr="0077619C">
        <w:rPr>
          <w:rFonts w:eastAsia="Calibri" w:cs="Arial"/>
          <w:sz w:val="18"/>
          <w:szCs w:val="18"/>
          <w:lang w:val="sl-SI"/>
        </w:rPr>
        <w:t>Predstavljeni okvirni trendi temeljijo na kazalcih stanja okolja in na strokovni presoji pripravljavcev poročila.</w:t>
      </w:r>
    </w:p>
    <w:p w:rsidR="009E56E1" w:rsidRPr="005771BD" w:rsidRDefault="009E56E1" w:rsidP="009E56E1">
      <w:pPr>
        <w:spacing w:after="200" w:line="276" w:lineRule="auto"/>
        <w:rPr>
          <w:rFonts w:ascii="Calibri" w:eastAsia="Calibri" w:hAnsi="Calibri"/>
          <w:sz w:val="22"/>
          <w:szCs w:val="22"/>
          <w:u w:val="single"/>
          <w:lang w:val="sl-SI"/>
        </w:rPr>
      </w:pPr>
      <w:r w:rsidRPr="005771BD">
        <w:rPr>
          <w:rFonts w:ascii="Calibri" w:eastAsia="Calibri" w:hAnsi="Calibri"/>
          <w:sz w:val="22"/>
          <w:szCs w:val="22"/>
          <w:u w:val="single"/>
          <w:lang w:val="sl-SI"/>
        </w:rPr>
        <w:t>Legenda:</w:t>
      </w:r>
    </w:p>
    <w:tbl>
      <w:tblPr>
        <w:tblStyle w:val="Tabelamrea13"/>
        <w:tblW w:w="8364" w:type="dxa"/>
        <w:tblInd w:w="-459" w:type="dxa"/>
        <w:tblLook w:val="04A0" w:firstRow="1" w:lastRow="0" w:firstColumn="1" w:lastColumn="0" w:noHBand="0" w:noVBand="1"/>
      </w:tblPr>
      <w:tblGrid>
        <w:gridCol w:w="993"/>
        <w:gridCol w:w="2268"/>
        <w:gridCol w:w="1465"/>
        <w:gridCol w:w="1482"/>
        <w:gridCol w:w="2156"/>
      </w:tblGrid>
      <w:tr w:rsidR="009E56E1" w:rsidRPr="005771BD" w:rsidTr="009E56E1">
        <w:tc>
          <w:tcPr>
            <w:tcW w:w="993" w:type="dxa"/>
            <w:shd w:val="clear" w:color="auto" w:fill="auto"/>
          </w:tcPr>
          <w:p w:rsidR="009E56E1" w:rsidRPr="005771BD" w:rsidRDefault="009E56E1" w:rsidP="009E56E1">
            <w:pPr>
              <w:spacing w:before="120" w:line="240" w:lineRule="auto"/>
              <w:ind w:right="146"/>
              <w:rPr>
                <w:rFonts w:cs="Arial"/>
                <w:sz w:val="18"/>
                <w:szCs w:val="18"/>
                <w:lang w:val="sl-SI"/>
              </w:rPr>
            </w:pPr>
            <w:r w:rsidRPr="007F272F">
              <w:rPr>
                <w:rFonts w:cs="Arial"/>
                <w:noProof/>
                <w:sz w:val="18"/>
                <w:szCs w:val="18"/>
                <w:lang w:val="sl-SI" w:eastAsia="sl-SI"/>
              </w:rPr>
              <mc:AlternateContent>
                <mc:Choice Requires="wps">
                  <w:drawing>
                    <wp:anchor distT="0" distB="0" distL="114300" distR="114300" simplePos="0" relativeHeight="251692032" behindDoc="0" locked="0" layoutInCell="1" allowOverlap="1" wp14:anchorId="3D6FD660" wp14:editId="06800342">
                      <wp:simplePos x="0" y="0"/>
                      <wp:positionH relativeFrom="column">
                        <wp:posOffset>121920</wp:posOffset>
                      </wp:positionH>
                      <wp:positionV relativeFrom="paragraph">
                        <wp:posOffset>32385</wp:posOffset>
                      </wp:positionV>
                      <wp:extent cx="248285" cy="240030"/>
                      <wp:effectExtent l="0" t="0" r="18415" b="26670"/>
                      <wp:wrapNone/>
                      <wp:docPr id="221" name="Smiley Face 3"/>
                      <wp:cNvGraphicFramePr/>
                      <a:graphic xmlns:a="http://schemas.openxmlformats.org/drawingml/2006/main">
                        <a:graphicData uri="http://schemas.microsoft.com/office/word/2010/wordprocessingShape">
                          <wps:wsp>
                            <wps:cNvSpPr/>
                            <wps:spPr>
                              <a:xfrm>
                                <a:off x="0" y="0"/>
                                <a:ext cx="248285" cy="240030"/>
                              </a:xfrm>
                              <a:prstGeom prst="smileyFace">
                                <a:avLst/>
                              </a:prstGeom>
                              <a:solidFill>
                                <a:srgbClr val="92D050"/>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05CACA"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Smiley Face 3" o:spid="_x0000_s1026" type="#_x0000_t96" style="position:absolute;margin-left:9.6pt;margin-top:2.55pt;width:19.55pt;height:18.9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" fillcolor="#92d050" strokecolor="#00b050" strokeweight="2pt"/>
                  </w:pict>
                </mc:Fallback>
              </mc:AlternateContent>
            </w:r>
          </w:p>
        </w:tc>
        <w:tc>
          <w:tcPr>
            <w:tcW w:w="2268" w:type="dxa"/>
          </w:tcPr>
          <w:p w:rsidR="009E56E1" w:rsidRPr="005771BD" w:rsidRDefault="009E56E1" w:rsidP="009E56E1">
            <w:pPr>
              <w:spacing w:before="120" w:line="240" w:lineRule="auto"/>
              <w:rPr>
                <w:rFonts w:cs="Arial"/>
                <w:sz w:val="18"/>
                <w:szCs w:val="18"/>
                <w:lang w:val="sl-SI"/>
              </w:rPr>
            </w:pPr>
            <w:r w:rsidRPr="005771BD">
              <w:rPr>
                <w:rFonts w:cs="Arial"/>
                <w:sz w:val="18"/>
                <w:szCs w:val="18"/>
                <w:lang w:val="sl-SI"/>
              </w:rPr>
              <w:t>Večinoma na dobri poti k doseganju ciljev</w:t>
            </w:r>
          </w:p>
        </w:tc>
        <w:tc>
          <w:tcPr>
            <w:tcW w:w="1465" w:type="dxa"/>
            <w:tcBorders>
              <w:top w:val="nil"/>
              <w:bottom w:val="nil"/>
            </w:tcBorders>
          </w:tcPr>
          <w:p w:rsidR="009E56E1" w:rsidRPr="005531CD" w:rsidRDefault="009E56E1" w:rsidP="009E56E1">
            <w:pPr>
              <w:spacing w:before="120" w:line="240" w:lineRule="auto"/>
              <w:rPr>
                <w:rFonts w:cs="Arial"/>
                <w:noProof/>
                <w:sz w:val="18"/>
                <w:szCs w:val="18"/>
                <w:lang w:val="sl-SI" w:eastAsia="en-GB"/>
              </w:rPr>
            </w:pPr>
          </w:p>
        </w:tc>
        <w:tc>
          <w:tcPr>
            <w:tcW w:w="1482" w:type="dxa"/>
            <w:shd w:val="clear" w:color="auto" w:fill="92D050"/>
          </w:tcPr>
          <w:p w:rsidR="009E56E1" w:rsidRPr="005771BD" w:rsidRDefault="009E56E1" w:rsidP="009E56E1">
            <w:pPr>
              <w:spacing w:before="120" w:line="240" w:lineRule="auto"/>
              <w:rPr>
                <w:rFonts w:cs="Arial"/>
                <w:sz w:val="18"/>
                <w:szCs w:val="18"/>
                <w:lang w:val="sl-SI"/>
              </w:rPr>
            </w:pPr>
          </w:p>
        </w:tc>
        <w:tc>
          <w:tcPr>
            <w:tcW w:w="2156" w:type="dxa"/>
          </w:tcPr>
          <w:p w:rsidR="009E56E1" w:rsidRPr="005771BD" w:rsidRDefault="009E56E1" w:rsidP="009E56E1">
            <w:pPr>
              <w:spacing w:before="120" w:line="240" w:lineRule="auto"/>
              <w:rPr>
                <w:rFonts w:cs="Arial"/>
                <w:sz w:val="18"/>
                <w:szCs w:val="18"/>
                <w:lang w:val="sl-SI"/>
              </w:rPr>
            </w:pPr>
            <w:r w:rsidRPr="005771BD">
              <w:rPr>
                <w:rFonts w:cs="Arial"/>
                <w:sz w:val="18"/>
                <w:szCs w:val="18"/>
                <w:lang w:val="sl-SI"/>
              </w:rPr>
              <w:t>Prevladuje trend/napoved izboljšanja</w:t>
            </w:r>
          </w:p>
        </w:tc>
      </w:tr>
      <w:tr w:rsidR="009E56E1" w:rsidRPr="005771BD" w:rsidTr="009E56E1">
        <w:tc>
          <w:tcPr>
            <w:tcW w:w="993" w:type="dxa"/>
            <w:shd w:val="clear" w:color="auto" w:fill="auto"/>
          </w:tcPr>
          <w:p w:rsidR="009E56E1" w:rsidRPr="005771BD" w:rsidRDefault="009E56E1" w:rsidP="009E56E1">
            <w:pPr>
              <w:spacing w:before="120" w:line="240" w:lineRule="auto"/>
              <w:rPr>
                <w:rFonts w:cs="Arial"/>
                <w:sz w:val="18"/>
                <w:szCs w:val="18"/>
                <w:lang w:val="sl-SI"/>
              </w:rPr>
            </w:pPr>
            <w:r w:rsidRPr="007F272F">
              <w:rPr>
                <w:rFonts w:cs="Arial"/>
                <w:noProof/>
                <w:sz w:val="18"/>
                <w:szCs w:val="18"/>
                <w:lang w:val="sl-SI" w:eastAsia="sl-SI"/>
              </w:rPr>
              <mc:AlternateContent>
                <mc:Choice Requires="wps">
                  <w:drawing>
                    <wp:anchor distT="0" distB="0" distL="114300" distR="114300" simplePos="0" relativeHeight="251693056" behindDoc="0" locked="0" layoutInCell="1" allowOverlap="1" wp14:anchorId="7809C168" wp14:editId="294DA918">
                      <wp:simplePos x="0" y="0"/>
                      <wp:positionH relativeFrom="column">
                        <wp:posOffset>125095</wp:posOffset>
                      </wp:positionH>
                      <wp:positionV relativeFrom="paragraph">
                        <wp:posOffset>48895</wp:posOffset>
                      </wp:positionV>
                      <wp:extent cx="248285" cy="247650"/>
                      <wp:effectExtent l="0" t="0" r="18415" b="19050"/>
                      <wp:wrapNone/>
                      <wp:docPr id="222" name="Smiley Face 2"/>
                      <wp:cNvGraphicFramePr/>
                      <a:graphic xmlns:a="http://schemas.openxmlformats.org/drawingml/2006/main">
                        <a:graphicData uri="http://schemas.microsoft.com/office/word/2010/wordprocessingShape">
                          <wps:wsp>
                            <wps:cNvSpPr/>
                            <wps:spPr>
                              <a:xfrm>
                                <a:off x="0" y="0"/>
                                <a:ext cx="248285" cy="247650"/>
                              </a:xfrm>
                              <a:custGeom>
                                <a:avLst/>
                                <a:gdLst>
                                  <a:gd name="connsiteX0" fmla="*/ 0 w 248285"/>
                                  <a:gd name="connsiteY0" fmla="*/ 123825 h 247650"/>
                                  <a:gd name="connsiteX1" fmla="*/ 124143 w 248285"/>
                                  <a:gd name="connsiteY1" fmla="*/ 0 h 247650"/>
                                  <a:gd name="connsiteX2" fmla="*/ 248286 w 248285"/>
                                  <a:gd name="connsiteY2" fmla="*/ 123825 h 247650"/>
                                  <a:gd name="connsiteX3" fmla="*/ 124143 w 248285"/>
                                  <a:gd name="connsiteY3" fmla="*/ 247650 h 247650"/>
                                  <a:gd name="connsiteX4" fmla="*/ 0 w 248285"/>
                                  <a:gd name="connsiteY4" fmla="*/ 123825 h 247650"/>
                                  <a:gd name="connsiteX0" fmla="*/ 71439 w 248285"/>
                                  <a:gd name="connsiteY0" fmla="*/ 86792 h 247650"/>
                                  <a:gd name="connsiteX1" fmla="*/ 84371 w 248285"/>
                                  <a:gd name="connsiteY1" fmla="*/ 73894 h 247650"/>
                                  <a:gd name="connsiteX2" fmla="*/ 97303 w 248285"/>
                                  <a:gd name="connsiteY2" fmla="*/ 86792 h 247650"/>
                                  <a:gd name="connsiteX3" fmla="*/ 84371 w 248285"/>
                                  <a:gd name="connsiteY3" fmla="*/ 99690 h 247650"/>
                                  <a:gd name="connsiteX4" fmla="*/ 71439 w 248285"/>
                                  <a:gd name="connsiteY4" fmla="*/ 86792 h 247650"/>
                                  <a:gd name="connsiteX5" fmla="*/ 150983 w 248285"/>
                                  <a:gd name="connsiteY5" fmla="*/ 86792 h 247650"/>
                                  <a:gd name="connsiteX6" fmla="*/ 163915 w 248285"/>
                                  <a:gd name="connsiteY6" fmla="*/ 73894 h 247650"/>
                                  <a:gd name="connsiteX7" fmla="*/ 176847 w 248285"/>
                                  <a:gd name="connsiteY7" fmla="*/ 86792 h 247650"/>
                                  <a:gd name="connsiteX8" fmla="*/ 163915 w 248285"/>
                                  <a:gd name="connsiteY8" fmla="*/ 99690 h 247650"/>
                                  <a:gd name="connsiteX9" fmla="*/ 150983 w 248285"/>
                                  <a:gd name="connsiteY9" fmla="*/ 86792 h 247650"/>
                                  <a:gd name="connsiteX0" fmla="*/ 56856 w 248285"/>
                                  <a:gd name="connsiteY0" fmla="*/ 200872 h 247650"/>
                                  <a:gd name="connsiteX1" fmla="*/ 191271 w 248285"/>
                                  <a:gd name="connsiteY1" fmla="*/ 200872 h 247650"/>
                                  <a:gd name="connsiteX0" fmla="*/ 0 w 248285"/>
                                  <a:gd name="connsiteY0" fmla="*/ 123825 h 247650"/>
                                  <a:gd name="connsiteX1" fmla="*/ 124143 w 248285"/>
                                  <a:gd name="connsiteY1" fmla="*/ 0 h 247650"/>
                                  <a:gd name="connsiteX2" fmla="*/ 248286 w 248285"/>
                                  <a:gd name="connsiteY2" fmla="*/ 123825 h 247650"/>
                                  <a:gd name="connsiteX3" fmla="*/ 124143 w 248285"/>
                                  <a:gd name="connsiteY3" fmla="*/ 247650 h 247650"/>
                                  <a:gd name="connsiteX4" fmla="*/ 0 w 248285"/>
                                  <a:gd name="connsiteY4" fmla="*/ 123825 h 247650"/>
                                  <a:gd name="connsiteX0" fmla="*/ 0 w 248286"/>
                                  <a:gd name="connsiteY0" fmla="*/ 123825 h 247650"/>
                                  <a:gd name="connsiteX1" fmla="*/ 124143 w 248286"/>
                                  <a:gd name="connsiteY1" fmla="*/ 0 h 247650"/>
                                  <a:gd name="connsiteX2" fmla="*/ 248286 w 248286"/>
                                  <a:gd name="connsiteY2" fmla="*/ 123825 h 247650"/>
                                  <a:gd name="connsiteX3" fmla="*/ 124143 w 248286"/>
                                  <a:gd name="connsiteY3" fmla="*/ 247650 h 247650"/>
                                  <a:gd name="connsiteX4" fmla="*/ 0 w 248286"/>
                                  <a:gd name="connsiteY4" fmla="*/ 123825 h 247650"/>
                                  <a:gd name="connsiteX0" fmla="*/ 71439 w 248286"/>
                                  <a:gd name="connsiteY0" fmla="*/ 86792 h 247650"/>
                                  <a:gd name="connsiteX1" fmla="*/ 84371 w 248286"/>
                                  <a:gd name="connsiteY1" fmla="*/ 73894 h 247650"/>
                                  <a:gd name="connsiteX2" fmla="*/ 97303 w 248286"/>
                                  <a:gd name="connsiteY2" fmla="*/ 86792 h 247650"/>
                                  <a:gd name="connsiteX3" fmla="*/ 84371 w 248286"/>
                                  <a:gd name="connsiteY3" fmla="*/ 99690 h 247650"/>
                                  <a:gd name="connsiteX4" fmla="*/ 71439 w 248286"/>
                                  <a:gd name="connsiteY4" fmla="*/ 86792 h 247650"/>
                                  <a:gd name="connsiteX5" fmla="*/ 150983 w 248286"/>
                                  <a:gd name="connsiteY5" fmla="*/ 86792 h 247650"/>
                                  <a:gd name="connsiteX6" fmla="*/ 163915 w 248286"/>
                                  <a:gd name="connsiteY6" fmla="*/ 73894 h 247650"/>
                                  <a:gd name="connsiteX7" fmla="*/ 176847 w 248286"/>
                                  <a:gd name="connsiteY7" fmla="*/ 86792 h 247650"/>
                                  <a:gd name="connsiteX8" fmla="*/ 163915 w 248286"/>
                                  <a:gd name="connsiteY8" fmla="*/ 99690 h 247650"/>
                                  <a:gd name="connsiteX9" fmla="*/ 150983 w 248286"/>
                                  <a:gd name="connsiteY9" fmla="*/ 86792 h 247650"/>
                                  <a:gd name="connsiteX0" fmla="*/ 56856 w 248286"/>
                                  <a:gd name="connsiteY0" fmla="*/ 200872 h 247650"/>
                                  <a:gd name="connsiteX1" fmla="*/ 191271 w 248286"/>
                                  <a:gd name="connsiteY1" fmla="*/ 200872 h 247650"/>
                                  <a:gd name="connsiteX0" fmla="*/ 0 w 248286"/>
                                  <a:gd name="connsiteY0" fmla="*/ 123825 h 247650"/>
                                  <a:gd name="connsiteX1" fmla="*/ 124143 w 248286"/>
                                  <a:gd name="connsiteY1" fmla="*/ 0 h 247650"/>
                                  <a:gd name="connsiteX2" fmla="*/ 248286 w 248286"/>
                                  <a:gd name="connsiteY2" fmla="*/ 123825 h 247650"/>
                                  <a:gd name="connsiteX3" fmla="*/ 124143 w 248286"/>
                                  <a:gd name="connsiteY3" fmla="*/ 247650 h 247650"/>
                                  <a:gd name="connsiteX4" fmla="*/ 0 w 248286"/>
                                  <a:gd name="connsiteY4" fmla="*/ 123825 h 2476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8286" h="247650" stroke="0" extrusionOk="0">
                                    <a:moveTo>
                                      <a:pt x="0" y="123825"/>
                                    </a:moveTo>
                                    <a:cubicBezTo>
                                      <a:pt x="0" y="55438"/>
                                      <a:pt x="55581" y="0"/>
                                      <a:pt x="124143" y="0"/>
                                    </a:cubicBezTo>
                                    <a:cubicBezTo>
                                      <a:pt x="192705" y="0"/>
                                      <a:pt x="248286" y="55438"/>
                                      <a:pt x="248286" y="123825"/>
                                    </a:cubicBezTo>
                                    <a:cubicBezTo>
                                      <a:pt x="248286" y="192212"/>
                                      <a:pt x="192705" y="247650"/>
                                      <a:pt x="124143" y="247650"/>
                                    </a:cubicBezTo>
                                    <a:cubicBezTo>
                                      <a:pt x="55581" y="247650"/>
                                      <a:pt x="0" y="192212"/>
                                      <a:pt x="0" y="123825"/>
                                    </a:cubicBezTo>
                                    <a:close/>
                                  </a:path>
                                  <a:path w="248286" h="247650" fill="darkenLess" extrusionOk="0">
                                    <a:moveTo>
                                      <a:pt x="71439" y="86792"/>
                                    </a:moveTo>
                                    <a:cubicBezTo>
                                      <a:pt x="71439" y="79669"/>
                                      <a:pt x="77229" y="73894"/>
                                      <a:pt x="84371" y="73894"/>
                                    </a:cubicBezTo>
                                    <a:cubicBezTo>
                                      <a:pt x="91513" y="73894"/>
                                      <a:pt x="97303" y="79669"/>
                                      <a:pt x="97303" y="86792"/>
                                    </a:cubicBezTo>
                                    <a:cubicBezTo>
                                      <a:pt x="97303" y="93915"/>
                                      <a:pt x="91513" y="99690"/>
                                      <a:pt x="84371" y="99690"/>
                                    </a:cubicBezTo>
                                    <a:cubicBezTo>
                                      <a:pt x="77229" y="99690"/>
                                      <a:pt x="71439" y="93915"/>
                                      <a:pt x="71439" y="86792"/>
                                    </a:cubicBezTo>
                                    <a:moveTo>
                                      <a:pt x="150983" y="86792"/>
                                    </a:moveTo>
                                    <a:cubicBezTo>
                                      <a:pt x="150983" y="79669"/>
                                      <a:pt x="156773" y="73894"/>
                                      <a:pt x="163915" y="73894"/>
                                    </a:cubicBezTo>
                                    <a:cubicBezTo>
                                      <a:pt x="171057" y="73894"/>
                                      <a:pt x="176847" y="79669"/>
                                      <a:pt x="176847" y="86792"/>
                                    </a:cubicBezTo>
                                    <a:cubicBezTo>
                                      <a:pt x="176847" y="93915"/>
                                      <a:pt x="171057" y="99690"/>
                                      <a:pt x="163915" y="99690"/>
                                    </a:cubicBezTo>
                                    <a:cubicBezTo>
                                      <a:pt x="156773" y="99690"/>
                                      <a:pt x="150983" y="93915"/>
                                      <a:pt x="150983" y="86792"/>
                                    </a:cubicBezTo>
                                  </a:path>
                                  <a:path w="248286" h="247650" fill="none" extrusionOk="0">
                                    <a:moveTo>
                                      <a:pt x="56856" y="200872"/>
                                    </a:moveTo>
                                    <a:lnTo>
                                      <a:pt x="191271" y="200872"/>
                                    </a:lnTo>
                                  </a:path>
                                  <a:path w="248286" h="247650" fill="none">
                                    <a:moveTo>
                                      <a:pt x="0" y="123825"/>
                                    </a:moveTo>
                                    <a:cubicBezTo>
                                      <a:pt x="0" y="55438"/>
                                      <a:pt x="55581" y="0"/>
                                      <a:pt x="124143" y="0"/>
                                    </a:cubicBezTo>
                                    <a:cubicBezTo>
                                      <a:pt x="192705" y="0"/>
                                      <a:pt x="248286" y="55438"/>
                                      <a:pt x="248286" y="123825"/>
                                    </a:cubicBezTo>
                                    <a:cubicBezTo>
                                      <a:pt x="248286" y="192212"/>
                                      <a:pt x="192705" y="247650"/>
                                      <a:pt x="124143" y="247650"/>
                                    </a:cubicBezTo>
                                    <a:cubicBezTo>
                                      <a:pt x="55581" y="247650"/>
                                      <a:pt x="0" y="192212"/>
                                      <a:pt x="0" y="123825"/>
                                    </a:cubicBezTo>
                                    <a:close/>
                                  </a:path>
                                </a:pathLst>
                              </a:custGeom>
                              <a:solidFill>
                                <a:srgbClr val="FFFF00"/>
                              </a:solidFill>
                              <a:ln w="2540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2D3DD1" id="Smiley Face 2" o:spid="_x0000_s1026" style="position:absolute;margin-left:9.85pt;margin-top:3.85pt;width:19.55pt;height:19.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8286,247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" path="m,123825nsc,55438,55581,,124143,v68562,,124143,55438,124143,123825c248286,192212,192705,247650,124143,247650,55581,247650,,192212,,123825xem71439,86792v,-7123,5790,-12898,12932,-12898c91513,73894,97303,79669,97303,86792v,7123,-5790,12898,-12932,12898c77229,99690,71439,93915,71439,86792t79544,c150983,79669,156773,73894,163915,73894v7142,,12932,5775,12932,12898c176847,93915,171057,99690,163915,99690v-7142,,-12932,-5775,-12932,-12898em56856,200872nfl191271,200872em,123825nfc,55438,55581,,124143,v68562,,124143,55438,124143,123825c248286,192212,192705,247650,124143,247650,55581,247650,,192212,,123825xe" fillcolor="yellow" strokecolor="#ffc000" strokeweight="2pt">
                      <v:path arrowok="t" o:connecttype="custom" o:connectlocs="0,123825;124143,0;248285,123825;124143,247650;0,123825" o:connectangles="0,0,0,0,0"/>
                    </v:shape>
                  </w:pict>
                </mc:Fallback>
              </mc:AlternateContent>
            </w:r>
          </w:p>
        </w:tc>
        <w:tc>
          <w:tcPr>
            <w:tcW w:w="2268" w:type="dxa"/>
          </w:tcPr>
          <w:p w:rsidR="009E56E1" w:rsidRPr="005771BD" w:rsidRDefault="009E56E1" w:rsidP="009E56E1">
            <w:pPr>
              <w:spacing w:before="120" w:line="240" w:lineRule="auto"/>
              <w:rPr>
                <w:rFonts w:cs="Arial"/>
                <w:sz w:val="18"/>
                <w:szCs w:val="18"/>
                <w:lang w:val="sl-SI"/>
              </w:rPr>
            </w:pPr>
            <w:r w:rsidRPr="005771BD">
              <w:rPr>
                <w:rFonts w:cs="Arial"/>
                <w:sz w:val="18"/>
                <w:szCs w:val="18"/>
                <w:lang w:val="sl-SI"/>
              </w:rPr>
              <w:t>Delno na dobri poti doseganja ciljev</w:t>
            </w:r>
          </w:p>
        </w:tc>
        <w:tc>
          <w:tcPr>
            <w:tcW w:w="1465" w:type="dxa"/>
            <w:tcBorders>
              <w:top w:val="nil"/>
              <w:bottom w:val="nil"/>
            </w:tcBorders>
          </w:tcPr>
          <w:p w:rsidR="009E56E1" w:rsidRPr="005531CD" w:rsidRDefault="009E56E1" w:rsidP="009E56E1">
            <w:pPr>
              <w:spacing w:before="120" w:line="240" w:lineRule="auto"/>
              <w:rPr>
                <w:rFonts w:cs="Arial"/>
                <w:noProof/>
                <w:sz w:val="18"/>
                <w:szCs w:val="18"/>
                <w:lang w:val="sl-SI" w:eastAsia="en-GB"/>
              </w:rPr>
            </w:pPr>
          </w:p>
        </w:tc>
        <w:tc>
          <w:tcPr>
            <w:tcW w:w="1482" w:type="dxa"/>
            <w:shd w:val="clear" w:color="auto" w:fill="FFC000"/>
          </w:tcPr>
          <w:p w:rsidR="009E56E1" w:rsidRPr="005771BD" w:rsidRDefault="009E56E1" w:rsidP="009E56E1">
            <w:pPr>
              <w:spacing w:before="120" w:line="240" w:lineRule="auto"/>
              <w:rPr>
                <w:rFonts w:cs="Arial"/>
                <w:sz w:val="18"/>
                <w:szCs w:val="18"/>
                <w:lang w:val="sl-SI"/>
              </w:rPr>
            </w:pPr>
          </w:p>
        </w:tc>
        <w:tc>
          <w:tcPr>
            <w:tcW w:w="2156" w:type="dxa"/>
          </w:tcPr>
          <w:p w:rsidR="009E56E1" w:rsidRPr="005771BD" w:rsidRDefault="009E56E1" w:rsidP="009E56E1">
            <w:pPr>
              <w:spacing w:before="120" w:line="240" w:lineRule="auto"/>
              <w:rPr>
                <w:rFonts w:cs="Arial"/>
                <w:sz w:val="18"/>
                <w:szCs w:val="18"/>
                <w:lang w:val="sl-SI"/>
              </w:rPr>
            </w:pPr>
            <w:r w:rsidRPr="005771BD">
              <w:rPr>
                <w:rFonts w:cs="Arial"/>
                <w:sz w:val="18"/>
                <w:szCs w:val="18"/>
                <w:lang w:val="sl-SI"/>
              </w:rPr>
              <w:t xml:space="preserve">Mešana slika </w:t>
            </w:r>
          </w:p>
        </w:tc>
      </w:tr>
      <w:tr w:rsidR="009E56E1" w:rsidRPr="005771BD" w:rsidTr="009E56E1">
        <w:tc>
          <w:tcPr>
            <w:tcW w:w="993" w:type="dxa"/>
            <w:shd w:val="clear" w:color="auto" w:fill="auto"/>
          </w:tcPr>
          <w:p w:rsidR="009E56E1" w:rsidRPr="005771BD" w:rsidRDefault="009E56E1" w:rsidP="009E56E1">
            <w:pPr>
              <w:spacing w:before="120" w:line="240" w:lineRule="auto"/>
              <w:rPr>
                <w:rFonts w:cs="Arial"/>
                <w:sz w:val="18"/>
                <w:szCs w:val="18"/>
                <w:lang w:val="sl-SI"/>
              </w:rPr>
            </w:pPr>
            <w:r w:rsidRPr="007F272F">
              <w:rPr>
                <w:rFonts w:cs="Arial"/>
                <w:noProof/>
                <w:sz w:val="18"/>
                <w:szCs w:val="18"/>
                <w:lang w:val="sl-SI" w:eastAsia="sl-SI"/>
              </w:rPr>
              <mc:AlternateContent>
                <mc:Choice Requires="wps">
                  <w:drawing>
                    <wp:anchor distT="0" distB="0" distL="114300" distR="114300" simplePos="0" relativeHeight="251691008" behindDoc="0" locked="0" layoutInCell="1" allowOverlap="1" wp14:anchorId="235CD05E" wp14:editId="3AB26709">
                      <wp:simplePos x="0" y="0"/>
                      <wp:positionH relativeFrom="column">
                        <wp:posOffset>121920</wp:posOffset>
                      </wp:positionH>
                      <wp:positionV relativeFrom="paragraph">
                        <wp:posOffset>50800</wp:posOffset>
                      </wp:positionV>
                      <wp:extent cx="248285" cy="247650"/>
                      <wp:effectExtent l="0" t="0" r="18415" b="19050"/>
                      <wp:wrapNone/>
                      <wp:docPr id="223" name="Smiley Face 2"/>
                      <wp:cNvGraphicFramePr/>
                      <a:graphic xmlns:a="http://schemas.openxmlformats.org/drawingml/2006/main">
                        <a:graphicData uri="http://schemas.microsoft.com/office/word/2010/wordprocessingShape">
                          <wps:wsp>
                            <wps:cNvSpPr/>
                            <wps:spPr>
                              <a:xfrm>
                                <a:off x="0" y="0"/>
                                <a:ext cx="248285" cy="247650"/>
                              </a:xfrm>
                              <a:prstGeom prst="smileyFace">
                                <a:avLst>
                                  <a:gd name="adj" fmla="val -4653"/>
                                </a:avLst>
                              </a:prstGeom>
                              <a:solidFill>
                                <a:srgbClr val="C0504D">
                                  <a:lumMod val="40000"/>
                                  <a:lumOff val="60000"/>
                                </a:srgbClr>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468C7E" id="Smiley Face 2" o:spid="_x0000_s1026" type="#_x0000_t96" style="position:absolute;margin-left:9.6pt;margin-top:4pt;width:19.55pt;height:1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" adj="15510" fillcolor="#e6b9b8" strokecolor="red" strokeweight="2pt"/>
                  </w:pict>
                </mc:Fallback>
              </mc:AlternateContent>
            </w:r>
          </w:p>
        </w:tc>
        <w:tc>
          <w:tcPr>
            <w:tcW w:w="2268" w:type="dxa"/>
          </w:tcPr>
          <w:p w:rsidR="009E56E1" w:rsidRPr="005771BD" w:rsidRDefault="009E56E1" w:rsidP="009E56E1">
            <w:pPr>
              <w:spacing w:before="120" w:line="240" w:lineRule="auto"/>
              <w:rPr>
                <w:rFonts w:cs="Arial"/>
                <w:sz w:val="18"/>
                <w:szCs w:val="18"/>
                <w:lang w:val="sl-SI"/>
              </w:rPr>
            </w:pPr>
            <w:r w:rsidRPr="005771BD">
              <w:rPr>
                <w:rFonts w:cs="Arial"/>
                <w:sz w:val="18"/>
                <w:szCs w:val="18"/>
                <w:lang w:val="sl-SI"/>
              </w:rPr>
              <w:t>Večinoma ne na dobri poti doseganja ciljev</w:t>
            </w:r>
          </w:p>
        </w:tc>
        <w:tc>
          <w:tcPr>
            <w:tcW w:w="1465" w:type="dxa"/>
            <w:tcBorders>
              <w:top w:val="nil"/>
              <w:bottom w:val="nil"/>
            </w:tcBorders>
          </w:tcPr>
          <w:p w:rsidR="009E56E1" w:rsidRPr="005531CD" w:rsidRDefault="009E56E1" w:rsidP="009E56E1">
            <w:pPr>
              <w:spacing w:before="120" w:line="240" w:lineRule="auto"/>
              <w:rPr>
                <w:rFonts w:cs="Arial"/>
                <w:noProof/>
                <w:sz w:val="18"/>
                <w:szCs w:val="18"/>
                <w:lang w:val="sl-SI" w:eastAsia="en-GB"/>
              </w:rPr>
            </w:pPr>
          </w:p>
        </w:tc>
        <w:tc>
          <w:tcPr>
            <w:tcW w:w="1482" w:type="dxa"/>
            <w:shd w:val="clear" w:color="auto" w:fill="FF0000"/>
          </w:tcPr>
          <w:p w:rsidR="009E56E1" w:rsidRPr="005771BD" w:rsidRDefault="009E56E1" w:rsidP="009E56E1">
            <w:pPr>
              <w:spacing w:before="120" w:line="240" w:lineRule="auto"/>
              <w:rPr>
                <w:rFonts w:cs="Arial"/>
                <w:sz w:val="18"/>
                <w:szCs w:val="18"/>
                <w:lang w:val="sl-SI"/>
              </w:rPr>
            </w:pPr>
          </w:p>
        </w:tc>
        <w:tc>
          <w:tcPr>
            <w:tcW w:w="2156" w:type="dxa"/>
          </w:tcPr>
          <w:p w:rsidR="009E56E1" w:rsidRPr="005771BD" w:rsidRDefault="009E56E1" w:rsidP="009E56E1">
            <w:pPr>
              <w:spacing w:before="120" w:line="240" w:lineRule="auto"/>
              <w:rPr>
                <w:rFonts w:cs="Arial"/>
                <w:sz w:val="18"/>
                <w:szCs w:val="18"/>
                <w:lang w:val="sl-SI"/>
              </w:rPr>
            </w:pPr>
            <w:r w:rsidRPr="005771BD">
              <w:rPr>
                <w:rFonts w:cs="Arial"/>
                <w:sz w:val="18"/>
                <w:szCs w:val="18"/>
                <w:lang w:val="sl-SI"/>
              </w:rPr>
              <w:t>Prevladuje trend/napoved slabšanja stanja</w:t>
            </w:r>
          </w:p>
        </w:tc>
      </w:tr>
      <w:tr w:rsidR="009E56E1" w:rsidRPr="005771BD" w:rsidTr="009E56E1">
        <w:tc>
          <w:tcPr>
            <w:tcW w:w="993" w:type="dxa"/>
            <w:shd w:val="clear" w:color="auto" w:fill="auto"/>
          </w:tcPr>
          <w:p w:rsidR="009E56E1" w:rsidRPr="005771BD" w:rsidRDefault="009E56E1" w:rsidP="009E56E1">
            <w:pPr>
              <w:spacing w:before="120" w:line="240" w:lineRule="auto"/>
              <w:jc w:val="center"/>
              <w:rPr>
                <w:rFonts w:cs="Arial"/>
                <w:sz w:val="18"/>
                <w:szCs w:val="18"/>
                <w:lang w:val="sl-SI"/>
              </w:rPr>
            </w:pPr>
            <w:r w:rsidRPr="005771BD">
              <w:rPr>
                <w:rFonts w:cs="Arial"/>
                <w:sz w:val="18"/>
                <w:szCs w:val="18"/>
                <w:lang w:val="sl-SI"/>
              </w:rPr>
              <w:t>-</w:t>
            </w:r>
          </w:p>
        </w:tc>
        <w:tc>
          <w:tcPr>
            <w:tcW w:w="2268" w:type="dxa"/>
          </w:tcPr>
          <w:p w:rsidR="009E56E1" w:rsidRPr="005771BD" w:rsidRDefault="009E56E1" w:rsidP="009E56E1">
            <w:pPr>
              <w:spacing w:before="120" w:line="240" w:lineRule="auto"/>
              <w:rPr>
                <w:rFonts w:cs="Arial"/>
                <w:sz w:val="18"/>
                <w:szCs w:val="18"/>
                <w:lang w:val="sl-SI"/>
              </w:rPr>
            </w:pPr>
            <w:r w:rsidRPr="005771BD">
              <w:rPr>
                <w:rFonts w:cs="Arial"/>
                <w:sz w:val="18"/>
                <w:szCs w:val="18"/>
                <w:lang w:val="sl-SI"/>
              </w:rPr>
              <w:t>Ni cilja</w:t>
            </w:r>
          </w:p>
        </w:tc>
        <w:tc>
          <w:tcPr>
            <w:tcW w:w="1465" w:type="dxa"/>
            <w:tcBorders>
              <w:top w:val="nil"/>
              <w:bottom w:val="nil"/>
            </w:tcBorders>
          </w:tcPr>
          <w:p w:rsidR="009E56E1" w:rsidRPr="005771BD" w:rsidRDefault="009E56E1" w:rsidP="009E56E1">
            <w:pPr>
              <w:spacing w:before="120" w:line="240" w:lineRule="auto"/>
              <w:rPr>
                <w:rFonts w:cs="Arial"/>
                <w:sz w:val="18"/>
                <w:szCs w:val="18"/>
                <w:lang w:val="sl-SI"/>
              </w:rPr>
            </w:pPr>
          </w:p>
        </w:tc>
        <w:tc>
          <w:tcPr>
            <w:tcW w:w="1482" w:type="dxa"/>
          </w:tcPr>
          <w:p w:rsidR="009E56E1" w:rsidRPr="005771BD" w:rsidRDefault="009E56E1" w:rsidP="009E56E1">
            <w:pPr>
              <w:spacing w:before="120" w:line="240" w:lineRule="auto"/>
              <w:rPr>
                <w:rFonts w:cs="Arial"/>
                <w:sz w:val="18"/>
                <w:szCs w:val="18"/>
                <w:lang w:val="sl-SI"/>
              </w:rPr>
            </w:pPr>
            <w:r w:rsidRPr="005771BD">
              <w:rPr>
                <w:rFonts w:cs="Arial"/>
                <w:sz w:val="18"/>
                <w:szCs w:val="18"/>
                <w:lang w:val="sl-SI"/>
              </w:rPr>
              <w:t>-</w:t>
            </w:r>
          </w:p>
        </w:tc>
        <w:tc>
          <w:tcPr>
            <w:tcW w:w="2156" w:type="dxa"/>
          </w:tcPr>
          <w:p w:rsidR="009E56E1" w:rsidRPr="005771BD" w:rsidRDefault="009E56E1" w:rsidP="009E56E1">
            <w:pPr>
              <w:spacing w:before="120" w:line="240" w:lineRule="auto"/>
              <w:rPr>
                <w:rFonts w:cs="Arial"/>
                <w:sz w:val="18"/>
                <w:szCs w:val="18"/>
                <w:lang w:val="sl-SI"/>
              </w:rPr>
            </w:pPr>
            <w:r w:rsidRPr="005771BD">
              <w:rPr>
                <w:rFonts w:cs="Arial"/>
                <w:sz w:val="18"/>
                <w:szCs w:val="18"/>
                <w:lang w:val="sl-SI"/>
              </w:rPr>
              <w:t>Ocena trenda/napovedi ni mogoča</w:t>
            </w:r>
          </w:p>
        </w:tc>
      </w:tr>
    </w:tbl>
    <w:p w:rsidR="00C90D7B" w:rsidRPr="005771BD" w:rsidRDefault="009E56E1" w:rsidP="00C90D7B">
      <w:pPr>
        <w:spacing w:after="200" w:line="276" w:lineRule="auto"/>
        <w:jc w:val="both"/>
        <w:rPr>
          <w:rFonts w:eastAsia="Calibri" w:cs="Arial"/>
          <w:szCs w:val="20"/>
          <w:u w:val="single"/>
          <w:lang w:val="sl-SI"/>
        </w:rPr>
      </w:pPr>
      <w:r w:rsidRPr="005771BD">
        <w:rPr>
          <w:rFonts w:eastAsia="Calibri" w:cs="Arial"/>
          <w:b/>
          <w:sz w:val="22"/>
          <w:szCs w:val="22"/>
          <w:lang w:val="sl-SI"/>
        </w:rPr>
        <w:br w:type="column"/>
      </w:r>
      <w:r w:rsidR="0077619C">
        <w:rPr>
          <w:rFonts w:eastAsia="Calibri" w:cs="Arial"/>
          <w:b/>
          <w:sz w:val="22"/>
          <w:szCs w:val="22"/>
          <w:lang w:val="sl-SI"/>
        </w:rPr>
        <w:t>3</w:t>
      </w:r>
      <w:r w:rsidR="00C90D7B" w:rsidRPr="005771BD">
        <w:rPr>
          <w:rFonts w:eastAsia="Calibri" w:cs="Arial"/>
          <w:b/>
          <w:sz w:val="22"/>
          <w:szCs w:val="22"/>
          <w:lang w:val="sl-SI"/>
        </w:rPr>
        <w:t xml:space="preserve"> STANJE OKOLJA V EVROPSKEM IN SVETOVNEM MERILU  </w:t>
      </w:r>
    </w:p>
    <w:p w:rsidR="00C90D7B" w:rsidRPr="005771BD" w:rsidRDefault="00C90D7B" w:rsidP="00C90D7B">
      <w:pPr>
        <w:spacing w:line="276" w:lineRule="auto"/>
        <w:jc w:val="both"/>
        <w:rPr>
          <w:rFonts w:eastAsia="Calibri" w:cs="Arial"/>
          <w:szCs w:val="20"/>
          <w:u w:val="single"/>
          <w:lang w:val="sl-SI"/>
        </w:rPr>
      </w:pPr>
    </w:p>
    <w:p w:rsidR="00C90D7B" w:rsidRPr="00786EDB" w:rsidRDefault="00786EDB" w:rsidP="00C90D7B">
      <w:pPr>
        <w:spacing w:after="200" w:line="276" w:lineRule="auto"/>
        <w:jc w:val="both"/>
        <w:rPr>
          <w:rFonts w:eastAsia="Calibri" w:cs="Arial"/>
          <w:b/>
          <w:szCs w:val="20"/>
          <w:u w:val="single"/>
          <w:lang w:val="sl-SI"/>
        </w:rPr>
      </w:pPr>
      <w:r w:rsidRPr="00786EDB">
        <w:rPr>
          <w:rFonts w:eastAsia="Calibri" w:cs="Arial"/>
          <w:b/>
          <w:szCs w:val="20"/>
          <w:u w:val="single"/>
          <w:lang w:val="sl-SI"/>
        </w:rPr>
        <w:t>3</w:t>
      </w:r>
      <w:r w:rsidR="00C90D7B" w:rsidRPr="00786EDB">
        <w:rPr>
          <w:rFonts w:eastAsia="Calibri" w:cs="Arial"/>
          <w:b/>
          <w:szCs w:val="20"/>
          <w:u w:val="single"/>
          <w:lang w:val="sl-SI"/>
        </w:rPr>
        <w:t>.1 Uvod</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 xml:space="preserve">V tem poglavju povzemamo ugotovitve iz strnjenega poročila: Evropsko okolje, stanje in napovedi 2015, ki se nanašajo na stanje okolja in okoljske trende ter trende razvoja v družbi, za katere ocenjujemo, da bodo v prihodnje vplivali tudi na stanje okolja in življenje vseh nas.    </w:t>
      </w:r>
    </w:p>
    <w:p w:rsidR="00C90D7B" w:rsidRPr="005771BD" w:rsidRDefault="00C90D7B" w:rsidP="00C90D7B">
      <w:pPr>
        <w:spacing w:line="276" w:lineRule="auto"/>
        <w:jc w:val="both"/>
        <w:rPr>
          <w:rFonts w:eastAsia="Calibri" w:cs="Arial"/>
          <w:szCs w:val="20"/>
          <w:lang w:val="sl-SI"/>
        </w:rPr>
      </w:pPr>
      <w:r w:rsidRPr="005771BD">
        <w:rPr>
          <w:rFonts w:eastAsia="Calibri" w:cs="Arial"/>
          <w:szCs w:val="20"/>
          <w:lang w:val="sl-SI"/>
        </w:rPr>
        <w:t>V Evropski uniji (EU) imamo vizijo, da bomo leta 2050 »dobro živeli ob upoštevanju omejitev našega planeta”</w:t>
      </w:r>
      <w:r w:rsidRPr="005771BD">
        <w:rPr>
          <w:rFonts w:eastAsia="Calibri" w:cs="Arial"/>
          <w:szCs w:val="20"/>
          <w:vertAlign w:val="superscript"/>
          <w:lang w:val="sl-SI"/>
        </w:rPr>
        <w:footnoteReference w:id="1"/>
      </w:r>
      <w:r w:rsidRPr="005771BD">
        <w:rPr>
          <w:rFonts w:eastAsia="Calibri" w:cs="Arial"/>
          <w:szCs w:val="20"/>
          <w:lang w:val="sl-SI"/>
        </w:rPr>
        <w:t xml:space="preserve">. Ta vizija je povezana z zavedanjem, da sta gospodarska uspešnost in blaginja v Evropi neločljivo povezani z njenim okoljem — od rodovitnih tal do čistega zraka in vode, in bo zato njena uresničitev zahtevala ukrepanje na treh ključnih področjih:  </w:t>
      </w:r>
    </w:p>
    <w:p w:rsidR="00C90D7B" w:rsidRPr="005771BD" w:rsidRDefault="00C90D7B" w:rsidP="00C90D7B">
      <w:pPr>
        <w:numPr>
          <w:ilvl w:val="0"/>
          <w:numId w:val="1"/>
        </w:numPr>
        <w:spacing w:before="60" w:line="276" w:lineRule="auto"/>
        <w:ind w:left="284" w:hanging="284"/>
        <w:jc w:val="both"/>
        <w:rPr>
          <w:rFonts w:eastAsia="Calibri" w:cs="Arial"/>
          <w:szCs w:val="20"/>
          <w:lang w:val="sl-SI"/>
        </w:rPr>
      </w:pPr>
      <w:r w:rsidRPr="005771BD">
        <w:rPr>
          <w:rFonts w:eastAsia="Calibri" w:cs="Arial"/>
          <w:szCs w:val="20"/>
          <w:lang w:val="sl-SI"/>
        </w:rPr>
        <w:t>varstvo naravnega kapitala, ki je temelj gospodarske uspešnosti in blaginje ljudi,</w:t>
      </w:r>
    </w:p>
    <w:p w:rsidR="00C90D7B" w:rsidRPr="005771BD" w:rsidRDefault="00C90D7B" w:rsidP="00C90D7B">
      <w:pPr>
        <w:numPr>
          <w:ilvl w:val="0"/>
          <w:numId w:val="1"/>
        </w:numPr>
        <w:spacing w:before="60" w:line="276" w:lineRule="auto"/>
        <w:ind w:left="284" w:hanging="284"/>
        <w:jc w:val="both"/>
        <w:rPr>
          <w:rFonts w:eastAsia="Calibri" w:cs="Arial"/>
          <w:szCs w:val="20"/>
          <w:lang w:val="sl-SI"/>
        </w:rPr>
      </w:pPr>
      <w:r w:rsidRPr="005771BD">
        <w:rPr>
          <w:rFonts w:eastAsia="Calibri" w:cs="Arial"/>
          <w:szCs w:val="20"/>
          <w:lang w:val="sl-SI"/>
        </w:rPr>
        <w:t>spodbujanje nizkoogljičnega, z viri gospodarnega gospodarskega in družbenega razvoja,</w:t>
      </w:r>
    </w:p>
    <w:p w:rsidR="00C90D7B" w:rsidRPr="005771BD" w:rsidRDefault="00C90D7B" w:rsidP="00C90D7B">
      <w:pPr>
        <w:numPr>
          <w:ilvl w:val="0"/>
          <w:numId w:val="1"/>
        </w:numPr>
        <w:spacing w:before="60" w:line="276" w:lineRule="auto"/>
        <w:ind w:left="284" w:hanging="284"/>
        <w:jc w:val="both"/>
        <w:rPr>
          <w:rFonts w:eastAsia="Calibri" w:cs="Arial"/>
          <w:szCs w:val="20"/>
          <w:lang w:val="sl-SI"/>
        </w:rPr>
      </w:pPr>
      <w:r w:rsidRPr="005771BD">
        <w:rPr>
          <w:rFonts w:eastAsia="Calibri" w:cs="Arial"/>
          <w:szCs w:val="20"/>
          <w:lang w:val="sl-SI"/>
        </w:rPr>
        <w:t xml:space="preserve">varstvo zdravja ljudi pred škodljivimi vplivi, ki so posledica stanja okolja. </w:t>
      </w:r>
    </w:p>
    <w:p w:rsidR="00C90D7B" w:rsidRPr="005771BD" w:rsidRDefault="00C90D7B" w:rsidP="00C90D7B">
      <w:pPr>
        <w:spacing w:after="200" w:line="276" w:lineRule="auto"/>
        <w:jc w:val="both"/>
        <w:rPr>
          <w:rFonts w:eastAsia="Calibri" w:cs="Arial"/>
          <w:szCs w:val="20"/>
          <w:lang w:val="sl-SI"/>
        </w:rPr>
      </w:pPr>
    </w:p>
    <w:p w:rsidR="00C90D7B" w:rsidRPr="005771BD" w:rsidRDefault="00786EDB" w:rsidP="00C90D7B">
      <w:pPr>
        <w:spacing w:after="200" w:line="276" w:lineRule="auto"/>
        <w:jc w:val="both"/>
        <w:rPr>
          <w:rFonts w:eastAsia="Calibri" w:cs="Arial"/>
          <w:b/>
          <w:szCs w:val="20"/>
          <w:u w:val="single"/>
          <w:lang w:val="sl-SI"/>
        </w:rPr>
      </w:pPr>
      <w:r>
        <w:rPr>
          <w:rFonts w:eastAsia="Calibri" w:cs="Arial"/>
          <w:b/>
          <w:szCs w:val="20"/>
          <w:u w:val="single"/>
          <w:lang w:val="sl-SI"/>
        </w:rPr>
        <w:t>3</w:t>
      </w:r>
      <w:r w:rsidR="00C90D7B" w:rsidRPr="005771BD">
        <w:rPr>
          <w:rFonts w:eastAsia="Calibri" w:cs="Arial"/>
          <w:b/>
          <w:szCs w:val="20"/>
          <w:u w:val="single"/>
          <w:lang w:val="sl-SI"/>
        </w:rPr>
        <w:t>.2 Stanje in trendi okolja v EU</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V zadnjih nekaj desetletjih je bil v EU sprejete veliko različne okoljske zakonodaje, za katero lahko danes trdimo, da je najizčrpnejši sodobni sklop standardov na svetu. V tem obdobju se je raven varstva okolja v večini delov Evrope dokazljivo izboljšala. Te izboljšave so pretežno plod celovite okoljske zakonodaje, vzpostavljene v različnih evropskih državah. So podlaga za veliko neposrednih okoljskih, gospodarskih in družbenih koristi, pa tudi marsikatero posredno. Zaradi okoljskih politik je bil dosežen napredek pri vzpostavljanju trajnostnega zelenega gospodarstva. Poleg tega vključevanje okoljskih ciljev v sektorske politike, kakršne so kmetijska, prometna in energetska, zagotavlja finančne spodbude za varstvo okolja.</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Na zgoraj navedenih treh ključnih področjih so se zaradi okoljske politike razmere v mnogočem sicer izboljšale, vendar je na vsakem od teh področij še vedno precej izzivov. Naravnega kapitala v Evropi še ne varujemo, ohranjamo in krepimo v skladu z nameni, izraženimi v 7. okoljskem akcijskem programu EU. Zaradi zmanjšanega onesnaževanja se je precej izboljšala kakovost zraka in vode v Evropi. Še naprej pa veliko zaskrbljenost vzbujajo slabitev funkcij tal, degradacija zemljišč in podnebne spremembe, ki ogrožajo pretok naravnih dobrin in storitev, na katerih temeljita gospodarska proizvodnja in blaginja v Evropi.</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Velik delež zavarovanih vrst (60 %) in habitatnih tipov (77 %) je v nezavidljivem stanju ohranjenosti. Evropa ne izpolnjuje splošnega cilja, po katerem naj bi do leta 2020 ustavila upadanje biotske raznovrstnosti, čeprav dosega nekatere ožje opredeljene cilje. V prihodnje naj bi se vplivi podnebnih sprememb še okrepili, glavni vzroki za upadanja biotske raznovrstnosti pa najverjetneje ne bodo odpravljeni.</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Glede učinkovite rabe virov in nizkoogljične družbe so kratkoročni trendi obetavnejši. Izpusti toplogrednih plinov so se v Evropi od leta 1990 zmanjšali za 19 %, čeprav se je gospodarska proizvodnja povečala za 45 %. Drug</w:t>
      </w:r>
      <w:r>
        <w:rPr>
          <w:rFonts w:eastAsia="Calibri" w:cs="Arial"/>
          <w:szCs w:val="20"/>
          <w:lang w:val="sl-SI"/>
        </w:rPr>
        <w:t>e okoljske obremenitve</w:t>
      </w:r>
      <w:r w:rsidRPr="005771BD">
        <w:rPr>
          <w:rFonts w:eastAsia="Calibri" w:cs="Arial"/>
          <w:szCs w:val="20"/>
          <w:lang w:val="sl-SI"/>
        </w:rPr>
        <w:t xml:space="preserve"> v absolutnem pomenu prav tako niso več povezan</w:t>
      </w:r>
      <w:r>
        <w:rPr>
          <w:rFonts w:eastAsia="Calibri" w:cs="Arial"/>
          <w:szCs w:val="20"/>
          <w:lang w:val="sl-SI"/>
        </w:rPr>
        <w:t>e</w:t>
      </w:r>
      <w:r w:rsidRPr="005771BD">
        <w:rPr>
          <w:rFonts w:eastAsia="Calibri" w:cs="Arial"/>
          <w:szCs w:val="20"/>
          <w:lang w:val="sl-SI"/>
        </w:rPr>
        <w:t xml:space="preserve"> z gospodarsko rastjo. Poraba fosilnih goriv se je zmanjšala, enako velja za izpuste nekaterih onesnaževal iz prometa in industrije. Novejši trendi kažejo, da se je skupna raba virov v EU od leta 2007 zmanjšala za 19 %, nastaja manj odpadkov, stopnja recikliranja pa se je zvišala v skoraj vseh državah.</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 xml:space="preserve">Medtem ko izvajanje politik dosega predvidene učinke, so se nekateri pritiski na okolje ublažili tudi zaradi finančne krize leta 2008 in nato gospodarske recesije; pokazalo se bo, ali bodo vse izboljšave trajne. Poleg tega je sedanja okoljska politika morda premalo smelo zastavljena, da bi omogočila izpolnitev dolgoročnih okoljskih ciljev Evrope. </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Nekateri znaki nakazujejo, da se naša gospodarstva približujejo mejam zmogljivosti okolja, v katero so umeščena, ter da že čutimo nekatere učinke materialnih in okoljskih omejitev. Na to kažejo vse hujše posledice ekstremnih vremenskih pojavov in podnebnih sprememb, pa tudi pomanjkanje vode, suše, uničevanje habitatov, upadanje biotske raznovrstnosti in slabšanje kakovosti tal.</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 xml:space="preserve">Pritiski na okolje, povezani s sedanjimi vzorci potrošnje in proizvodnje, nedvomno in vse bolj vplivajo na naše gospodarstvo in blaginjo. Po nekaterih ocenah, na primer, stroški škode, ki jo zdravju in okolju povzročajo onesnaževala zraka iz evropskih industrijskih obratov, presegajo 100 milijard EUR na leto </w:t>
      </w:r>
      <w:r w:rsidRPr="007F272F">
        <w:rPr>
          <w:rFonts w:eastAsia="Calibri" w:cs="Arial"/>
          <w:szCs w:val="20"/>
          <w:lang w:val="sl-SI"/>
        </w:rPr>
        <w:fldChar w:fldCharType="begin"/>
      </w:r>
      <w:r w:rsidRPr="005771BD">
        <w:rPr>
          <w:rFonts w:eastAsia="Calibri" w:cs="Arial"/>
          <w:szCs w:val="20"/>
          <w:lang w:val="sl-SI"/>
        </w:rPr>
        <w:instrText xml:space="preserve"> ADDIN ZOTERO_ITEM CSL_CITATION {"citationID":"DSs07AaG","properties":{"formattedCitation":"(EEA, 2014t)","plainCitation":"(EEA, 2014t)"},"citationItems":[{"id":4385,"uris":["http://zotero.org/groups/122386/items/NGDJKJVU"],"uri":["http://zotero.org/groups/122386/items/NGDJKJVU"],"itemData":{"id":4385,"type":"report","title":"Revealing the costs of air pollution from industrial facilities in Europe – an updated assessment","publisher":"European Environment Agency","publisher-place":"Copenhagen, Denmark","genre":"EEA Technical Report No xx/2014 (in print)","event-place":"Copenhagen, Denmark","author":[{"family":"EEA","given":""}],"issued":{"date-parts":[["2014"]]}}}],"schema":"https://github.com/citation-style-language/schema/raw/master/csl-citation.json"} </w:instrText>
      </w:r>
      <w:r w:rsidRPr="007F272F">
        <w:rPr>
          <w:rFonts w:eastAsia="Calibri" w:cs="Arial"/>
          <w:szCs w:val="20"/>
          <w:lang w:val="sl-SI"/>
        </w:rPr>
        <w:fldChar w:fldCharType="separate"/>
      </w:r>
      <w:r w:rsidRPr="005771BD">
        <w:rPr>
          <w:rFonts w:eastAsia="Calibri" w:cs="Arial"/>
          <w:szCs w:val="20"/>
          <w:lang w:val="sl-SI"/>
        </w:rPr>
        <w:t>(EEA, 2014t)</w:t>
      </w:r>
      <w:r w:rsidRPr="007F272F">
        <w:rPr>
          <w:rFonts w:eastAsia="Calibri" w:cs="Arial"/>
          <w:szCs w:val="20"/>
          <w:lang w:val="sl-SI"/>
        </w:rPr>
        <w:fldChar w:fldCharType="end"/>
      </w:r>
      <w:r w:rsidRPr="005771BD">
        <w:rPr>
          <w:rFonts w:eastAsia="Calibri" w:cs="Arial"/>
          <w:szCs w:val="20"/>
          <w:lang w:val="sl-SI"/>
        </w:rPr>
        <w:t>. Ti stroški pa niso le gospodarski, izraženi so tudi v krajši pričakovani življenjski dobi evropskih državljanov.</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Kar zadeva škodljive vplive okolja na zdravje, se je kakovost pitne vode in kopalnih voda v zadnjih desetletjih bistveno izboljšala, manj pa je tudi nekaterih nevarnih onesnaževal. Kljub boljši kakovosti zraka pa njegova onesnaženost in obremenitev s hrupom še naprej pomembno vplivata na zdravje ljudi, zlasti na mestnih območjih. Leta 2011 naj bi drobni trdni delci (PM</w:t>
      </w:r>
      <w:r w:rsidRPr="005771BD">
        <w:rPr>
          <w:rFonts w:eastAsia="Calibri" w:cs="Arial"/>
          <w:szCs w:val="20"/>
          <w:vertAlign w:val="subscript"/>
          <w:lang w:val="sl-SI"/>
        </w:rPr>
        <w:t>25</w:t>
      </w:r>
      <w:r w:rsidRPr="005771BD">
        <w:rPr>
          <w:rFonts w:eastAsia="Calibri" w:cs="Arial"/>
          <w:szCs w:val="20"/>
          <w:lang w:val="sl-SI"/>
        </w:rPr>
        <w:t>) povzročili približno 430.000 prezgodnjih smrti v EU. Izpostavljenost hrupu iz okolja naj bi vsako leto prispevala k vsaj 10.000 prezgodnjim smrtim zaradi koronarne bolezni srca in možganske kapi. Čedalje večjo uporabo kemikalij, še zlasti v potrošniških izdelkih, pa povezujejo z opaženim večjim številom endokrinih bolezni in motenj.</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 xml:space="preserve">Napovedi glede okoljskih tveganj za zdravje ljudi v prihodnjih desetletjih so negotove, vendar na nekaterih področjih povzročajo zaskrbljenost. Tako naj na primer napovedano izboljšanje kakovosti zraka ne bi zadoščalo, da bi se preprečili nadaljnji škodljivi vplivi onesnaženega zraka na zdravje ljudi in okolje, vpliv podnebnih sprememb na zdravje ljudi </w:t>
      </w:r>
      <w:r>
        <w:rPr>
          <w:rFonts w:eastAsia="Calibri" w:cs="Arial"/>
          <w:szCs w:val="20"/>
          <w:lang w:val="sl-SI"/>
        </w:rPr>
        <w:t xml:space="preserve">se bo </w:t>
      </w:r>
      <w:r w:rsidRPr="005771BD">
        <w:rPr>
          <w:rFonts w:eastAsia="Calibri" w:cs="Arial"/>
          <w:szCs w:val="20"/>
          <w:lang w:val="sl-SI"/>
        </w:rPr>
        <w:t>poslabšal.</w:t>
      </w:r>
    </w:p>
    <w:p w:rsidR="00C90D7B" w:rsidRPr="005771BD" w:rsidRDefault="00C90D7B" w:rsidP="00C90D7B">
      <w:pPr>
        <w:spacing w:line="276" w:lineRule="auto"/>
        <w:jc w:val="both"/>
        <w:rPr>
          <w:rFonts w:eastAsia="Calibri" w:cs="Arial"/>
          <w:szCs w:val="20"/>
          <w:lang w:val="sl-SI"/>
        </w:rPr>
      </w:pPr>
    </w:p>
    <w:p w:rsidR="00C90D7B" w:rsidRPr="005771BD" w:rsidRDefault="00786EDB" w:rsidP="00C90D7B">
      <w:pPr>
        <w:spacing w:after="200" w:line="276" w:lineRule="auto"/>
        <w:jc w:val="both"/>
        <w:rPr>
          <w:rFonts w:eastAsia="Calibri" w:cs="Arial"/>
          <w:b/>
          <w:szCs w:val="20"/>
          <w:u w:val="single"/>
          <w:lang w:val="sl-SI"/>
        </w:rPr>
      </w:pPr>
      <w:r>
        <w:rPr>
          <w:rFonts w:eastAsia="Calibri" w:cs="Arial"/>
          <w:b/>
          <w:szCs w:val="20"/>
          <w:u w:val="single"/>
          <w:lang w:val="sl-SI"/>
        </w:rPr>
        <w:t>3</w:t>
      </w:r>
      <w:r w:rsidR="00C90D7B" w:rsidRPr="005771BD">
        <w:rPr>
          <w:rFonts w:eastAsia="Calibri" w:cs="Arial"/>
          <w:b/>
          <w:szCs w:val="20"/>
          <w:u w:val="single"/>
          <w:lang w:val="sl-SI"/>
        </w:rPr>
        <w:t xml:space="preserve">.3 Prihodnji okoljski izzivi so kompleksni in sistemski  </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Pregled treh zgoraj omenjenih prednostnih področij 7. okoljskega akcijskega programa EU kaže, da je Evropi sicer uspelo zmanjšati nekatere ključne pritiske na okolje, vendar se to izboljšanje pogosto ne kaže v izboljšani odpornosti ekosistemov ali zmanjšanem tveganju za zdravje in počutje ljudi. Poleg tega so dolgoročne napovedi pogosto manj ugodne, kot bi lahko sklepali iz novejših trendov.</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Ukrepi evropske okoljske politike so se izkazali za še posebej učinkovite pri odpravljanju lokalnih, regionalnih in celinskih pritiskov na okolje. Vendar pa so nekateri od okoljskih in podnebnih problemov, s katerimi se ubadamo danes, drugačni od tistih, ki smo jih uspešno reševali v zadnjih 40 letih: po svojih lastnostih so hkrati sistemski in kumulativni ter niso odvisni le od našega ukrepanja v Evropi, temveč tudi od dogajanja po vsem svetu.</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 xml:space="preserve">Za mnoge od današnjih okoljskih izzivov je značilna </w:t>
      </w:r>
      <w:r w:rsidRPr="005771BD">
        <w:rPr>
          <w:rFonts w:eastAsia="Calibri" w:cs="Arial"/>
          <w:b/>
          <w:szCs w:val="20"/>
          <w:lang w:val="sl-SI"/>
        </w:rPr>
        <w:t>kompleksnos</w:t>
      </w:r>
      <w:r w:rsidRPr="005771BD">
        <w:rPr>
          <w:rFonts w:eastAsia="Calibri" w:cs="Arial"/>
          <w:szCs w:val="20"/>
          <w:u w:val="single"/>
          <w:lang w:val="sl-SI"/>
        </w:rPr>
        <w:t>t</w:t>
      </w:r>
      <w:r w:rsidRPr="005771BD">
        <w:rPr>
          <w:rFonts w:eastAsia="Calibri" w:cs="Arial"/>
          <w:szCs w:val="20"/>
          <w:lang w:val="sl-SI"/>
        </w:rPr>
        <w:t xml:space="preserve"> (tj. zanje je več vzrokov in v več pogledih obstaja soodvisnost med ključnimi procesi in dejavniki v njihovem ozadju ter z njimi povezanimi učinki). Težko jih je jasno razmejiti ali opredeliti, saj različno prežemajo različne dele okolja in družbe. </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 xml:space="preserve">Danes se soočamo s spremembami, ki jih obsegu ni mogoče primerjati s tistimi v preteklosti, z medsebojno povezanimi nevarnostmi, </w:t>
      </w:r>
      <w:r w:rsidRPr="005771BD">
        <w:rPr>
          <w:rFonts w:eastAsia="Calibri" w:cs="Arial"/>
          <w:b/>
          <w:szCs w:val="20"/>
          <w:lang w:val="sl-SI"/>
        </w:rPr>
        <w:t>globalnimi „megatrendi“ in ekološkimi omejitvami</w:t>
      </w:r>
      <w:r w:rsidRPr="005771BD">
        <w:rPr>
          <w:rFonts w:eastAsia="Calibri" w:cs="Arial"/>
          <w:szCs w:val="20"/>
          <w:lang w:val="sl-SI"/>
        </w:rPr>
        <w:t xml:space="preserve">, ki neposredno in posredno vplivajo na evropsko in slovensko okolje. Med okoljem, podnebnimi spremembami in temeljnimi silami, ki jih poganjajo, so številne povezave, zato jih je zaradi njihove zapletenosti težko razumeti. K opisani kompleksnosti prispevajo različni dejavniki. </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Za delovanje okoljskih sistemov je značil</w:t>
      </w:r>
      <w:r>
        <w:rPr>
          <w:rFonts w:eastAsia="Calibri" w:cs="Arial"/>
          <w:b/>
          <w:szCs w:val="20"/>
          <w:lang w:val="sl-SI"/>
        </w:rPr>
        <w:t xml:space="preserve">en </w:t>
      </w:r>
      <w:r w:rsidRPr="005771BD">
        <w:rPr>
          <w:rFonts w:eastAsia="Calibri" w:cs="Arial"/>
          <w:b/>
          <w:szCs w:val="20"/>
          <w:lang w:val="sl-SI"/>
        </w:rPr>
        <w:t>časovn</w:t>
      </w:r>
      <w:r>
        <w:rPr>
          <w:rFonts w:eastAsia="Calibri" w:cs="Arial"/>
          <w:b/>
          <w:szCs w:val="20"/>
          <w:lang w:val="sl-SI"/>
        </w:rPr>
        <w:t>i</w:t>
      </w:r>
      <w:r w:rsidRPr="005771BD">
        <w:rPr>
          <w:rFonts w:eastAsia="Calibri" w:cs="Arial"/>
          <w:b/>
          <w:szCs w:val="20"/>
          <w:lang w:val="sl-SI"/>
        </w:rPr>
        <w:t xml:space="preserve"> zamik</w:t>
      </w:r>
      <w:r w:rsidRPr="005771BD">
        <w:rPr>
          <w:rFonts w:eastAsia="Calibri" w:cs="Arial"/>
          <w:szCs w:val="20"/>
          <w:lang w:val="sl-SI"/>
        </w:rPr>
        <w:t xml:space="preserve"> med zmanjšanjem pritiskov na okolje in izboljšanjem </w:t>
      </w:r>
      <w:r>
        <w:rPr>
          <w:rFonts w:eastAsia="Calibri" w:cs="Arial"/>
          <w:szCs w:val="20"/>
          <w:lang w:val="sl-SI"/>
        </w:rPr>
        <w:t xml:space="preserve">njegovega </w:t>
      </w:r>
      <w:r w:rsidRPr="005771BD">
        <w:rPr>
          <w:rFonts w:eastAsia="Calibri" w:cs="Arial"/>
          <w:szCs w:val="20"/>
          <w:lang w:val="sl-SI"/>
        </w:rPr>
        <w:t>stanja. Poleg tega so številni pritiski v absolutnem pomenu še vedno precejšnj</w:t>
      </w:r>
      <w:r>
        <w:rPr>
          <w:rFonts w:eastAsia="Calibri" w:cs="Arial"/>
          <w:szCs w:val="20"/>
          <w:lang w:val="sl-SI"/>
        </w:rPr>
        <w:t>e</w:t>
      </w:r>
      <w:r w:rsidRPr="005771BD">
        <w:rPr>
          <w:rFonts w:eastAsia="Calibri" w:cs="Arial"/>
          <w:szCs w:val="20"/>
          <w:lang w:val="sl-SI"/>
        </w:rPr>
        <w:t>, čeprav so se v zadnjem času zmanjšal</w:t>
      </w:r>
      <w:r>
        <w:rPr>
          <w:rFonts w:eastAsia="Calibri" w:cs="Arial"/>
          <w:szCs w:val="20"/>
          <w:lang w:val="sl-SI"/>
        </w:rPr>
        <w:t>e</w:t>
      </w:r>
      <w:r w:rsidRPr="005771BD">
        <w:rPr>
          <w:rFonts w:eastAsia="Calibri" w:cs="Arial"/>
          <w:szCs w:val="20"/>
          <w:lang w:val="sl-SI"/>
        </w:rPr>
        <w:t>. Iz fosilnih goriv na primer še vedno pridobimo tri četrtine vse energije v EU, kar močno obremenjuje ekosisteme zaradi podnebnih sprememb, zakisovanja in evtrofikacije, ki jih povzroča zgorevanje fosilnih goriv.</w:t>
      </w:r>
    </w:p>
    <w:p w:rsidR="00C90D7B" w:rsidRPr="005771BD" w:rsidRDefault="00C90D7B" w:rsidP="00C90D7B">
      <w:pPr>
        <w:spacing w:after="200" w:line="276" w:lineRule="auto"/>
        <w:jc w:val="both"/>
        <w:rPr>
          <w:rFonts w:eastAsia="Calibri" w:cs="Arial"/>
          <w:szCs w:val="20"/>
          <w:lang w:val="sl-SI"/>
        </w:rPr>
      </w:pPr>
      <w:r w:rsidRPr="005771BD">
        <w:rPr>
          <w:rFonts w:eastAsia="Calibri" w:cs="Arial"/>
          <w:b/>
          <w:szCs w:val="20"/>
          <w:lang w:val="sl-SI"/>
        </w:rPr>
        <w:t>Povratno delovanje in medsebojna odvisnost</w:t>
      </w:r>
      <w:r w:rsidRPr="005771BD">
        <w:rPr>
          <w:rFonts w:eastAsia="Calibri" w:cs="Arial"/>
          <w:szCs w:val="20"/>
          <w:lang w:val="sl-SI"/>
        </w:rPr>
        <w:t xml:space="preserve"> okoljskih, družbenih in gospodarskih sistemov ter njihova ujetost v ustaljene vzorce prav tako spodkopavajo prizadevanja za blaženje okoljskih pritiskov in s tem povezanih vplivov. Izboljšana učinkovitost proizvodnih procesov lahko na primer zniža stroške blaga in storitev, kar pa lahko spodbudi povečanje potrošnje („povratni učinek“). Spreminjanje vzorcev izpostavljenosti in občutljivosti ljudi, na primer v povezavi z urbanizacijo, lahko izniči učinke zmanjšanih pritiskov na okolje. </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 xml:space="preserve">Današnji okoljski izzivi so neločljivo povezani z našimi </w:t>
      </w:r>
      <w:r w:rsidRPr="005771BD">
        <w:rPr>
          <w:rFonts w:eastAsia="Calibri" w:cs="Arial"/>
          <w:szCs w:val="20"/>
          <w:u w:val="single"/>
          <w:lang w:val="sl-SI"/>
        </w:rPr>
        <w:t>vzorci potrošnje in rabe virov</w:t>
      </w:r>
      <w:r w:rsidRPr="005771BD">
        <w:rPr>
          <w:rFonts w:eastAsia="Calibri" w:cs="Arial"/>
          <w:szCs w:val="20"/>
          <w:lang w:val="sl-SI"/>
        </w:rPr>
        <w:t xml:space="preserve">. Raba virov je bistvenega pomena za blaginjo ljudi. Sočasno pa črpanje in raba virov — zlasti kadar potekata nenadzorovano — negativno vplivata na ekosisteme, ki jih zagotavljajo. Netrajnostni sistemi proizvodnje in potrošnje, ki povzročajo številne </w:t>
      </w:r>
      <w:r>
        <w:rPr>
          <w:rFonts w:eastAsia="Calibri" w:cs="Arial"/>
          <w:szCs w:val="20"/>
          <w:lang w:val="sl-SI"/>
        </w:rPr>
        <w:t>obremenitve</w:t>
      </w:r>
      <w:r w:rsidRPr="005771BD">
        <w:rPr>
          <w:rFonts w:eastAsia="Calibri" w:cs="Arial"/>
          <w:szCs w:val="20"/>
          <w:lang w:val="sl-SI"/>
        </w:rPr>
        <w:t xml:space="preserve"> okolj</w:t>
      </w:r>
      <w:r>
        <w:rPr>
          <w:rFonts w:eastAsia="Calibri" w:cs="Arial"/>
          <w:szCs w:val="20"/>
          <w:lang w:val="sl-SI"/>
        </w:rPr>
        <w:t>a</w:t>
      </w:r>
      <w:r w:rsidRPr="005771BD">
        <w:rPr>
          <w:rFonts w:eastAsia="Calibri" w:cs="Arial"/>
          <w:szCs w:val="20"/>
          <w:lang w:val="sl-SI"/>
        </w:rPr>
        <w:t xml:space="preserve">, prinašajo tudi koristi, vključno z delovnimi mesti in zaslužkom. </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 xml:space="preserve">Različni viri so med seboj </w:t>
      </w:r>
      <w:r w:rsidRPr="005771BD">
        <w:rPr>
          <w:rFonts w:eastAsia="Calibri" w:cs="Arial"/>
          <w:szCs w:val="20"/>
          <w:u w:val="single"/>
          <w:lang w:val="sl-SI"/>
        </w:rPr>
        <w:t>tesno povezani</w:t>
      </w:r>
      <w:r w:rsidRPr="005771BD">
        <w:rPr>
          <w:rFonts w:eastAsia="Calibri" w:cs="Arial"/>
          <w:szCs w:val="20"/>
          <w:lang w:val="sl-SI"/>
        </w:rPr>
        <w:t>. Nadomeščanje fosilnih goriv s kulturnimi rastlinami, iz katerih pridobivamo bioenergijo, lahko pripomore k reševanju energetske problematike in z zmanjševanjem emisij toplogrednih plinov k blaženju podnebnih sprememb, vendar pa je povezano s krčenjem gozdov in spreminjanjem rabe tal</w:t>
      </w:r>
      <w:r>
        <w:rPr>
          <w:rFonts w:eastAsia="Calibri" w:cs="Arial"/>
          <w:szCs w:val="20"/>
          <w:lang w:val="sl-SI"/>
        </w:rPr>
        <w:t>.</w:t>
      </w:r>
      <w:r w:rsidRPr="005771BD">
        <w:rPr>
          <w:rFonts w:eastAsia="Calibri" w:cs="Arial"/>
          <w:szCs w:val="20"/>
          <w:lang w:val="sl-SI"/>
        </w:rPr>
        <w:t xml:space="preserve"> To vpliva na obseg zemljišč, ki je na voljo za pridelovanje hrane. Ker so svetovni prehranski trgi med seboj povezani, to hkrati vpliva na cene hrane. Zato ima degradacija okolja resne posledice za sedanjo in dolgoročno varnost dostopa do ključnih virov.</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 xml:space="preserve">Morda največja težava za evropsko okoljsko upravljanje izhaja iz dejstva, da so gonila, trendi in vplivi, ki se nanašajo na okolje, vse bolj </w:t>
      </w:r>
      <w:r w:rsidRPr="005771BD">
        <w:rPr>
          <w:rFonts w:eastAsia="Calibri" w:cs="Arial"/>
          <w:b/>
          <w:szCs w:val="20"/>
          <w:lang w:val="sl-SI"/>
        </w:rPr>
        <w:t>globalizirani</w:t>
      </w:r>
      <w:r w:rsidRPr="005771BD">
        <w:rPr>
          <w:rFonts w:eastAsia="Calibri" w:cs="Arial"/>
          <w:szCs w:val="20"/>
          <w:lang w:val="sl-SI"/>
        </w:rPr>
        <w:t>. Danes na evropsko okolje, vzorce potrošnje in življenjsko raven vpliva veliko različnih dolgoročnih megatrendov, vključno s tistimi, ki so povezani s stanjem prebivalstva, gospodarsko rastjo, trgovinskimi tokovi, tehnološkim napredkom in mednarodnim sodelovanjem. Povečana raba virov in povečani izpusti, ki so bili posledica svetovne gospodarske rasti v zadnjih desetletjih, so zmanjšali pozitivne učinke zmanjšanja izpustov toplogrednih plinov in onesnaževanja v Evropi in hkrati povzročili nove nevarnosti. Globalizacija dobavnih verig tudi pomeni, da do številnih vplivov evropske proizvodnje in potrošnje prihaja tudi drugod po svetu, kjer imajo evropska podjetja, potrošniki in oblikovalci politik razmeroma omejeno znanje, motivacijo in možnosti, da bi nanje vplivali.</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Te dolgoročne vzorce sprememb, ki na svetovni ravni potekajo že desetletja, je čedalje težje prepoznati in države zaradi medsebojne globalne prepletenosti vse težje enostransko rešujejo okoljske težave. Tudi velike skupine držav, ki ukrepajo skupaj (kot na primer EU), jih ne morejo rešiti same.</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To zelo dobro ponazarjajo podnebne spremembe: izpusti prispevajo h koncentracijam snovi v ozračju, ki učinkujejo daleč od svojih virov in bodo morda še dolgo v prihodnost. Podobno velja za predhodnike ozona, katerih izpusti so v zadnjih desetletjih v Evropi bistveno upadli, izmerjene koncentracije prizemnega ozona pa so nižje le za malenkost ali so se celo zvišale, saj se onesnaževala, ki nastajajo zunaj Evrope, prenašajo na velike razdalje.</w:t>
      </w:r>
    </w:p>
    <w:p w:rsidR="00C90D7B" w:rsidRPr="005771BD" w:rsidRDefault="00786EDB" w:rsidP="00C90D7B">
      <w:pPr>
        <w:spacing w:after="200" w:line="276" w:lineRule="auto"/>
        <w:jc w:val="both"/>
        <w:rPr>
          <w:rFonts w:eastAsia="Calibri" w:cs="Arial"/>
          <w:b/>
          <w:szCs w:val="20"/>
          <w:u w:val="single"/>
          <w:lang w:val="sl-SI"/>
        </w:rPr>
      </w:pPr>
      <w:bookmarkStart w:id="1" w:name="_Toc415817929"/>
      <w:bookmarkStart w:id="2" w:name="_Toc418509814"/>
      <w:r>
        <w:rPr>
          <w:rFonts w:eastAsia="Calibri" w:cs="Arial"/>
          <w:b/>
          <w:szCs w:val="20"/>
          <w:u w:val="single"/>
          <w:lang w:val="sl-SI"/>
        </w:rPr>
        <w:t>3</w:t>
      </w:r>
      <w:r w:rsidR="00C90D7B" w:rsidRPr="005771BD">
        <w:rPr>
          <w:rFonts w:eastAsia="Calibri" w:cs="Arial"/>
          <w:b/>
          <w:szCs w:val="20"/>
          <w:u w:val="single"/>
          <w:lang w:val="sl-SI"/>
        </w:rPr>
        <w:t>.4 Svetovni megatrendi vplivajo na napovedi v zvezi z evropskim okoljem</w:t>
      </w:r>
      <w:bookmarkEnd w:id="1"/>
      <w:bookmarkEnd w:id="2"/>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Globalizacija in razvoj globalnih trendov pomenita, da okoljskih razmer in politik v Evropi ni mogoče popolnoma razumeti — ali v celoti upravljati — ločeno od svetovnega dogajanja. Svetovni megatrendi bodo spremenili prihodnje vzorce potrošnje v Evropi ter vplivali na evropsko okolje in podnebje. Če bo Evropa na to pripravljena, bo lahko priložnosti, ki jih prinaša razvoj</w:t>
      </w:r>
      <w:r>
        <w:rPr>
          <w:rFonts w:eastAsia="Calibri" w:cs="Arial"/>
          <w:szCs w:val="20"/>
          <w:lang w:val="sl-SI"/>
        </w:rPr>
        <w:t xml:space="preserve">, </w:t>
      </w:r>
      <w:r w:rsidRPr="005771BD">
        <w:rPr>
          <w:rFonts w:eastAsia="Calibri" w:cs="Arial"/>
          <w:szCs w:val="20"/>
          <w:lang w:val="sl-SI"/>
        </w:rPr>
        <w:t>izkoristila za doseganje okoljskih ciljev in približevanje ciljem, opredeljenim v 7. okoljskem akcijskem programu.</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br/>
      </w:r>
      <w:r w:rsidRPr="007F272F">
        <w:rPr>
          <w:rFonts w:eastAsia="Calibri" w:cs="Arial"/>
          <w:noProof/>
          <w:szCs w:val="20"/>
          <w:lang w:val="sl-SI" w:eastAsia="sl-SI"/>
        </w:rPr>
        <w:drawing>
          <wp:inline distT="0" distB="0" distL="0" distR="0" wp14:anchorId="05012493" wp14:editId="17E4D686">
            <wp:extent cx="3790950" cy="4280320"/>
            <wp:effectExtent l="0" t="0" r="0" b="6350"/>
            <wp:docPr id="279" name="Slika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96843" cy="4286973"/>
                    </a:xfrm>
                    <a:prstGeom prst="rect">
                      <a:avLst/>
                    </a:prstGeom>
                    <a:noFill/>
                  </pic:spPr>
                </pic:pic>
              </a:graphicData>
            </a:graphic>
          </wp:inline>
        </w:drawing>
      </w:r>
    </w:p>
    <w:p w:rsidR="00C90D7B" w:rsidRPr="005771BD" w:rsidRDefault="00C90D7B" w:rsidP="00C90D7B">
      <w:pPr>
        <w:spacing w:line="276" w:lineRule="auto"/>
        <w:jc w:val="both"/>
        <w:rPr>
          <w:rFonts w:eastAsia="Calibri" w:cs="Arial"/>
          <w:szCs w:val="20"/>
          <w:lang w:val="sl-SI"/>
        </w:rPr>
      </w:pPr>
      <w:r w:rsidRPr="005771BD">
        <w:rPr>
          <w:rFonts w:eastAsia="Calibri" w:cs="Arial"/>
          <w:szCs w:val="20"/>
          <w:lang w:val="sl-SI"/>
        </w:rPr>
        <w:t xml:space="preserve">Slika </w:t>
      </w:r>
      <w:r w:rsidR="00786EDB">
        <w:rPr>
          <w:rFonts w:eastAsia="Calibri" w:cs="Arial"/>
          <w:szCs w:val="20"/>
          <w:lang w:val="sl-SI"/>
        </w:rPr>
        <w:t>3</w:t>
      </w:r>
      <w:r w:rsidRPr="005771BD">
        <w:rPr>
          <w:rFonts w:eastAsia="Calibri" w:cs="Arial"/>
          <w:szCs w:val="20"/>
          <w:lang w:val="sl-SI"/>
        </w:rPr>
        <w:t>.1: Globalni megatrendi</w:t>
      </w:r>
    </w:p>
    <w:p w:rsidR="00C90D7B" w:rsidRPr="005771BD" w:rsidRDefault="00C90D7B" w:rsidP="00C90D7B">
      <w:pPr>
        <w:spacing w:after="360" w:line="276" w:lineRule="auto"/>
        <w:jc w:val="both"/>
        <w:rPr>
          <w:rFonts w:eastAsia="Calibri" w:cs="Arial"/>
          <w:i/>
          <w:sz w:val="18"/>
          <w:szCs w:val="18"/>
          <w:lang w:val="sl-SI"/>
        </w:rPr>
      </w:pPr>
      <w:r w:rsidRPr="005771BD">
        <w:rPr>
          <w:rFonts w:eastAsia="Calibri" w:cs="Arial"/>
          <w:i/>
          <w:sz w:val="18"/>
          <w:szCs w:val="18"/>
          <w:lang w:val="sl-SI"/>
        </w:rPr>
        <w:t>Vir: Evropska okoljska agencija. Evropsko okolje, Stanje in napovedi 2015</w:t>
      </w:r>
    </w:p>
    <w:p w:rsidR="00C90D7B" w:rsidRPr="005771BD" w:rsidRDefault="00786EDB" w:rsidP="00C90D7B">
      <w:pPr>
        <w:spacing w:after="200" w:line="276" w:lineRule="auto"/>
        <w:jc w:val="both"/>
        <w:rPr>
          <w:rFonts w:eastAsia="Calibri" w:cs="Arial"/>
          <w:b/>
          <w:szCs w:val="20"/>
          <w:lang w:val="sl-SI"/>
        </w:rPr>
      </w:pPr>
      <w:r>
        <w:rPr>
          <w:rFonts w:eastAsia="Calibri" w:cs="Arial"/>
          <w:b/>
          <w:szCs w:val="20"/>
          <w:lang w:val="sl-SI"/>
        </w:rPr>
        <w:t>3</w:t>
      </w:r>
      <w:r w:rsidR="00C90D7B" w:rsidRPr="005771BD">
        <w:rPr>
          <w:rFonts w:eastAsia="Calibri" w:cs="Arial"/>
          <w:b/>
          <w:szCs w:val="20"/>
          <w:lang w:val="sl-SI"/>
        </w:rPr>
        <w:t>.4.1 Globalni megatrendi, ki bodo vplivali na stanje okolja</w:t>
      </w:r>
    </w:p>
    <w:p w:rsidR="00C90D7B" w:rsidRPr="005771BD" w:rsidRDefault="00C90D7B" w:rsidP="00C90D7B">
      <w:pPr>
        <w:spacing w:after="200" w:line="276" w:lineRule="auto"/>
        <w:jc w:val="both"/>
        <w:rPr>
          <w:rFonts w:eastAsia="Calibri" w:cs="Arial"/>
          <w:i/>
          <w:szCs w:val="20"/>
          <w:lang w:val="sl-SI"/>
        </w:rPr>
      </w:pPr>
      <w:r w:rsidRPr="005771BD">
        <w:rPr>
          <w:rFonts w:eastAsia="Calibri" w:cs="Arial"/>
          <w:i/>
          <w:szCs w:val="20"/>
          <w:u w:val="single"/>
          <w:lang w:val="sl-SI"/>
        </w:rPr>
        <w:t>Razhajanje v svetovnih prebivalstvenih trendih</w:t>
      </w:r>
      <w:r w:rsidRPr="005771BD">
        <w:rPr>
          <w:rFonts w:eastAsia="Calibri" w:cs="Arial"/>
          <w:i/>
          <w:szCs w:val="20"/>
          <w:lang w:val="sl-SI"/>
        </w:rPr>
        <w:t>: od 60. let prejšnjega stoletja se je svetovno prebivalstvo podvojilo na sedanjih sedem milijard in naj bi raslo tudi v prihodnje, čeprav se v razvitih državah prebivalstvo stara in ponekod upada. Nasprotno pa se prebivalstvo najmanj razvitih držav hitro povečuje.</w:t>
      </w:r>
    </w:p>
    <w:p w:rsidR="00C90D7B" w:rsidRPr="005771BD" w:rsidRDefault="00C90D7B" w:rsidP="00C90D7B">
      <w:pPr>
        <w:spacing w:before="120" w:after="200" w:line="276" w:lineRule="auto"/>
        <w:jc w:val="both"/>
        <w:rPr>
          <w:rFonts w:eastAsia="Calibri" w:cs="Arial"/>
          <w:i/>
          <w:szCs w:val="20"/>
          <w:lang w:val="sl-SI"/>
        </w:rPr>
      </w:pPr>
      <w:r w:rsidRPr="005771BD">
        <w:rPr>
          <w:rFonts w:eastAsia="Calibri" w:cs="Arial"/>
          <w:i/>
          <w:szCs w:val="20"/>
          <w:u w:val="single"/>
          <w:lang w:val="sl-SI"/>
        </w:rPr>
        <w:t>Na poti k bolj urbanemu svetu</w:t>
      </w:r>
      <w:r w:rsidRPr="005771BD">
        <w:rPr>
          <w:rFonts w:eastAsia="Calibri" w:cs="Arial"/>
          <w:i/>
          <w:szCs w:val="20"/>
          <w:lang w:val="sl-SI"/>
        </w:rPr>
        <w:t>: danes približno polovica svetovnega prebivalstva živi na urbanih območjih, ta delež pa naj bi se do leta 2050 povečal na dve tretjini. Nadaljnja urbanizacija lahko ob ustreznih naložbah spodbudi inovativno reševanje okoljskih težav, lahko pa prinese tudi povečano rabo virov in onesnaževanje.</w:t>
      </w:r>
    </w:p>
    <w:p w:rsidR="00C90D7B" w:rsidRPr="005771BD" w:rsidRDefault="00C90D7B" w:rsidP="00C90D7B">
      <w:pPr>
        <w:spacing w:before="120" w:after="200" w:line="276" w:lineRule="auto"/>
        <w:jc w:val="both"/>
        <w:rPr>
          <w:rFonts w:eastAsia="Calibri" w:cs="Arial"/>
          <w:i/>
          <w:szCs w:val="20"/>
          <w:lang w:val="sl-SI"/>
        </w:rPr>
      </w:pPr>
      <w:r w:rsidRPr="005771BD">
        <w:rPr>
          <w:rFonts w:eastAsia="Calibri" w:cs="Arial"/>
          <w:i/>
          <w:szCs w:val="20"/>
          <w:u w:val="single"/>
          <w:lang w:val="sl-SI"/>
        </w:rPr>
        <w:t>Spreminjajoča se bremena bolezni in nevarnost pandemij</w:t>
      </w:r>
      <w:r w:rsidRPr="005771BD">
        <w:rPr>
          <w:rFonts w:eastAsia="Calibri" w:cs="Arial"/>
          <w:i/>
          <w:szCs w:val="20"/>
          <w:lang w:val="sl-SI"/>
        </w:rPr>
        <w:t>: nevarnost izpostavljenosti novim, nastajajočim ali ponovno nastajajočim boleznim in pandemijam je povezana z revščino in se povečuje hkrati z obsegom podnebnih sprememb ter vse večjo mobilnostjo ljudi in blaga.</w:t>
      </w:r>
    </w:p>
    <w:p w:rsidR="00C90D7B" w:rsidRPr="005771BD" w:rsidRDefault="00C90D7B" w:rsidP="00C90D7B">
      <w:pPr>
        <w:spacing w:before="120" w:after="200" w:line="276" w:lineRule="auto"/>
        <w:jc w:val="both"/>
        <w:rPr>
          <w:rFonts w:eastAsia="Calibri" w:cs="Arial"/>
          <w:i/>
          <w:szCs w:val="20"/>
          <w:lang w:val="sl-SI"/>
        </w:rPr>
      </w:pPr>
      <w:r w:rsidRPr="005771BD">
        <w:rPr>
          <w:rFonts w:eastAsia="Calibri" w:cs="Arial"/>
          <w:i/>
          <w:szCs w:val="20"/>
          <w:u w:val="single"/>
          <w:lang w:val="sl-SI"/>
        </w:rPr>
        <w:t>Pospešene tehnološke spremembe</w:t>
      </w:r>
      <w:r w:rsidRPr="005771BD">
        <w:rPr>
          <w:rFonts w:eastAsia="Calibri" w:cs="Arial"/>
          <w:i/>
          <w:szCs w:val="20"/>
          <w:lang w:val="sl-SI"/>
        </w:rPr>
        <w:t>: nove tehnologije korenito spreminjajo svet, še zlasti na področjih nano- in biotehnologije ter informacijske in komunikacijske tehnologije. To odpira priložnosti za zmanjšanje vplivov človeštva na okolje in povečanje varnosti preskrbe z viri, hkrati pa prinaša tveganja in negotovost.</w:t>
      </w:r>
    </w:p>
    <w:p w:rsidR="00C90D7B" w:rsidRPr="005771BD" w:rsidRDefault="00C90D7B" w:rsidP="00C90D7B">
      <w:pPr>
        <w:spacing w:before="120" w:after="200" w:line="276" w:lineRule="auto"/>
        <w:jc w:val="both"/>
        <w:rPr>
          <w:rFonts w:eastAsia="Calibri" w:cs="Arial"/>
          <w:i/>
          <w:szCs w:val="20"/>
          <w:lang w:val="sl-SI"/>
        </w:rPr>
      </w:pPr>
      <w:r w:rsidRPr="005771BD">
        <w:rPr>
          <w:rFonts w:eastAsia="Calibri" w:cs="Arial"/>
          <w:i/>
          <w:szCs w:val="20"/>
          <w:u w:val="single"/>
          <w:lang w:val="sl-SI"/>
        </w:rPr>
        <w:t>Nadaljnja gospodarska rast</w:t>
      </w:r>
      <w:r w:rsidRPr="005771BD">
        <w:rPr>
          <w:rFonts w:eastAsia="Calibri" w:cs="Arial"/>
          <w:i/>
          <w:szCs w:val="20"/>
          <w:lang w:val="sl-SI"/>
        </w:rPr>
        <w:t>: medtem ko trdovratne posledice nedavne gospodarske krize še vedno dušijo gospodarski optimizem v Evropi, večina raziskav, usmerjenih v napovedi za naslednja desetletja, predvideva nadaljnjo rast svetovnega gospodarstva z vse večjo potrošnjo in rabo virov, zlasti v Aziji in Latinski Ameriki.</w:t>
      </w:r>
    </w:p>
    <w:p w:rsidR="00C90D7B" w:rsidRPr="005771BD" w:rsidRDefault="00C90D7B" w:rsidP="00C90D7B">
      <w:pPr>
        <w:spacing w:before="120" w:after="200" w:line="276" w:lineRule="auto"/>
        <w:jc w:val="both"/>
        <w:rPr>
          <w:rFonts w:eastAsia="Calibri" w:cs="Arial"/>
          <w:i/>
          <w:szCs w:val="20"/>
          <w:lang w:val="sl-SI"/>
        </w:rPr>
      </w:pPr>
      <w:r w:rsidRPr="005771BD">
        <w:rPr>
          <w:rFonts w:eastAsia="Calibri" w:cs="Arial"/>
          <w:i/>
          <w:szCs w:val="20"/>
          <w:u w:val="single"/>
          <w:lang w:val="sl-SI"/>
        </w:rPr>
        <w:t>Čedalje bolj večpolarni svet</w:t>
      </w:r>
      <w:r w:rsidRPr="005771BD">
        <w:rPr>
          <w:rFonts w:eastAsia="Calibri" w:cs="Arial"/>
          <w:i/>
          <w:szCs w:val="20"/>
          <w:lang w:val="sl-SI"/>
        </w:rPr>
        <w:t>: v preteklosti je bilo v svetovni proizvodnji in potrošnji vodilnih razmeroma malo držav. Danes se gospodarska moč vse bolj porazdeljuje, v ospredje prihajajo zlasti azijske države, kar vpliva na svetovno soodvisnost in trgovino.</w:t>
      </w:r>
    </w:p>
    <w:p w:rsidR="00C90D7B" w:rsidRPr="005771BD" w:rsidRDefault="00C90D7B" w:rsidP="00C90D7B">
      <w:pPr>
        <w:spacing w:before="120" w:after="200" w:line="276" w:lineRule="auto"/>
        <w:jc w:val="both"/>
        <w:rPr>
          <w:rFonts w:eastAsia="Calibri" w:cs="Arial"/>
          <w:i/>
          <w:szCs w:val="20"/>
          <w:lang w:val="sl-SI"/>
        </w:rPr>
      </w:pPr>
      <w:r w:rsidRPr="005771BD">
        <w:rPr>
          <w:rFonts w:eastAsia="Calibri" w:cs="Arial"/>
          <w:i/>
          <w:szCs w:val="20"/>
          <w:u w:val="single"/>
          <w:lang w:val="sl-SI"/>
        </w:rPr>
        <w:t>Okrepljeno svetovno tekmovanje za vire</w:t>
      </w:r>
      <w:r w:rsidRPr="005771BD">
        <w:rPr>
          <w:rFonts w:eastAsia="Calibri" w:cs="Arial"/>
          <w:i/>
          <w:szCs w:val="20"/>
          <w:lang w:val="sl-SI"/>
        </w:rPr>
        <w:t>: gospodarstva v obdobju rasti običajno porabijo več virov, tako obnovljivih biotskih virov kot tudi neobnovljivih zalog mineralov, kovin in fosilnih goriv. K večjemu povpraševanju prispevajo industrijski razvoj in tudi spreminjajoči se vzorci potrošnje.</w:t>
      </w:r>
    </w:p>
    <w:p w:rsidR="00C90D7B" w:rsidRPr="005771BD" w:rsidRDefault="00C90D7B" w:rsidP="00C90D7B">
      <w:pPr>
        <w:spacing w:before="120" w:after="200" w:line="276" w:lineRule="auto"/>
        <w:jc w:val="both"/>
        <w:rPr>
          <w:rFonts w:eastAsia="Calibri" w:cs="Arial"/>
          <w:i/>
          <w:szCs w:val="20"/>
          <w:lang w:val="sl-SI"/>
        </w:rPr>
      </w:pPr>
      <w:r w:rsidRPr="005771BD">
        <w:rPr>
          <w:rFonts w:eastAsia="Calibri" w:cs="Arial"/>
          <w:i/>
          <w:szCs w:val="20"/>
          <w:u w:val="single"/>
          <w:lang w:val="sl-SI"/>
        </w:rPr>
        <w:t>Vse večji pritiski na ekosisteme</w:t>
      </w:r>
      <w:r w:rsidRPr="005771BD">
        <w:rPr>
          <w:rFonts w:eastAsia="Calibri" w:cs="Arial"/>
          <w:i/>
          <w:szCs w:val="20"/>
          <w:lang w:val="sl-SI"/>
        </w:rPr>
        <w:t>: rast svetovnega prebivalstva ter z njo povezane potrebe po hrani in energiji, pa tudi spreminjajoči vzorci potrošnje, bodo še naprej povzročali upadanje svetovne biotske raznovrstnosti in siromašenje naravnih ekosistemov, kar bo najbolj prizadelo revne v državah v razvoju.</w:t>
      </w:r>
    </w:p>
    <w:p w:rsidR="00C90D7B" w:rsidRPr="005771BD" w:rsidRDefault="00C90D7B" w:rsidP="00C90D7B">
      <w:pPr>
        <w:spacing w:before="120" w:after="200" w:line="276" w:lineRule="auto"/>
        <w:jc w:val="both"/>
        <w:rPr>
          <w:rFonts w:eastAsia="Calibri" w:cs="Arial"/>
          <w:i/>
          <w:szCs w:val="20"/>
          <w:lang w:val="sl-SI"/>
        </w:rPr>
      </w:pPr>
      <w:r w:rsidRPr="005771BD">
        <w:rPr>
          <w:rFonts w:eastAsia="Calibri" w:cs="Arial"/>
          <w:i/>
          <w:szCs w:val="20"/>
          <w:u w:val="single"/>
          <w:lang w:val="sl-SI"/>
        </w:rPr>
        <w:t>Vse hujše posledice podnebnih sprememb</w:t>
      </w:r>
      <w:r w:rsidRPr="005771BD">
        <w:rPr>
          <w:rFonts w:eastAsia="Calibri" w:cs="Arial"/>
          <w:i/>
          <w:szCs w:val="20"/>
          <w:lang w:val="sl-SI"/>
        </w:rPr>
        <w:t>: segrevanje podnebnega sistema je nedvoumno dejstvo in mnoge od sprememb, ki jih opažamo od 50. let preteklega stoletja, so brez primere v zadnjih desetletjih ali celo tisočletjih. Medtem ko se podnebne spremembe nadaljujejo, je pričakovati, da bodo hudo prizadele ekosisteme in človeško družbo (med drugim bodo vplivale na zanesljivost oskrbe s hrano, pogostost suš in ekstremnost vremenskih pojavov).</w:t>
      </w:r>
    </w:p>
    <w:p w:rsidR="00C90D7B" w:rsidRPr="005771BD" w:rsidRDefault="00C90D7B" w:rsidP="00C90D7B">
      <w:pPr>
        <w:spacing w:before="120" w:after="200" w:line="276" w:lineRule="auto"/>
        <w:jc w:val="both"/>
        <w:rPr>
          <w:rFonts w:eastAsia="Calibri" w:cs="Arial"/>
          <w:i/>
          <w:szCs w:val="20"/>
          <w:lang w:val="sl-SI"/>
        </w:rPr>
      </w:pPr>
      <w:r w:rsidRPr="005771BD">
        <w:rPr>
          <w:rFonts w:eastAsia="Calibri" w:cs="Arial"/>
          <w:i/>
          <w:szCs w:val="20"/>
          <w:u w:val="single"/>
          <w:lang w:val="sl-SI"/>
        </w:rPr>
        <w:t>Vse večja onesnaženost okolja</w:t>
      </w:r>
      <w:r w:rsidRPr="005771BD">
        <w:rPr>
          <w:rFonts w:eastAsia="Calibri" w:cs="Arial"/>
          <w:i/>
          <w:szCs w:val="20"/>
          <w:lang w:val="sl-SI"/>
        </w:rPr>
        <w:t>: povsod po svetu so ekosistemi danes izpostavljeni kritičnim ravnem onesnaževanja z vse bolj kompleksnimi snovmi. Človekove dejavnosti, rast svetovnega prebivalstva in spreminjajoči se vzorci potrošnje so ključni povzročitelji vse hujšega obremenjevanja okolja.</w:t>
      </w:r>
    </w:p>
    <w:p w:rsidR="00C90D7B" w:rsidRPr="005771BD" w:rsidRDefault="00C90D7B" w:rsidP="00C90D7B">
      <w:pPr>
        <w:spacing w:before="120" w:after="200" w:line="276" w:lineRule="auto"/>
        <w:jc w:val="both"/>
        <w:rPr>
          <w:rFonts w:eastAsia="Calibri" w:cs="Arial"/>
          <w:i/>
          <w:szCs w:val="20"/>
          <w:lang w:val="sl-SI"/>
        </w:rPr>
      </w:pPr>
      <w:r w:rsidRPr="005771BD">
        <w:rPr>
          <w:rFonts w:eastAsia="Calibri" w:cs="Arial"/>
          <w:i/>
          <w:szCs w:val="20"/>
          <w:u w:val="single"/>
          <w:lang w:val="sl-SI"/>
        </w:rPr>
        <w:t>Vse večja raznovrstnost upravljanja</w:t>
      </w:r>
      <w:r w:rsidRPr="005771BD">
        <w:rPr>
          <w:rFonts w:eastAsia="Calibri" w:cs="Arial"/>
          <w:i/>
          <w:szCs w:val="20"/>
          <w:lang w:val="sl-SI"/>
        </w:rPr>
        <w:t>: neskladje med vse bolj dolgoročnimi svetovnimi izzivi, s katerimi se spoprijema družba, in bolj omejenimi pristojnostmi vlad ustvarja potrebo po dodatnih načinih upravljanja, v katerih bi pomembnejšo vlogo prepustili podjetjem in civilni družbi. Te spremembe so potrebne, vendar se v zvezi s tem zastavljajo vprašanja o usklajevanju, uspešnosti in odgovornosti.</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 xml:space="preserve">Do leta 2050 naj bi po napovedih Organizacije združenih narodov (OZN) svetovno prebivalstvo preseglo devet milijard </w:t>
      </w:r>
      <w:r w:rsidRPr="007F272F">
        <w:rPr>
          <w:rFonts w:eastAsia="Calibri" w:cs="Arial"/>
          <w:szCs w:val="20"/>
          <w:lang w:val="sl-SI"/>
        </w:rPr>
        <w:fldChar w:fldCharType="begin"/>
      </w:r>
      <w:r w:rsidRPr="005771BD">
        <w:rPr>
          <w:rFonts w:eastAsia="Calibri" w:cs="Arial"/>
          <w:szCs w:val="20"/>
          <w:lang w:val="sl-SI"/>
        </w:rPr>
        <w:instrText xml:space="preserve"> ADDIN ZOTERO_ITEM CSL_CITATION {"citationID":"BXzHoj1K","properties":{"formattedCitation":"(UN, 2013)","plainCitation":"(UN, 2013)"},"citationItems":[{"id":450,"uris":["http://zotero.org/groups/122386/items/EV8QWA5A"],"uri":["http://zotero.org/groups/122386/items/EV8QWA5A"],"itemData":{"id":450,"type":"report","title":"World population prospects: the 2012 revision","publisher":"United Nations Department of Economic and Social Affairs","publisher-place":"New York, US","event-place":"New York, US","author":[{"family":"UN","given":""}],"issued":{"date-parts":[["2013"]]}}}],"schema":"https://github.com/citation-style-language/schema/raw/master/csl-citation.json"} </w:instrText>
      </w:r>
      <w:r w:rsidRPr="007F272F">
        <w:rPr>
          <w:rFonts w:eastAsia="Calibri" w:cs="Arial"/>
          <w:szCs w:val="20"/>
          <w:lang w:val="sl-SI"/>
        </w:rPr>
        <w:fldChar w:fldCharType="separate"/>
      </w:r>
      <w:r w:rsidRPr="005771BD">
        <w:rPr>
          <w:rFonts w:eastAsia="Calibri" w:cs="Arial"/>
          <w:szCs w:val="20"/>
          <w:lang w:val="sl-SI"/>
        </w:rPr>
        <w:t>(UN, 2013)</w:t>
      </w:r>
      <w:r w:rsidRPr="007F272F">
        <w:rPr>
          <w:rFonts w:eastAsia="Calibri" w:cs="Arial"/>
          <w:szCs w:val="20"/>
          <w:lang w:val="sl-SI"/>
        </w:rPr>
        <w:fldChar w:fldCharType="end"/>
      </w:r>
      <w:r w:rsidRPr="005771BD">
        <w:rPr>
          <w:rFonts w:eastAsia="Calibri" w:cs="Arial"/>
          <w:szCs w:val="20"/>
          <w:lang w:val="sl-SI"/>
        </w:rPr>
        <w:t xml:space="preserve">. Danes živi na Zemlji sedem milijard ljudi, leta 1950 pa jih je živelo manj kot tri milijarde. Od leta 1900 se je raba snovi podeseterila </w:t>
      </w:r>
      <w:r w:rsidRPr="007F272F">
        <w:rPr>
          <w:rFonts w:eastAsia="Calibri" w:cs="Arial"/>
          <w:szCs w:val="20"/>
          <w:lang w:val="sl-SI"/>
        </w:rPr>
        <w:fldChar w:fldCharType="begin"/>
      </w:r>
      <w:r w:rsidRPr="005771BD">
        <w:rPr>
          <w:rFonts w:eastAsia="Calibri" w:cs="Arial"/>
          <w:szCs w:val="20"/>
          <w:lang w:val="sl-SI"/>
        </w:rPr>
        <w:instrText xml:space="preserve"> ADDIN ZOTERO_ITEM CSL_CITATION {"citationID":"LcYvybS6","properties":{"formattedCitation":"(Krausmann et al., 2009)","plainCitation":"(Krausmann et al., 2009)"},"citationItems":[{"id":1848,"uris":["http://zotero.org/groups/122386/items/2Z5T98I9"],"uri":["http://zotero.org/groups/122386/items/2Z5T98I9"],"itemData":{"id":1848,"type":"article-journal","title":"Growth in global materials use, GDP and population during the 20th century","container-title":"Ecological Economics","page":"2696–2705","volume":"68","issue":"10","source":"Google Scholar","author":[{"family":"Krausmann","given":"Fridolin"},{"family":"Gingrich","given":"Simone"},{"family":"Eisenmenger","given":"Nina"},{"family":"Erb","given":"Karl-Heinz"},{"family":"Haberl","given":"Helmut"},{"family":"Fischer-Kowalski","given":"Marina"}],"issued":{"date-parts":[["2009"]]},"accessed":{"date-parts":[["2014",4,1]]}}}],"schema":"https://github.com/citation-style-language/schema/raw/master/csl-citation.json"} </w:instrText>
      </w:r>
      <w:r w:rsidRPr="007F272F">
        <w:rPr>
          <w:rFonts w:eastAsia="Calibri" w:cs="Arial"/>
          <w:szCs w:val="20"/>
          <w:lang w:val="sl-SI"/>
        </w:rPr>
        <w:fldChar w:fldCharType="separate"/>
      </w:r>
      <w:r w:rsidRPr="005771BD">
        <w:rPr>
          <w:rFonts w:eastAsia="Calibri" w:cs="Arial"/>
          <w:szCs w:val="20"/>
          <w:lang w:val="sl-SI"/>
        </w:rPr>
        <w:t>(Krausmann idr., 2009)</w:t>
      </w:r>
      <w:r w:rsidRPr="007F272F">
        <w:rPr>
          <w:rFonts w:eastAsia="Calibri" w:cs="Arial"/>
          <w:szCs w:val="20"/>
          <w:lang w:val="sl-SI"/>
        </w:rPr>
        <w:fldChar w:fldCharType="end"/>
      </w:r>
      <w:r w:rsidRPr="005771BD">
        <w:rPr>
          <w:rFonts w:eastAsia="Calibri" w:cs="Arial"/>
          <w:szCs w:val="20"/>
          <w:lang w:val="sl-SI"/>
        </w:rPr>
        <w:t xml:space="preserve">, do leta 2030 pa bi se lahko vnovič podvojila </w:t>
      </w:r>
      <w:r w:rsidRPr="007F272F">
        <w:rPr>
          <w:rFonts w:eastAsia="Calibri" w:cs="Arial"/>
          <w:szCs w:val="20"/>
          <w:lang w:val="sl-SI"/>
        </w:rPr>
        <w:fldChar w:fldCharType="begin"/>
      </w:r>
      <w:r w:rsidRPr="005771BD">
        <w:rPr>
          <w:rFonts w:eastAsia="Calibri" w:cs="Arial"/>
          <w:szCs w:val="20"/>
          <w:lang w:val="sl-SI"/>
        </w:rPr>
        <w:instrText xml:space="preserve"> ADDIN ZOTERO_ITEM CSL_CITATION {"citationID":"p3nl7eXF","properties":{"formattedCitation":"(SERI, 2013)","plainCitation":"(SERI, 2013)"},"citationItems":[{"id":293,"uris":["http://zotero.org/groups/122386/items/AR9MSK6Q"],"uri":["http://zotero.org/groups/122386/items/AR9MSK6Q"],"itemData":{"id":293,"type":"webpage","title":"SERI Global Material Flows Database","URL":"http://www.materialflows.net/home/","author":[{"family":"SERI","given":""}],"issued":{"date-parts":[["2013"]]},"accessed":{"date-parts":[["2013",12,2]]}}}],"schema":"https://github.com/citation-style-language/schema/raw/master/csl-citation.json"} </w:instrText>
      </w:r>
      <w:r w:rsidRPr="007F272F">
        <w:rPr>
          <w:rFonts w:eastAsia="Calibri" w:cs="Arial"/>
          <w:szCs w:val="20"/>
          <w:lang w:val="sl-SI"/>
        </w:rPr>
        <w:fldChar w:fldCharType="separate"/>
      </w:r>
      <w:r w:rsidRPr="005771BD">
        <w:rPr>
          <w:rFonts w:eastAsia="Calibri" w:cs="Arial"/>
          <w:szCs w:val="20"/>
          <w:lang w:val="sl-SI"/>
        </w:rPr>
        <w:t>(SERI, 2013)</w:t>
      </w:r>
      <w:r w:rsidRPr="007F272F">
        <w:rPr>
          <w:rFonts w:eastAsia="Calibri" w:cs="Arial"/>
          <w:szCs w:val="20"/>
          <w:lang w:val="sl-SI"/>
        </w:rPr>
        <w:fldChar w:fldCharType="end"/>
      </w:r>
      <w:r w:rsidRPr="005771BD">
        <w:rPr>
          <w:rFonts w:eastAsia="Calibri" w:cs="Arial"/>
          <w:szCs w:val="20"/>
          <w:lang w:val="sl-SI"/>
        </w:rPr>
        <w:t>. Svetovne potrebe po energiji in vodi naj bi se v naslednjih dvajsetih letih povečale za 30 do 40 % (glej npr. </w:t>
      </w:r>
      <w:r w:rsidRPr="007F272F">
        <w:rPr>
          <w:rFonts w:eastAsia="Calibri" w:cs="Arial"/>
          <w:szCs w:val="20"/>
          <w:lang w:val="sl-SI"/>
        </w:rPr>
        <w:fldChar w:fldCharType="begin"/>
      </w:r>
      <w:r w:rsidRPr="005771BD">
        <w:rPr>
          <w:rFonts w:eastAsia="Calibri" w:cs="Arial"/>
          <w:szCs w:val="20"/>
          <w:lang w:val="sl-SI"/>
        </w:rPr>
        <w:instrText xml:space="preserve"> ADDIN ZOTERO_ITEM CSL_CITATION {"citationID":"mbTSUmHJ","properties":{"formattedCitation":"(IEA, 2013)","plainCitation":"(IEA, 2013)"},"citationItems":[{"id":237,"uris":["http://zotero.org/groups/122386/items/2MHXZ9XD"],"uri":["http://zotero.org/groups/122386/items/2MHXZ9XD"],"itemData":{"id":237,"type":"report","title":"World energy outlook 2013","publisher":"International Energy Agency","publisher-place":"Paris, France","event-place":"Paris, France","author":[{"family":"IEA","given":""}],"issued":{"date-parts":[["2013"]]}}}],"schema":"https://github.com/citation-style-language/schema/raw/master/csl-citation.json"} </w:instrText>
      </w:r>
      <w:r w:rsidRPr="007F272F">
        <w:rPr>
          <w:rFonts w:eastAsia="Calibri" w:cs="Arial"/>
          <w:szCs w:val="20"/>
          <w:lang w:val="sl-SI"/>
        </w:rPr>
        <w:fldChar w:fldCharType="separate"/>
      </w:r>
      <w:r w:rsidRPr="005771BD">
        <w:rPr>
          <w:rFonts w:eastAsia="Calibri" w:cs="Arial"/>
          <w:szCs w:val="20"/>
          <w:lang w:val="sl-SI"/>
        </w:rPr>
        <w:t>IEA, 2013</w:t>
      </w:r>
      <w:r w:rsidRPr="007F272F">
        <w:rPr>
          <w:rFonts w:eastAsia="Calibri" w:cs="Arial"/>
          <w:szCs w:val="20"/>
          <w:lang w:val="sl-SI"/>
        </w:rPr>
        <w:fldChar w:fldCharType="end"/>
      </w:r>
      <w:r w:rsidRPr="005771BD">
        <w:rPr>
          <w:rFonts w:eastAsia="Calibri" w:cs="Arial"/>
          <w:szCs w:val="20"/>
          <w:lang w:val="sl-SI"/>
        </w:rPr>
        <w:t xml:space="preserve"> ali </w:t>
      </w:r>
      <w:r w:rsidRPr="007F272F">
        <w:rPr>
          <w:rFonts w:eastAsia="Calibri" w:cs="Arial"/>
          <w:szCs w:val="20"/>
          <w:lang w:val="sl-SI"/>
        </w:rPr>
        <w:fldChar w:fldCharType="begin"/>
      </w:r>
      <w:r w:rsidRPr="005771BD">
        <w:rPr>
          <w:rFonts w:eastAsia="Calibri" w:cs="Arial"/>
          <w:szCs w:val="20"/>
          <w:lang w:val="sl-SI"/>
        </w:rPr>
        <w:instrText xml:space="preserve"> ADDIN ZOTERO_ITEM CSL_CITATION {"citationID":"pTg8c3RL","properties":{"formattedCitation":"(The 2030 Water Resource Group, 2009)","plainCitation":"(The 2030 Water Resource Group, 2009)"},"citationItems":[{"id":4403,"uris":["http://zotero.org/groups/122386/items/BH8KXHB4"],"uri":["http://zotero.org/groups/122386/items/BH8KXHB4"],"itemData":{"id":4403,"type":"report","title":"Charting our water future.","collection-title":"Economic Frameworks to Inform Decision-making.","URL":"www.mckinsey.com/App_Media/Reports/Water/Charting_Our_Water_Future_Full_Report_001.pdf","author":[{"family":"The 2030 Water Resource Group","given":""}],"issued":{"date-parts":[["2009"]]},"accessed":{"date-parts":[["2010",3,6]]}}}],"schema":"https://github.com/citation-style-language/schema/raw/master/csl-citation.json"} </w:instrText>
      </w:r>
      <w:r w:rsidRPr="007F272F">
        <w:rPr>
          <w:rFonts w:eastAsia="Calibri" w:cs="Arial"/>
          <w:szCs w:val="20"/>
          <w:lang w:val="sl-SI"/>
        </w:rPr>
        <w:fldChar w:fldCharType="separate"/>
      </w:r>
      <w:r w:rsidRPr="005771BD">
        <w:rPr>
          <w:rFonts w:eastAsia="Calibri" w:cs="Arial"/>
          <w:szCs w:val="20"/>
          <w:lang w:val="sl-SI"/>
        </w:rPr>
        <w:t>The 2030 Water Resource Group, 2009)</w:t>
      </w:r>
      <w:r w:rsidRPr="007F272F">
        <w:rPr>
          <w:rFonts w:eastAsia="Calibri" w:cs="Arial"/>
          <w:szCs w:val="20"/>
          <w:lang w:val="sl-SI"/>
        </w:rPr>
        <w:fldChar w:fldCharType="end"/>
      </w:r>
      <w:r w:rsidRPr="005771BD">
        <w:rPr>
          <w:rFonts w:eastAsia="Calibri" w:cs="Arial"/>
          <w:szCs w:val="20"/>
          <w:lang w:val="sl-SI"/>
        </w:rPr>
        <w:t>.</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Tudi skupne potrebe po hrani, krmi in vlakninah naj bi se do leta 2050 povečale za približno 60 % </w:t>
      </w:r>
      <w:r w:rsidRPr="007F272F">
        <w:rPr>
          <w:rFonts w:eastAsia="Calibri" w:cs="Arial"/>
          <w:szCs w:val="20"/>
          <w:lang w:val="sl-SI"/>
        </w:rPr>
        <w:fldChar w:fldCharType="begin"/>
      </w:r>
      <w:r w:rsidRPr="005771BD">
        <w:rPr>
          <w:rFonts w:eastAsia="Calibri" w:cs="Arial"/>
          <w:szCs w:val="20"/>
          <w:lang w:val="sl-SI"/>
        </w:rPr>
        <w:instrText xml:space="preserve"> ADDIN ZOTERO_ITEM CSL_CITATION {"citationID":"JYUTGRO0","properties":{"formattedCitation":"(FAO, 2012)","plainCitation":"(FAO, 2012)"},"citationItems":[{"id":875,"uris":["http://zotero.org/groups/122386/items/SQPI5KGE"],"uri":["http://zotero.org/groups/122386/items/SQPI5KGE"],"itemData":{"id":875,"type":"report","title":"World agriculture towards 2030/2050: the 2012 revision","publisher":"United Nations Food and Agriculture Organization","publisher-place":"Rome, Italy","event-place":"Rome, Italy","URL":"http://www.fao.org/docrep/016/ap106e/ap106e.pdf","number":"ESA Working Paper 12-03","author":[{"family":"FAO","given":""}],"issued":{"date-parts":[["2012"]]}}}],"schema":"https://github.com/citation-style-language/schema/raw/master/csl-citation.json"} </w:instrText>
      </w:r>
      <w:r w:rsidRPr="007F272F">
        <w:rPr>
          <w:rFonts w:eastAsia="Calibri" w:cs="Arial"/>
          <w:szCs w:val="20"/>
          <w:lang w:val="sl-SI"/>
        </w:rPr>
        <w:fldChar w:fldCharType="separate"/>
      </w:r>
      <w:r w:rsidRPr="005771BD">
        <w:rPr>
          <w:rFonts w:eastAsia="Calibri" w:cs="Arial"/>
          <w:szCs w:val="20"/>
          <w:lang w:val="sl-SI"/>
        </w:rPr>
        <w:t>(FAO, 2012)</w:t>
      </w:r>
      <w:r w:rsidRPr="007F272F">
        <w:rPr>
          <w:rFonts w:eastAsia="Calibri" w:cs="Arial"/>
          <w:szCs w:val="20"/>
          <w:lang w:val="sl-SI"/>
        </w:rPr>
        <w:fldChar w:fldCharType="end"/>
      </w:r>
      <w:r w:rsidRPr="005771BD">
        <w:rPr>
          <w:rFonts w:eastAsia="Calibri" w:cs="Arial"/>
          <w:szCs w:val="20"/>
          <w:lang w:val="sl-SI"/>
        </w:rPr>
        <w:t xml:space="preserve">, medtem ko se lahko zgodi, da se bo površina obdelovalnih zemljišč na prebivalca zmanjševala za 1,5 % na leto, če ne bo prišlo do bistvenih sprememb politik </w:t>
      </w:r>
      <w:r w:rsidRPr="007F272F">
        <w:rPr>
          <w:rFonts w:eastAsia="Calibri" w:cs="Arial"/>
          <w:szCs w:val="20"/>
          <w:lang w:val="sl-SI"/>
        </w:rPr>
        <w:fldChar w:fldCharType="begin"/>
      </w:r>
      <w:r w:rsidRPr="005771BD">
        <w:rPr>
          <w:rFonts w:eastAsia="Calibri" w:cs="Arial"/>
          <w:szCs w:val="20"/>
          <w:lang w:val="sl-SI"/>
        </w:rPr>
        <w:instrText xml:space="preserve"> ADDIN ZOTERO_ITEM CSL_CITATION {"citationID":"8h9pvGLy","properties":{"formattedCitation":"(FAO, 2009)","plainCitation":"(FAO, 2009)"},"citationItems":[{"id":4402,"uris":["http://zotero.org/groups/122386/items/9VHIDI47"],"uri":["http://zotero.org/groups/122386/items/9VHIDI47"],"itemData":{"id":4402,"type":"report","title":"How to feed the world in 2050. Issue brief for the High-level Expert Forum, Rome, 12–13 October 2009","publisher":"Food and Agriculture Organization of the United Nations.","URL":"www.fao.org/wsfs/forum2050/wsfs-background-documents/hlef-issues-briefs/en/","author":[{"family":"FAO","given":""}],"issued":{"date-parts":[["2009"]]},"accessed":{"date-parts":[["2010",5,20]]}}}],"schema":"https://github.com/citation-style-language/schema/raw/master/csl-citation.json"} </w:instrText>
      </w:r>
      <w:r w:rsidRPr="007F272F">
        <w:rPr>
          <w:rFonts w:eastAsia="Calibri" w:cs="Arial"/>
          <w:szCs w:val="20"/>
          <w:lang w:val="sl-SI"/>
        </w:rPr>
        <w:fldChar w:fldCharType="separate"/>
      </w:r>
      <w:r w:rsidRPr="005771BD">
        <w:rPr>
          <w:rFonts w:eastAsia="Calibri" w:cs="Arial"/>
          <w:szCs w:val="20"/>
          <w:lang w:val="sl-SI"/>
        </w:rPr>
        <w:t>(FAO, 2009)</w:t>
      </w:r>
      <w:r w:rsidRPr="007F272F">
        <w:rPr>
          <w:rFonts w:eastAsia="Calibri" w:cs="Arial"/>
          <w:szCs w:val="20"/>
          <w:lang w:val="sl-SI"/>
        </w:rPr>
        <w:fldChar w:fldCharType="end"/>
      </w:r>
      <w:r w:rsidRPr="005771BD">
        <w:rPr>
          <w:rFonts w:eastAsia="Calibri" w:cs="Arial"/>
          <w:szCs w:val="20"/>
          <w:lang w:val="sl-SI"/>
        </w:rPr>
        <w:t xml:space="preserve">. </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Človekovo prisvajanje neto primarne proizvodnje (tj. deleža rasti vegetacije, ki jo neposredno ali posredno uporabijo ljudje) se nenehno povečuje hkrati z rastjo prebivalstva. Zaradi spremenjene rabe tal, ki jo povzroča človek, na primer s spreminjanjem gozdov v kmetijske površine ali infrastrukturo (kamor spada tudi rudarstvo), prihaja do prisvajanja  biomase v Afriki, na Bližnjem vzhodu, v vzhodni Evropi, osrednji Aziji in Rusiji. Nasprotno pa zaradi kmetijske pridelave in sečnje prihaja do prisvajanja v zahodnih industrijskih državah in Aziji.</w:t>
      </w:r>
    </w:p>
    <w:p w:rsidR="00C90D7B" w:rsidRPr="005771BD" w:rsidRDefault="00C90D7B" w:rsidP="00C90D7B">
      <w:pPr>
        <w:spacing w:after="200" w:line="276" w:lineRule="auto"/>
        <w:jc w:val="both"/>
        <w:rPr>
          <w:rFonts w:eastAsia="Calibri" w:cs="Arial"/>
          <w:szCs w:val="20"/>
          <w:lang w:val="sl-SI"/>
        </w:rPr>
      </w:pPr>
      <w:r>
        <w:rPr>
          <w:rFonts w:eastAsia="Calibri" w:cs="Arial"/>
          <w:szCs w:val="20"/>
          <w:lang w:val="sl-SI"/>
        </w:rPr>
        <w:t>Č</w:t>
      </w:r>
      <w:r w:rsidRPr="005771BD">
        <w:rPr>
          <w:rFonts w:eastAsia="Calibri" w:cs="Arial"/>
          <w:szCs w:val="20"/>
          <w:lang w:val="sl-SI"/>
        </w:rPr>
        <w:t xml:space="preserve">e te trende obravnavamo ločeno, je vsak zase zaskrbljujoč. Vsi skupaj pa bodo prav gotovo močno vplivali na stanje okolja in razpoložljivost ključnih svetovnih virov. Zaradi vse večje zaskrbljenosti glede zanesljivosti oskrbe s hrano, vodo in energijo, je v zadnjih 5–10 letih prihajalo do </w:t>
      </w:r>
      <w:r w:rsidRPr="005771BD">
        <w:rPr>
          <w:rFonts w:eastAsia="Calibri" w:cs="Arial"/>
          <w:b/>
          <w:szCs w:val="20"/>
          <w:lang w:val="sl-SI"/>
        </w:rPr>
        <w:t>pridobivanja zemljišč na meddržavni ravni</w:t>
      </w:r>
      <w:r w:rsidRPr="005771BD">
        <w:rPr>
          <w:rFonts w:eastAsia="Calibri" w:cs="Arial"/>
          <w:szCs w:val="20"/>
          <w:lang w:val="sl-SI"/>
        </w:rPr>
        <w:t>, še zlasti v državah v razvoju. Samo med letoma 2005 in 2009 so na svetovni ravni tujci skupaj pokupili 470.000 km</w:t>
      </w:r>
      <w:r w:rsidRPr="005771BD">
        <w:rPr>
          <w:rFonts w:eastAsia="Calibri" w:cs="Arial"/>
          <w:szCs w:val="20"/>
          <w:vertAlign w:val="superscript"/>
          <w:lang w:val="sl-SI"/>
        </w:rPr>
        <w:t>2</w:t>
      </w:r>
      <w:r w:rsidRPr="005771BD">
        <w:rPr>
          <w:rFonts w:eastAsia="Calibri" w:cs="Arial"/>
          <w:szCs w:val="20"/>
          <w:lang w:val="sl-SI"/>
        </w:rPr>
        <w:t xml:space="preserve"> zemljišč, kar ustreza velikosti Španije. V nekaterih državah (zlasti v Afriki) so obsežne kmetijske površine prodali tujim vlagateljem, predvsem iz Evrope, severne Amerike, Kitajske in Bližnjega vzhoda. </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 xml:space="preserve">Pričakujemo lahko, da bo vse večje povpraševanje po hrani skupaj z rastjo prebivalstva in podnebnimi spremembami močno ogrozilo </w:t>
      </w:r>
      <w:r w:rsidRPr="005771BD">
        <w:rPr>
          <w:rFonts w:eastAsia="Calibri" w:cs="Arial"/>
          <w:b/>
          <w:szCs w:val="20"/>
          <w:lang w:val="sl-SI"/>
        </w:rPr>
        <w:t>razpoložljivost sladke vode</w:t>
      </w:r>
      <w:r w:rsidRPr="005771BD">
        <w:rPr>
          <w:rFonts w:eastAsia="Calibri" w:cs="Arial"/>
          <w:szCs w:val="20"/>
          <w:lang w:val="sl-SI"/>
        </w:rPr>
        <w:t xml:space="preserve"> </w:t>
      </w:r>
      <w:r w:rsidRPr="007F272F">
        <w:rPr>
          <w:rFonts w:eastAsia="Calibri" w:cs="Arial"/>
          <w:szCs w:val="20"/>
          <w:lang w:val="sl-SI"/>
        </w:rPr>
        <w:fldChar w:fldCharType="begin"/>
      </w:r>
      <w:r w:rsidRPr="005771BD">
        <w:rPr>
          <w:rFonts w:eastAsia="Calibri" w:cs="Arial"/>
          <w:szCs w:val="20"/>
          <w:lang w:val="sl-SI"/>
        </w:rPr>
        <w:instrText xml:space="preserve"> ADDIN ZOTERO_ITEM CSL_CITATION {"citationID":"Lmq4CQRd","properties":{"formattedCitation":"(Murray et al., 2012)","plainCitation":"(Murray et al., 2012)"},"citationItems":[{"id":944,"uris":["http://zotero.org/groups/122386/items/U7UUQZPR"],"uri":["http://zotero.org/groups/122386/items/U7UUQZPR"],"itemData":{"id":944,"type":"article-journal","title":"Future global water resources with respect to climate change and water withdrawals as estimated by a dynamic global vegetation model","container-title":"Journal of Hydrology","page":"14-29","volume":"448–449","source":"ScienceDirect","abstract":"Summary\nThe Land-surface Processes and eXchanges (LPX) dynamic global vegetation model, which incorporates process-based representations of the terrestrial biosphere, is used to simulate the effects of climatic change (via pattern-scaled temperature change scenarios based on six general circulation models) on global and large catchment freshwater resources towards the end of the 21st century. Socio-economic change is addressed by using water withdrawal estimates from the WaterGAP hydrological model.\n\nClimate change and population growth together increase water stress in many regions, particularly between 10°N and 50°N, for 2070–2099 relative to 1961–1990. Changes in runoff are most highly correlated with precipitation in 75% of the large global catchments tested. However, in all catchments the runoff ratio increases between these periods. This increase depends on vegetation playing a role: through physiological responses to enhanced carbon dioxide concentrations and also regionally through decreased fractional plant coverage.\n\nWith increasing temperature, global mean annual precipitation is shown to increase in many regions, including some which are densely populated (e.g. the Yangtze catchment). This increase leads to a slight alleviation in the numbers of people residing in highly water-stressed environments (relative to lower-end temperature projections), providing associated changes to the timings of runoff allow the water resource to be usable to the same extent.\n\nThis research predominantly focuses on climate changes scaled to an increase of 2 °C by 2050. It suggests that variability in the magnitude of runoff outputs among GCM forcings for this degree of warming requires further constraint in order to better inform regional water resources policy.","DOI":"10.1016/j.jhydrol.2012.02.044","ISSN":"0022-1694","journalAbbreviation":"Journal of Hydrology","author":[{"family":"Murray","given":"S.J."},{"family":"Foster","given":"P.N."},{"family":"Prentice","given":"I.C."}],"issued":{"date-parts":[["2012",7,2]]},"accessed":{"date-parts":[["2013",10,21]]}}}],"schema":"https://github.com/citation-style-language/schema/raw/master/csl-citation.json"} </w:instrText>
      </w:r>
      <w:r w:rsidRPr="007F272F">
        <w:rPr>
          <w:rFonts w:eastAsia="Calibri" w:cs="Arial"/>
          <w:szCs w:val="20"/>
          <w:lang w:val="sl-SI"/>
        </w:rPr>
        <w:fldChar w:fldCharType="separate"/>
      </w:r>
      <w:r w:rsidRPr="005771BD">
        <w:rPr>
          <w:rFonts w:eastAsia="Calibri" w:cs="Arial"/>
          <w:szCs w:val="20"/>
          <w:lang w:val="sl-SI"/>
        </w:rPr>
        <w:t>(Murray idr., 2012)</w:t>
      </w:r>
      <w:r w:rsidRPr="007F272F">
        <w:rPr>
          <w:rFonts w:eastAsia="Calibri" w:cs="Arial"/>
          <w:szCs w:val="20"/>
          <w:lang w:val="sl-SI"/>
        </w:rPr>
        <w:fldChar w:fldCharType="end"/>
      </w:r>
      <w:r w:rsidRPr="005771BD">
        <w:rPr>
          <w:rFonts w:eastAsia="Calibri" w:cs="Arial"/>
          <w:szCs w:val="20"/>
          <w:lang w:val="sl-SI"/>
        </w:rPr>
        <w:t xml:space="preserve">. Tudi če jo bomo uporabljali bolj učinkovito, bi lahko popolna intenzifikacija kmetijstva, ki bo zaradi rasti prebivalstva in sprememb v načinu prehranjevanja potrebna, da bi zadostili vse večjemu svetovnemu povpraševanju po hrani in krmi, povzročila hudo pomanjkanje vode na številnih območjih po svetu </w:t>
      </w:r>
      <w:r w:rsidRPr="007F272F">
        <w:rPr>
          <w:rFonts w:eastAsia="Calibri" w:cs="Arial"/>
          <w:szCs w:val="20"/>
          <w:lang w:val="sl-SI"/>
        </w:rPr>
        <w:fldChar w:fldCharType="begin"/>
      </w:r>
      <w:r w:rsidRPr="005771BD">
        <w:rPr>
          <w:rFonts w:eastAsia="Calibri" w:cs="Arial"/>
          <w:szCs w:val="20"/>
          <w:lang w:val="sl-SI"/>
        </w:rPr>
        <w:instrText xml:space="preserve"> ADDIN ZOTERO_ITEM CSL_CITATION {"citationID":"mKmUxHdJ","properties":{"formattedCitation":"(Pfister et al., 2011)","plainCitation":"(Pfister et al., 2011)"},"citationItems":[{"id":439,"uris":["http://zotero.org/groups/122386/items/EIJM93AQ"],"uri":["http://zotero.org/groups/122386/items/EIJM93AQ"],"itemData":{"id":439,"type":"article-journal","title":"Projected water consumption in future global agriculture: Scenarios and related impacts","container-title":"Science of The Total Environment","page":"4206-4216","volume":"409","issue":"20","source":"ScienceDirect","abstract":"Global stress on water and land resources is increasing as a consequence of population growth and higher caloric food demand. Many terrestrial ecosystems have already massively been degraded for providing agricultural land, and water scarcity related to irrigation has damaged water dependent ecosystems. Coping with the food and biomass demand of an increased population, while minimizing the impacts of crop production, is therefore a massive upcoming challenge. In this context, we developed four strategies to deliver the biotic output for feeding mankind in 2050. Expansion on suitable and intensification of existing areas are compared to assess associated environmental impacts, including irrigation demand, water stress under climate change, and the productivity of the occupied land. Based on the agricultural production pattern and impacts of the strategies we identified the trade-offs between land and water use. Intensification in regions currently under deficit irrigation can increase agricultural output by up to 30%. However, intensified crop production causes enormous water stress in many locations and might not be a viable solution. Furthermore, intensification alone will not be able to meet future food demand: additionally, a reduction of waste by 50% along the food supply chain or expansion of agricultural land is required for satisfying current per-capita meat and bioenergy consumption. Suitable areas for such expansion are mainly located in Africa, followed by South America. The increased land stress is of smaller concern than the water stress modeled for the intensification case. Therefore, a combination of waste reduction with expansion on suitable pastures generally results as the best option, along with some intensification on selected areas. Our results suggested that minimizing environmental impacts requires fundamental changes in agricultural systems and international cooperation, by producing crops where it is most environmentally efficient and not where it is closest to demand or cheapest.","DOI":"10.1016/j.scitotenv.2011.07.019","ISSN":"0048-9697","shortTitle":"Projected water consumption in future global agriculture","journalAbbreviation":"Science of The Total Environment","author":[{"family":"Pfister","given":"Stephan"},{"family":"Bayer","given":"Peter"},{"family":"Koehler","given":"Annette"},{"family":"Hellweg","given":"Stefanie"}],"issued":{"date-parts":[["2011",9,15]]},"accessed":{"date-parts":[["2013",10,21]]}}}],"schema":"https://github.com/citation-style-language/schema/raw/master/csl-citation.json"} </w:instrText>
      </w:r>
      <w:r w:rsidRPr="007F272F">
        <w:rPr>
          <w:rFonts w:eastAsia="Calibri" w:cs="Arial"/>
          <w:szCs w:val="20"/>
          <w:lang w:val="sl-SI"/>
        </w:rPr>
        <w:fldChar w:fldCharType="separate"/>
      </w:r>
      <w:r w:rsidRPr="005771BD">
        <w:rPr>
          <w:rFonts w:eastAsia="Calibri" w:cs="Arial"/>
          <w:szCs w:val="20"/>
          <w:lang w:val="sl-SI"/>
        </w:rPr>
        <w:t>(Pfister idr., 2011)</w:t>
      </w:r>
      <w:r w:rsidRPr="007F272F">
        <w:rPr>
          <w:rFonts w:eastAsia="Calibri" w:cs="Arial"/>
          <w:szCs w:val="20"/>
          <w:lang w:val="sl-SI"/>
        </w:rPr>
        <w:fldChar w:fldCharType="end"/>
      </w:r>
      <w:r w:rsidRPr="005771BD">
        <w:rPr>
          <w:rFonts w:eastAsia="Calibri" w:cs="Arial"/>
          <w:szCs w:val="20"/>
          <w:lang w:val="sl-SI"/>
        </w:rPr>
        <w:t>.</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 xml:space="preserve">Vse hujše pomanjkanje virov v drugih delih sveta bi imelo daljnosežne posledice za Evropo. Najočitnejša med njimi je neizprosna </w:t>
      </w:r>
      <w:r w:rsidRPr="005771BD">
        <w:rPr>
          <w:rFonts w:eastAsia="Calibri" w:cs="Arial"/>
          <w:b/>
          <w:szCs w:val="20"/>
          <w:lang w:val="sl-SI"/>
        </w:rPr>
        <w:t>tekma za vire</w:t>
      </w:r>
      <w:r w:rsidRPr="005771BD">
        <w:rPr>
          <w:rFonts w:eastAsia="Calibri" w:cs="Arial"/>
          <w:szCs w:val="20"/>
          <w:lang w:val="sl-SI"/>
        </w:rPr>
        <w:t>, ki vzbuja zaskrbljenost glede varnosti dostopa do ključnih virov. Cene glavnih vrst virov so se v zadnjih letih zvišale, potem ko je več desetletij kazalo, da dolgoročno upadajo. Višje cene zmanjšujejo kupno moč vseh potrošnikov, pogosto pa to najbolj občutijo prav najrevnejši (</w:t>
      </w:r>
      <w:r w:rsidRPr="005771BD">
        <w:rPr>
          <w:rFonts w:eastAsia="Calibri" w:cs="Arial"/>
          <w:szCs w:val="20"/>
          <w:vertAlign w:val="superscript"/>
          <w:lang w:val="sl-SI"/>
        </w:rPr>
        <w:footnoteReference w:id="2"/>
      </w:r>
      <w:r w:rsidRPr="005771BD">
        <w:rPr>
          <w:rFonts w:eastAsia="Calibri" w:cs="Arial"/>
          <w:szCs w:val="20"/>
          <w:lang w:val="sl-SI"/>
        </w:rPr>
        <w:t>).</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 xml:space="preserve">Tak razvoj bo posredno in neposredno vplival na </w:t>
      </w:r>
      <w:r w:rsidRPr="005771BD">
        <w:rPr>
          <w:rFonts w:eastAsia="Calibri" w:cs="Arial"/>
          <w:b/>
          <w:szCs w:val="20"/>
          <w:lang w:val="sl-SI"/>
        </w:rPr>
        <w:t>zanesljivost oskrbe z viri</w:t>
      </w:r>
      <w:r w:rsidRPr="005771BD">
        <w:rPr>
          <w:rFonts w:eastAsia="Calibri" w:cs="Arial"/>
          <w:szCs w:val="20"/>
          <w:lang w:val="sl-SI"/>
        </w:rPr>
        <w:t xml:space="preserve"> v prihodnosti. Dolgoročna oskrba s hrano, energijo, vodo in snovnimi viri ter dostop do njih sta v Evropi odvisna ne le od izboljševanja učinkovitosti njihove rabe in zagotavljanja odpornih ekosistemov, temveč tudi od svetovnih trendov, nad katerimi Evropa nima nadzora. Evropska prizadevanja za zmanjšanje pritiskov na okolje dosegajo vse manjši učinek zaradi neustavljivih trendov v drugih delih sveta.</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 xml:space="preserve">Ob predvideni smeri razvoja se zastavlja vprašanje, ali lahko </w:t>
      </w:r>
      <w:r w:rsidRPr="005771BD">
        <w:rPr>
          <w:rFonts w:eastAsia="Calibri" w:cs="Arial"/>
          <w:b/>
          <w:szCs w:val="20"/>
          <w:lang w:val="sl-SI"/>
        </w:rPr>
        <w:t>ekološke meje planeta</w:t>
      </w:r>
      <w:r w:rsidRPr="005771BD">
        <w:rPr>
          <w:rFonts w:eastAsia="Calibri" w:cs="Arial"/>
          <w:szCs w:val="20"/>
          <w:lang w:val="sl-SI"/>
        </w:rPr>
        <w:t xml:space="preserve"> zdržijo gospodarsko rast, na katero se opirajo naši vzorci potrošnje in proizvodnje.</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Te spremembe kažejo, kako pomembna je povezava med trajnostno naravnanostjo gospodarstva in stanjem okolja. Poskrbeti moramo, da bo okolje lahko zadovoljevalo naše materialne potrebe in nam hkrati zagotavljalo zdrav življenjski prostor. Očitno je, da bo gospodarska uspešnost v prihodnosti odvisna od tega, ali bodo okoljski vidiki postali temeljni del naših gospodarskih in socialnih politik</w:t>
      </w:r>
      <w:r w:rsidRPr="005771BD">
        <w:rPr>
          <w:rFonts w:eastAsia="Calibri" w:cs="Arial"/>
          <w:szCs w:val="20"/>
          <w:vertAlign w:val="superscript"/>
          <w:lang w:val="sl-SI"/>
        </w:rPr>
        <w:footnoteReference w:id="3"/>
      </w:r>
      <w:r w:rsidRPr="005771BD">
        <w:rPr>
          <w:rFonts w:eastAsia="Calibri" w:cs="Arial"/>
          <w:szCs w:val="20"/>
          <w:lang w:val="sl-SI"/>
        </w:rPr>
        <w:t>, namesto da na varstvo okolja gledamo kot na nekaj postranskega.</w:t>
      </w:r>
    </w:p>
    <w:p w:rsidR="00C90D7B" w:rsidRPr="005771BD" w:rsidRDefault="00C90D7B" w:rsidP="00C90D7B">
      <w:pPr>
        <w:spacing w:after="200" w:line="276" w:lineRule="auto"/>
        <w:jc w:val="both"/>
        <w:rPr>
          <w:rFonts w:eastAsia="Calibri" w:cs="Arial"/>
          <w:szCs w:val="20"/>
          <w:lang w:val="sl-SI"/>
        </w:rPr>
      </w:pPr>
    </w:p>
    <w:p w:rsidR="00C90D7B" w:rsidRPr="005771BD" w:rsidRDefault="00786EDB" w:rsidP="00C90D7B">
      <w:pPr>
        <w:spacing w:after="200" w:line="276" w:lineRule="auto"/>
        <w:jc w:val="both"/>
        <w:rPr>
          <w:rFonts w:eastAsia="Calibri" w:cs="Arial"/>
          <w:b/>
          <w:szCs w:val="20"/>
          <w:u w:val="single"/>
          <w:lang w:val="sl-SI"/>
        </w:rPr>
      </w:pPr>
      <w:r>
        <w:rPr>
          <w:rFonts w:eastAsia="Calibri" w:cs="Arial"/>
          <w:b/>
          <w:szCs w:val="20"/>
          <w:u w:val="single"/>
          <w:lang w:val="sl-SI"/>
        </w:rPr>
        <w:t>3</w:t>
      </w:r>
      <w:r w:rsidR="00C90D7B" w:rsidRPr="005771BD">
        <w:rPr>
          <w:rFonts w:eastAsia="Calibri" w:cs="Arial"/>
          <w:b/>
          <w:szCs w:val="20"/>
          <w:u w:val="single"/>
          <w:lang w:val="sl-SI"/>
        </w:rPr>
        <w:t>.5 Evropski vzorci potrošnje in proizvodnje vplivajo na okolje v Evropi in po svetu</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 xml:space="preserve">Globalizacija ne pomeni le, da družba, gospodarstvo in okolje v Evropi občutijo posledice svetovnih trendov. Pomeni tudi, da vzorci potrošnje in proizvodnje v posamezni državi ali regiji prispevajo k pritiskom na okolje drugod po svetu. </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Posledice evropske potrošnje in proizvodnje, ki se kažejo na okolju, lahko razumemo z dveh vidikov. Prvi je vidik „proizvodnje“, ki širše obravnava pritiske, izhajajoče iz rabe virov, izpustov in siromašenja ekosistemov na območju Evrope. Drugi je vidik „potrošnje“, ki se osredotoča na pritiske na okolje, ki so posledica uporabljenih virov ali izpustov, povezanih z izdelki in storitvami, uporabljenimi oziroma opravljenimi v Evropi – ne glede na njihovo poreklo.</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 xml:space="preserve">Precejšen delež pritiskov na okolje, povezanih s potrošnjo v EU, občutijo tudi zunaj EU. Glede na vrsto pritiska občutijo onkraj meja Evrope 24–56 % skupnega z njim povezanega odtisa </w:t>
      </w:r>
      <w:r w:rsidRPr="007F272F">
        <w:rPr>
          <w:rFonts w:eastAsia="Calibri" w:cs="Arial"/>
          <w:szCs w:val="20"/>
          <w:lang w:val="sl-SI"/>
        </w:rPr>
        <w:fldChar w:fldCharType="begin"/>
      </w:r>
      <w:r w:rsidRPr="005771BD">
        <w:rPr>
          <w:rFonts w:eastAsia="Calibri" w:cs="Arial"/>
          <w:szCs w:val="20"/>
          <w:lang w:val="sl-SI"/>
        </w:rPr>
        <w:instrText xml:space="preserve"> ADDIN ZOTERO_ITEM CSL_CITATION {"citationID":"weh8Ghw4","properties":{"formattedCitation":"(EEA, 2014f)","plainCitation":"(EEA, 2014f)"},"citationItems":[{"id":631,"uris":["http://zotero.org/groups/122386/items/IK35MXUC"],"uri":["http://zotero.org/groups/122386/items/IK35MXUC"],"itemData":{"id":631,"type":"report","title":"Environmental indicator report 2014: Environmental impacts of production-consumption systems  in Europe","publisher":"European Environment Agency","publisher-place":"Copenhagen, Denmark","event-place":"Copenhagen, Denmark","author":[{"family":"EEA","given":""}],"issued":{"date-parts":[["2014"]]}}}],"schema":"https://github.com/citation-style-language/schema/raw/master/csl-citation.json"} </w:instrText>
      </w:r>
      <w:r w:rsidRPr="007F272F">
        <w:rPr>
          <w:rFonts w:eastAsia="Calibri" w:cs="Arial"/>
          <w:szCs w:val="20"/>
          <w:lang w:val="sl-SI"/>
        </w:rPr>
        <w:fldChar w:fldCharType="separate"/>
      </w:r>
      <w:r w:rsidRPr="005771BD">
        <w:rPr>
          <w:rFonts w:eastAsia="Calibri" w:cs="Arial"/>
          <w:szCs w:val="20"/>
          <w:lang w:val="sl-SI"/>
        </w:rPr>
        <w:t>(EEA, 2014f)</w:t>
      </w:r>
      <w:r w:rsidRPr="007F272F">
        <w:rPr>
          <w:rFonts w:eastAsia="Calibri" w:cs="Arial"/>
          <w:szCs w:val="20"/>
          <w:lang w:val="sl-SI"/>
        </w:rPr>
        <w:fldChar w:fldCharType="end"/>
      </w:r>
      <w:r w:rsidRPr="005771BD">
        <w:rPr>
          <w:rFonts w:eastAsia="Calibri" w:cs="Arial"/>
          <w:szCs w:val="20"/>
          <w:lang w:val="sl-SI"/>
        </w:rPr>
        <w:t>. Ocenjuje se, da je v povprečju zunaj EU kar 56 % zemljišč povezanih s proizvodnjo izdelkov, ki jih uporabimo v EU. Delež okoljskega odtisa, ki ga zaradi porabe v EU občutijo zunaj meja EU, se je v zadnjem desetletju povečal pri rabi tal, vode in snovi, pa tudi pri izpustih v zrak.</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 xml:space="preserve">Ocene kažejo, da se celotne snovne potrebe in izpusti, ki jih povzročajo tri evropska področja potrošnje z največjo stopnjo </w:t>
      </w:r>
      <w:r>
        <w:rPr>
          <w:rFonts w:eastAsia="Calibri" w:cs="Arial"/>
          <w:szCs w:val="20"/>
          <w:lang w:val="sl-SI"/>
        </w:rPr>
        <w:t>obremenitve</w:t>
      </w:r>
      <w:r w:rsidRPr="005771BD">
        <w:rPr>
          <w:rFonts w:eastAsia="Calibri" w:cs="Arial"/>
          <w:szCs w:val="20"/>
          <w:lang w:val="sl-SI"/>
        </w:rPr>
        <w:t xml:space="preserve"> okolje, tj. hrana, mobilnost in stanovanja (grajeno okolje), med letoma 2000 in 2007 niso bistveno zmanjšali </w:t>
      </w:r>
      <w:r w:rsidRPr="007F272F">
        <w:rPr>
          <w:rFonts w:eastAsia="Calibri" w:cs="Arial"/>
          <w:szCs w:val="20"/>
          <w:lang w:val="sl-SI"/>
        </w:rPr>
        <w:fldChar w:fldCharType="begin"/>
      </w:r>
      <w:r w:rsidRPr="005771BD">
        <w:rPr>
          <w:rFonts w:eastAsia="Calibri" w:cs="Arial"/>
          <w:szCs w:val="20"/>
          <w:lang w:val="sl-SI"/>
        </w:rPr>
        <w:instrText xml:space="preserve"> ADDIN ZOTERO_ITEM CSL_CITATION {"citationID":"5H3vAqDo","properties":{"formattedCitation":"(EEA, 2014r)","plainCitation":"(EEA, 2014r)"},"citationItems":[{"id":4409,"uris":["http://zotero.org/groups/122386/items/HI9EQ375"],"uri":["http://zotero.org/groups/122386/items/HI9EQ375"],"itemData":{"id":4409,"type":"report","title":"Progress on resource efficiency and decoupling in the EU</w:instrText>
      </w:r>
      <w:r w:rsidRPr="005771BD">
        <w:rPr>
          <w:rFonts w:eastAsia="Calibri" w:cs="Arial"/>
          <w:szCs w:val="20"/>
          <w:lang w:val="sl-SI"/>
        </w:rPr>
        <w:noBreakHyphen/>
        <w:instrText xml:space="preserve">27","collection-title":"EEA Technical Report","publisher":"European Environment Agency","publisher-place":"Copenhagen, Denmark","genre":"Technical report","event-place":"Copenhagen, Denmark","number":"7/2014","author":[{"family":"EEA","given":""}],"issued":{"date-parts":[["2014"]]}}}],"schema":"https://github.com/citation-style-language/schema/raw/master/csl-citation.json"} </w:instrText>
      </w:r>
      <w:r w:rsidRPr="007F272F">
        <w:rPr>
          <w:rFonts w:eastAsia="Calibri" w:cs="Arial"/>
          <w:szCs w:val="20"/>
          <w:lang w:val="sl-SI"/>
        </w:rPr>
        <w:fldChar w:fldCharType="separate"/>
      </w:r>
      <w:r w:rsidRPr="005771BD">
        <w:rPr>
          <w:rFonts w:eastAsia="Calibri" w:cs="Arial"/>
          <w:szCs w:val="20"/>
          <w:lang w:val="sl-SI"/>
        </w:rPr>
        <w:t>(EEA, 2014r)</w:t>
      </w:r>
      <w:r w:rsidRPr="007F272F">
        <w:rPr>
          <w:rFonts w:eastAsia="Calibri" w:cs="Arial"/>
          <w:szCs w:val="20"/>
          <w:lang w:val="sl-SI"/>
        </w:rPr>
        <w:fldChar w:fldCharType="end"/>
      </w:r>
      <w:r w:rsidRPr="005771BD">
        <w:rPr>
          <w:rFonts w:eastAsia="Calibri" w:cs="Arial"/>
          <w:szCs w:val="20"/>
          <w:lang w:val="sl-SI"/>
        </w:rPr>
        <w:t xml:space="preserve">. Vendar pa je pri proizvodnji na številnih gospodarskih področjih zaznati zmanjšanje potreb po snoveh in zmanjšanje izpustov ter prekinitev povezave med rastjo in izpusti. </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Izračuni vpliva potrošnje na okolje niso standardizirani, zato je ocene na tem področju težje uporabiti pri oblikovanju politik. Mednarodne okoljske konvencije (na primer Okvirna konvencija Združenih narodov o podnebnih spremembah) pri izračunavanju izpustov in omilitvenih prizadevanjih posameznih držav izhajajo iz „ozemeljskega“ vidika, pri čemer upoštevajo le območja, ki spadajo pod suverenost države in na katerih lahko država izvaja politike in izvaja zakonodajo.</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Čeprav mednarodne konvencije pri obravnavanju izpustov ne upoštevajo vidika potrošnje, pa je ta vidik upoštevan v politikah EU o trajnostni proizvodnji in potrošnji, na primer prek standardov, ki veljajo za izdelke, in pristopov, usmerjenih v upravljanje časa trajanja izdelkov.</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 xml:space="preserve">Na splošnejši ravni je razliko med pritiski proizvodnje in potrošnje mogoče ponazoriti s konceptom „odtisov“ </w:t>
      </w:r>
      <w:r w:rsidRPr="007F272F">
        <w:rPr>
          <w:rFonts w:eastAsia="Calibri" w:cs="Arial"/>
          <w:szCs w:val="20"/>
          <w:lang w:val="sl-SI"/>
        </w:rPr>
        <w:fldChar w:fldCharType="begin"/>
      </w:r>
      <w:r w:rsidRPr="005771BD">
        <w:rPr>
          <w:rFonts w:eastAsia="Calibri" w:cs="Arial"/>
          <w:szCs w:val="20"/>
          <w:lang w:val="sl-SI"/>
        </w:rPr>
        <w:instrText xml:space="preserve"> ADDIN ZOTERO_ITEM CSL_CITATION {"citationID":"LJtrVpBp","properties":{"formattedCitation":"(Tukker et al., 2014; WWF, 2014)","plainCitation":"(Tukker et al., 2014; WWF, 2014)"},"citationItems":[{"id":5366,"uris":["http://zotero.org/groups/122386/items/JAGGUIE4"],"uri":["http://zotero.org/groups/122386/items/JAGGUIE4"],"itemData":{"id":5366,"type":"report","title":"The Global Resource Footprint of Nations. Carbon, water, land and materials embodied in trade and final consumption calculated with EXIOBASE 2.1","publisher-place":"Leiden/Delft/Vienna/Trondheim","event-place":"Leiden/Delft/Vienna/Trondheim","author":[{"family":"Tukker","given":"Arnold"},{"family":"Tatyana Bulavskaya","given":""},{"family":"Giljum","given":"Stefan"},{"family":"Arjan de Koning","given":""},{"family":"Stephan Lutter","given":""},{"family":"Moana Simas","given":""},{"family":"Konstantin Stadler","given":""},{"family":"Richard Wood","given":""}],"issued":{"date-parts":[["2014"]]}},"label":"page"},{"id":5343,"uris":["http://zotero.org/groups/122386/items/C5CNSV7E"],"uri":["http://zotero.org/groups/122386/items/C5CNSV7E"],"itemData":{"id":5343,"type":"report","title":"Living Planet Report 2014 - Species and spaces, people and places","author":[{"family":"WWF","given":""}],"issued":{"date-parts":[["2014"]]}},"label":"page"}],"schema":"https://github.com/citation-style-language/schema/raw/master/csl-citation.json"} </w:instrText>
      </w:r>
      <w:r w:rsidRPr="007F272F">
        <w:rPr>
          <w:rFonts w:eastAsia="Calibri" w:cs="Arial"/>
          <w:szCs w:val="20"/>
          <w:lang w:val="sl-SI"/>
        </w:rPr>
        <w:fldChar w:fldCharType="separate"/>
      </w:r>
      <w:r w:rsidRPr="005771BD">
        <w:rPr>
          <w:rFonts w:eastAsia="Calibri" w:cs="Arial"/>
          <w:szCs w:val="20"/>
          <w:lang w:val="sl-SI"/>
        </w:rPr>
        <w:t>(npr. Tukker idr., 2014; WWF, 2014)</w:t>
      </w:r>
      <w:r w:rsidRPr="007F272F">
        <w:rPr>
          <w:rFonts w:eastAsia="Calibri" w:cs="Arial"/>
          <w:szCs w:val="20"/>
          <w:lang w:val="sl-SI"/>
        </w:rPr>
        <w:fldChar w:fldCharType="end"/>
      </w:r>
      <w:r w:rsidRPr="005771BD">
        <w:rPr>
          <w:rFonts w:eastAsia="Calibri" w:cs="Arial"/>
          <w:szCs w:val="20"/>
          <w:lang w:val="sl-SI"/>
        </w:rPr>
        <w:t xml:space="preserve">. Ta kazalec kaže, da v večini evropskih držav skupna raba zemljišč, obnovljivih snovnih virov in fosilnih goriv presega razpoložljivo biološko produktivno površino ali „biološko zmogljivost“. Iz razpoložljivih ocen </w:t>
      </w:r>
      <w:r>
        <w:rPr>
          <w:rFonts w:eastAsia="Calibri" w:cs="Arial"/>
          <w:szCs w:val="20"/>
          <w:lang w:val="sl-SI"/>
        </w:rPr>
        <w:t>izhaja</w:t>
      </w:r>
      <w:r w:rsidRPr="005771BD">
        <w:rPr>
          <w:rFonts w:eastAsia="Calibri" w:cs="Arial"/>
          <w:szCs w:val="20"/>
          <w:lang w:val="sl-SI"/>
        </w:rPr>
        <w:t xml:space="preserve">, da skupna svetovna potrošnja za več kot 50 odstotkov presega obnovitveno sposobnost našega planeta </w:t>
      </w:r>
      <w:r w:rsidRPr="007F272F">
        <w:rPr>
          <w:rFonts w:eastAsia="Calibri" w:cs="Arial"/>
          <w:szCs w:val="20"/>
          <w:lang w:val="sl-SI"/>
        </w:rPr>
        <w:fldChar w:fldCharType="begin"/>
      </w:r>
      <w:r w:rsidRPr="005771BD">
        <w:rPr>
          <w:rFonts w:eastAsia="Calibri" w:cs="Arial"/>
          <w:szCs w:val="20"/>
          <w:lang w:val="sl-SI"/>
        </w:rPr>
        <w:instrText xml:space="preserve"> ADDIN ZOTERO_ITEM CSL_CITATION {"citationID":"c0mEJ9t6","properties":{"formattedCitation":"(WWF, 2014)","plainCitation":"(WWF, 2014)"},"citationItems":[{"id":5343,"uris":["http://zotero.org/groups/122386/items/C5CNSV7E"],"uri":["http://zotero.org/groups/122386/items/C5CNSV7E"],"itemData":{"id":5343,"type":"report","title":"Living Planet Report 2014 - Species and spaces, people and places","author":[{"family":"WWF","given":""}],"issued":{"date-parts":[["2014"]]}}}],"schema":"https://github.com/citation-style-language/schema/raw/master/csl-citation.json"} </w:instrText>
      </w:r>
      <w:r w:rsidRPr="007F272F">
        <w:rPr>
          <w:rFonts w:eastAsia="Calibri" w:cs="Arial"/>
          <w:szCs w:val="20"/>
          <w:lang w:val="sl-SI"/>
        </w:rPr>
        <w:fldChar w:fldCharType="separate"/>
      </w:r>
      <w:r w:rsidRPr="005771BD">
        <w:rPr>
          <w:rFonts w:eastAsia="Calibri" w:cs="Arial"/>
          <w:szCs w:val="20"/>
          <w:lang w:val="sl-SI"/>
        </w:rPr>
        <w:t>(WWF, 2014)</w:t>
      </w:r>
      <w:r w:rsidRPr="007F272F">
        <w:rPr>
          <w:rFonts w:eastAsia="Calibri" w:cs="Arial"/>
          <w:szCs w:val="20"/>
          <w:lang w:val="sl-SI"/>
        </w:rPr>
        <w:fldChar w:fldCharType="end"/>
      </w:r>
      <w:r w:rsidRPr="005771BD">
        <w:rPr>
          <w:rFonts w:eastAsia="Calibri" w:cs="Arial"/>
          <w:szCs w:val="20"/>
          <w:lang w:val="sl-SI"/>
        </w:rPr>
        <w:t>.</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Evropske potrošniške navade torej vplivajo na svetovno okolje. Zastavlja se vprašanje, ali bi bili evropski vzorci potrošnje trajnostni, če bi jih upoštevali po vsem svetu — sploh glede na globalne okoljske spremembe, do katerih že prihaja.</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br/>
      </w:r>
      <w:r w:rsidRPr="007F272F">
        <w:rPr>
          <w:rFonts w:eastAsia="Calibri" w:cs="Arial"/>
          <w:noProof/>
          <w:szCs w:val="20"/>
          <w:lang w:val="sl-SI" w:eastAsia="sl-SI"/>
        </w:rPr>
        <w:drawing>
          <wp:inline distT="0" distB="0" distL="0" distR="0" wp14:anchorId="41069238" wp14:editId="34244962">
            <wp:extent cx="4346575" cy="3615055"/>
            <wp:effectExtent l="0" t="0" r="0" b="4445"/>
            <wp:docPr id="280" name="Slika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46575" cy="3615055"/>
                    </a:xfrm>
                    <a:prstGeom prst="rect">
                      <a:avLst/>
                    </a:prstGeom>
                    <a:noFill/>
                  </pic:spPr>
                </pic:pic>
              </a:graphicData>
            </a:graphic>
          </wp:inline>
        </w:drawing>
      </w:r>
    </w:p>
    <w:p w:rsidR="00C90D7B" w:rsidRPr="005771BD" w:rsidRDefault="00C90D7B" w:rsidP="00C90D7B">
      <w:pPr>
        <w:spacing w:line="276" w:lineRule="auto"/>
        <w:jc w:val="both"/>
        <w:rPr>
          <w:rFonts w:eastAsia="Calibri" w:cs="Arial"/>
          <w:szCs w:val="20"/>
          <w:lang w:val="sl-SI"/>
        </w:rPr>
      </w:pPr>
      <w:r w:rsidRPr="005771BD">
        <w:rPr>
          <w:rFonts w:eastAsia="Calibri" w:cs="Arial"/>
          <w:szCs w:val="20"/>
          <w:lang w:val="sl-SI"/>
        </w:rPr>
        <w:t xml:space="preserve">Slika </w:t>
      </w:r>
      <w:r w:rsidR="00786EDB">
        <w:rPr>
          <w:rFonts w:eastAsia="Calibri" w:cs="Arial"/>
          <w:szCs w:val="20"/>
          <w:lang w:val="sl-SI"/>
        </w:rPr>
        <w:t>3</w:t>
      </w:r>
      <w:r w:rsidRPr="005771BD">
        <w:rPr>
          <w:rFonts w:eastAsia="Calibri" w:cs="Arial"/>
          <w:szCs w:val="20"/>
          <w:lang w:val="sl-SI"/>
        </w:rPr>
        <w:t xml:space="preserve">.2: Delež skupnega okoljskega odtisa, povezanega s končno porabo v državah EU-27, ki ga občutijo zunaj meja EU </w:t>
      </w:r>
    </w:p>
    <w:p w:rsidR="00C90D7B" w:rsidRPr="005771BD" w:rsidRDefault="00C90D7B" w:rsidP="00C90D7B">
      <w:pPr>
        <w:spacing w:after="200" w:line="276" w:lineRule="auto"/>
        <w:jc w:val="both"/>
        <w:rPr>
          <w:rFonts w:eastAsia="Calibri" w:cs="Arial"/>
          <w:i/>
          <w:sz w:val="18"/>
          <w:szCs w:val="18"/>
          <w:lang w:val="sl-SI"/>
        </w:rPr>
      </w:pPr>
      <w:r w:rsidRPr="005771BD">
        <w:rPr>
          <w:rFonts w:eastAsia="Calibri" w:cs="Arial"/>
          <w:i/>
          <w:sz w:val="18"/>
          <w:szCs w:val="18"/>
          <w:lang w:val="sl-SI"/>
        </w:rPr>
        <w:t>Vir: Evropska okoljska agencija. Evropsko okolje, Stanje in napovedi 2015</w:t>
      </w:r>
    </w:p>
    <w:p w:rsidR="00C90D7B" w:rsidRPr="005771BD" w:rsidRDefault="00C90D7B" w:rsidP="00C90D7B">
      <w:pPr>
        <w:spacing w:after="200" w:line="276" w:lineRule="auto"/>
        <w:jc w:val="both"/>
        <w:rPr>
          <w:rFonts w:eastAsia="Calibri" w:cs="Arial"/>
          <w:szCs w:val="20"/>
          <w:lang w:val="sl-SI"/>
        </w:rPr>
      </w:pPr>
    </w:p>
    <w:p w:rsidR="00C90D7B" w:rsidRPr="005771BD" w:rsidRDefault="00786EDB" w:rsidP="00C90D7B">
      <w:pPr>
        <w:spacing w:after="200" w:line="276" w:lineRule="auto"/>
        <w:jc w:val="both"/>
        <w:rPr>
          <w:rFonts w:eastAsia="Calibri" w:cs="Arial"/>
          <w:b/>
          <w:szCs w:val="20"/>
          <w:u w:val="single"/>
          <w:lang w:val="sl-SI"/>
        </w:rPr>
      </w:pPr>
      <w:bookmarkStart w:id="3" w:name="_Toc418509816"/>
      <w:r>
        <w:rPr>
          <w:rFonts w:eastAsia="Calibri" w:cs="Arial"/>
          <w:b/>
          <w:szCs w:val="20"/>
          <w:u w:val="single"/>
          <w:lang w:val="sl-SI"/>
        </w:rPr>
        <w:t>3</w:t>
      </w:r>
      <w:r w:rsidR="00C90D7B" w:rsidRPr="005771BD">
        <w:rPr>
          <w:rFonts w:eastAsia="Calibri" w:cs="Arial"/>
          <w:b/>
          <w:szCs w:val="20"/>
          <w:u w:val="single"/>
          <w:lang w:val="sl-SI"/>
        </w:rPr>
        <w:t>.6 Človekove dejavnosti različno vplivajo na ključne ekosisteme</w:t>
      </w:r>
      <w:bookmarkEnd w:id="3"/>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Človek s svojimi dejavnostmi po vsem svetu že občutno spreminja glavne biogeokemične cikle na Zemlji. Te spremembe so dovolj velike, da spreminjajo normalno delovanje teh ciklov. Ti vključujejo poti za prenos in pretvorbo snovi, ki na ravni planeta potekajo v Zemljini biosferi, hidrosferi, litosferi in atmosferi. Uravnavajo prenos ogljika, dušika, fosforja, žvepla in vode, ki so temeljnega pomena za ekosisteme našega planeta </w:t>
      </w:r>
      <w:r w:rsidRPr="007F272F">
        <w:rPr>
          <w:rFonts w:eastAsia="Calibri" w:cs="Arial"/>
          <w:szCs w:val="20"/>
          <w:lang w:val="sl-SI"/>
        </w:rPr>
        <w:fldChar w:fldCharType="begin"/>
      </w:r>
      <w:r w:rsidRPr="005771BD">
        <w:rPr>
          <w:rFonts w:eastAsia="Calibri" w:cs="Arial"/>
          <w:szCs w:val="20"/>
          <w:lang w:val="sl-SI"/>
        </w:rPr>
        <w:instrText xml:space="preserve"> ADDIN ZOTERO_ITEM CSL_CITATION {"citationID":"QQZssPNS","properties":{"formattedCitation":"(Bolin and Cook, 1983)","plainCitation":"(Bolin and Cook, 1983)"},"citationItems":[{"id":4951,"uris":["http://zotero.org/groups/122386/items/S4I5RCGT"],"uri":["http://zotero.org/groups/122386/items/S4I5RCGT"],"itemData":{"id":4951,"type":"book","title":"The major biogeochemical cycles and their interactions","collection-title":"SCOPE","collection-number":"21","publisher":"Scientific Committee On Problems of the Environment (SCOPE)","author":[{"family":"Bolin","given":"Bert"},{"family":"Cook","given":"Robert B."}],"issued":{"date-parts":[["1983"]]}}}],"schema":"https://github.com/citation-style-language/schema/raw/master/csl-citation.json"} </w:instrText>
      </w:r>
      <w:r w:rsidRPr="007F272F">
        <w:rPr>
          <w:rFonts w:eastAsia="Calibri" w:cs="Arial"/>
          <w:szCs w:val="20"/>
          <w:lang w:val="sl-SI"/>
        </w:rPr>
        <w:fldChar w:fldCharType="separate"/>
      </w:r>
      <w:r w:rsidRPr="005771BD">
        <w:rPr>
          <w:rFonts w:eastAsia="Calibri" w:cs="Arial"/>
          <w:szCs w:val="20"/>
          <w:lang w:val="sl-SI"/>
        </w:rPr>
        <w:t>(Bolin in Cook, 1983)</w:t>
      </w:r>
      <w:r w:rsidRPr="007F272F">
        <w:rPr>
          <w:rFonts w:eastAsia="Calibri" w:cs="Arial"/>
          <w:szCs w:val="20"/>
          <w:lang w:val="sl-SI"/>
        </w:rPr>
        <w:fldChar w:fldCharType="end"/>
      </w:r>
      <w:r w:rsidRPr="005771BD">
        <w:rPr>
          <w:rFonts w:eastAsia="Calibri" w:cs="Arial"/>
          <w:szCs w:val="20"/>
          <w:lang w:val="sl-SI"/>
        </w:rPr>
        <w:t>.</w:t>
      </w:r>
    </w:p>
    <w:p w:rsidR="00C90D7B" w:rsidRPr="005771BD" w:rsidRDefault="00C90D7B" w:rsidP="00C90D7B">
      <w:pPr>
        <w:spacing w:line="276" w:lineRule="auto"/>
        <w:jc w:val="both"/>
        <w:rPr>
          <w:rFonts w:eastAsia="Calibri" w:cs="Arial"/>
          <w:szCs w:val="20"/>
          <w:lang w:val="sl-SI"/>
        </w:rPr>
      </w:pPr>
      <w:r w:rsidRPr="005771BD">
        <w:rPr>
          <w:rFonts w:eastAsia="Calibri" w:cs="Arial"/>
          <w:szCs w:val="20"/>
          <w:lang w:val="sl-SI"/>
        </w:rPr>
        <w:t xml:space="preserve">Poenostavljeno rečeno, lahko te spremembe povzamemo z dvema vrstama globalnih okoljskih sprememb, ki jih povzroča človek, in ki neposredno in posredno vplivata na stanje okolja v Evropi </w:t>
      </w:r>
      <w:r w:rsidRPr="007F272F">
        <w:rPr>
          <w:rFonts w:eastAsia="Calibri" w:cs="Arial"/>
          <w:szCs w:val="20"/>
          <w:lang w:val="sl-SI"/>
        </w:rPr>
        <w:fldChar w:fldCharType="begin"/>
      </w:r>
      <w:r w:rsidRPr="005771BD">
        <w:rPr>
          <w:rFonts w:eastAsia="Calibri" w:cs="Arial"/>
          <w:szCs w:val="20"/>
          <w:lang w:val="sl-SI"/>
        </w:rPr>
        <w:instrText xml:space="preserve"> ADDIN ZOTERO_ITEM CSL_CITATION {"citationID":"YaF0KbFs","properties":{"formattedCitation":"{\\rtf (Turner II et al., 1990; Rockstr\\uc0\\u246{}m et al., 2009a)}","plainCitation":"(Turner II et al., 1990; Rockström et al., 2009a)"},"citationItems":[{"id":4399,"uris":["http://zotero.org/groups/122386/items/6746K6P2"],"uri":["http://zotero.org/groups/122386/items/6746K6P2"],"itemData":{"id":4399,"type":"article-journal","title":"Two types of global environmental change: Definitional and spatial-scale issues in their human dimensions","container-title":"Global Environmental Change","abstract":"http://www.public.asu.edu/~bturner4/Turner%20et%20al%201990.pdf","URL":"http://www.public.asu.edu/~bturner4/Turner%20et%20al%201990.pdf","author":[{"family":"Turner II","given":"B.L."},{"family":"Kasperson","given":"Roger E."},{"family":"Meyer","given":"William B."},{"family":"Dow","given":"Kirstin M."},{"family":"Golding","given":"Dominic"},{"family":"Kasperson","given":"Jeanne X."},{"family":"Mitchell","given":"Robert C."},{"family":"Ratick","given":"Samuel J."}],"issued":{"date-parts":[["1990",12]]}},"label":"page"},{"id":239,"uris":["http://zotero.org/groups/122386/items/8ZKWCKZR"],"uri":["http://zotero.org/groups/122386/items/8ZKWCKZR"],"itemData":{"id":239,"type":"article-journal","title":"A safe operating space for humanity","container-title":"Nature","page":"472-475","volume":"461","issue":"7263","source":"www.nature.com","abstract":"Identifying and quantifying planetary boundaries that must not be transgressed could help prevent human activities from causing unacceptable environmental change, argue Johan Rockström and colleagues.","DOI":"10.1038/461472a","ISSN":"0028-0836","journalAbbreviation":"Nature","language":"en","author":[{"family":"Rockström","given":"Johan"},{"family":"Steffen","given":"Will"},{"family":"Noone","given":"Kevin"},{"family":"Persson","given":"Åsa"},{"family":"Chapin","given":"F. Stuart"},{"family":"Lambin","given":"Eric F."},{"family":"Lenton","given":"Timothy M."},{"family":"Scheffer","given":"Marten"},{"family":"Folke","given":"Carl"},{"family":"Schellnhuber","given":"Hans Joachim"},{"family":"Nykvist","given":"Björn"},{"family":"de Wit","given":"Cynthia A."},{"family":"Hughes","given":"Terry"},{"family":"van der Leeuw","given":"Sander"},{"family":"Rodhe","given":"Henning"},{"family":"Sörlin","given":"Sverker"},{"family":"Snyder","given":"Peter K."},{"family":"Costanza","given":"Robert"},{"family":"Svedin","given":"Uno"},{"family":"Falkenmark","given":"Malin"},{"family":"Karlberg","given":"Louise"},{"family":"Corell","given":"Robert W."},{"family":"Fabry","given":"Victoria J."},{"family":"Hansen","given":"James"},{"family":"Walker","given":"Brian"},{"family":"Liverman","given":"Diana"},{"family":"Richardson","given":"Katherine"},{"family":"Crutzen","given":"Paul"},{"family":"Foley","given":"Jonathan A."}],"issued":{"date-parts":[["2009",9,24]]},"accessed":{"date-parts":[["2013",9,27]]}},"label":"page"}],"schema":"https://github.com/citation-style-language/schema/raw/master/csl-citation.json"} </w:instrText>
      </w:r>
      <w:r w:rsidRPr="007F272F">
        <w:rPr>
          <w:rFonts w:eastAsia="Calibri" w:cs="Arial"/>
          <w:szCs w:val="20"/>
          <w:lang w:val="sl-SI"/>
        </w:rPr>
        <w:fldChar w:fldCharType="separate"/>
      </w:r>
      <w:r w:rsidRPr="005771BD">
        <w:rPr>
          <w:rFonts w:eastAsia="Calibri" w:cs="Arial"/>
          <w:szCs w:val="20"/>
          <w:lang w:val="sl-SI"/>
        </w:rPr>
        <w:t>(Turner II idr., 1990; Rockström idr., 2009a)</w:t>
      </w:r>
      <w:r w:rsidRPr="007F272F">
        <w:rPr>
          <w:rFonts w:eastAsia="Calibri" w:cs="Arial"/>
          <w:szCs w:val="20"/>
          <w:lang w:val="sl-SI"/>
        </w:rPr>
        <w:fldChar w:fldCharType="end"/>
      </w:r>
      <w:r w:rsidRPr="005771BD">
        <w:rPr>
          <w:rFonts w:eastAsia="Calibri" w:cs="Arial"/>
          <w:szCs w:val="20"/>
          <w:lang w:val="sl-SI"/>
        </w:rPr>
        <w:t>:</w:t>
      </w:r>
    </w:p>
    <w:p w:rsidR="00C90D7B" w:rsidRPr="005771BD" w:rsidRDefault="00C90D7B" w:rsidP="00C90D7B">
      <w:pPr>
        <w:numPr>
          <w:ilvl w:val="0"/>
          <w:numId w:val="30"/>
        </w:numPr>
        <w:spacing w:before="60" w:line="276" w:lineRule="auto"/>
        <w:ind w:left="357" w:hanging="357"/>
        <w:jc w:val="both"/>
        <w:rPr>
          <w:rFonts w:eastAsia="Calibri" w:cs="Arial"/>
          <w:szCs w:val="20"/>
          <w:lang w:val="sl-SI"/>
        </w:rPr>
      </w:pPr>
      <w:r w:rsidRPr="005771BD">
        <w:rPr>
          <w:rFonts w:eastAsia="Calibri" w:cs="Arial"/>
          <w:szCs w:val="20"/>
          <w:lang w:val="sl-SI"/>
        </w:rPr>
        <w:t>sistemske spremembe (sistemski procesi na svetovni ravni), torej spremembe, ki se kažejo na ravni celin ali celotnega planeta z neposrednim vplivom na okoljske sisteme (na primer podnebne spremembe ali zakisovanje oceanov),</w:t>
      </w:r>
    </w:p>
    <w:p w:rsidR="00C90D7B" w:rsidRPr="005771BD" w:rsidRDefault="00C90D7B" w:rsidP="00C90D7B">
      <w:pPr>
        <w:numPr>
          <w:ilvl w:val="0"/>
          <w:numId w:val="30"/>
        </w:numPr>
        <w:spacing w:before="60" w:after="200" w:line="276" w:lineRule="auto"/>
        <w:ind w:left="357" w:hanging="357"/>
        <w:jc w:val="both"/>
        <w:rPr>
          <w:rFonts w:eastAsia="Calibri" w:cs="Arial"/>
          <w:szCs w:val="20"/>
          <w:lang w:val="sl-SI"/>
        </w:rPr>
      </w:pPr>
      <w:r w:rsidRPr="005771BD">
        <w:rPr>
          <w:rFonts w:eastAsia="Calibri" w:cs="Arial"/>
          <w:szCs w:val="20"/>
          <w:lang w:val="sl-SI"/>
        </w:rPr>
        <w:t>kumulativne spremembe (skupni seštevek procesov, ki potekajo na lokalni ali regionalni ravni), torej spremembe, ki se sicer dogajajo na lokalni ravni, vendar so tako razširjene, da postanejo svetovni pojav (kot na primer slabšanje kakovosti tal ali pomanjkanje vode).</w:t>
      </w:r>
    </w:p>
    <w:p w:rsidR="00C90D7B" w:rsidRPr="005771BD" w:rsidRDefault="00C90D7B" w:rsidP="00C90D7B">
      <w:pPr>
        <w:spacing w:line="276" w:lineRule="auto"/>
        <w:jc w:val="both"/>
        <w:rPr>
          <w:rFonts w:eastAsia="Calibri" w:cs="Arial"/>
          <w:szCs w:val="20"/>
          <w:lang w:val="sl-SI"/>
        </w:rPr>
      </w:pPr>
      <w:r w:rsidRPr="005771BD">
        <w:rPr>
          <w:rFonts w:eastAsia="Calibri" w:cs="Arial"/>
          <w:szCs w:val="20"/>
          <w:lang w:val="sl-SI"/>
        </w:rPr>
        <w:t xml:space="preserve">Današnje razsežnosti skupnega človekovega vpliva na svetovne cikle so brez primere v zgodovini planeta in raziskovalci pravijo, da smo pred kratkim vstopili v novo geološko dobo: antropocen </w:t>
      </w:r>
      <w:r w:rsidRPr="007F272F">
        <w:rPr>
          <w:rFonts w:eastAsia="Calibri" w:cs="Arial"/>
          <w:szCs w:val="20"/>
          <w:lang w:val="sl-SI"/>
        </w:rPr>
        <w:fldChar w:fldCharType="begin"/>
      </w:r>
      <w:r w:rsidRPr="005771BD">
        <w:rPr>
          <w:rFonts w:eastAsia="Calibri" w:cs="Arial"/>
          <w:szCs w:val="20"/>
          <w:lang w:val="sl-SI"/>
        </w:rPr>
        <w:instrText xml:space="preserve"> ADDIN ZOTERO_ITEM CSL_CITATION {"citationID":"slJ8RzpP","properties":{"formattedCitation":"(Crutzen, 2002)","plainCitation":"(Crutzen, 2002)"},"citationItems":[{"id":4948,"uris":["http://zotero.org/groups/122386/items/II4WR7M6"],"uri":["http://zotero.org/groups/122386/items/II4WR7M6"],"itemData":{"id":4948,"type":"article-journal","title":"Geology of mankind","container-title":"Nature","page":"23-23","volume":"415","issue":"6867","source":"www.nature.com","abstract":"Nature is the international weekly journal of science: a magazine style journal that publishes full-length research papers in all disciplines of science, as well as News and Views, reviews, news, features, commentaries, web focuses and more, covering all branches of science and how science impacts upon all aspects of society and life.","DOI":"10.1038/415023a","ISSN":"0028-0836","journalAbbreviation":"Nature","language":"en","author":[{"family":"Crutzen","given":"Paul J."}],"issued":{"date-parts":[["2002",1,3]]},"accessed":{"date-parts":[["2014",9,1]]}}}],"schema":"https://github.com/citation-style-language/schema/raw/master/csl-citation.json"} </w:instrText>
      </w:r>
      <w:r w:rsidRPr="007F272F">
        <w:rPr>
          <w:rFonts w:eastAsia="Calibri" w:cs="Arial"/>
          <w:szCs w:val="20"/>
          <w:lang w:val="sl-SI"/>
        </w:rPr>
        <w:fldChar w:fldCharType="separate"/>
      </w:r>
      <w:r w:rsidRPr="005771BD">
        <w:rPr>
          <w:rFonts w:eastAsia="Calibri" w:cs="Arial"/>
          <w:szCs w:val="20"/>
          <w:lang w:val="sl-SI"/>
        </w:rPr>
        <w:t>(Crutzen, 2002)</w:t>
      </w:r>
      <w:r w:rsidRPr="007F272F">
        <w:rPr>
          <w:rFonts w:eastAsia="Calibri" w:cs="Arial"/>
          <w:szCs w:val="20"/>
          <w:lang w:val="sl-SI"/>
        </w:rPr>
        <w:fldChar w:fldCharType="end"/>
      </w:r>
      <w:r w:rsidRPr="005771BD">
        <w:rPr>
          <w:rFonts w:eastAsia="Calibri" w:cs="Arial"/>
          <w:szCs w:val="20"/>
          <w:lang w:val="sl-SI"/>
        </w:rPr>
        <w:t>. Zadnja tri stoletja, v katerih se je svetovno prebivalstvo več kot podeseterilo, naj bi bil človek s svojim delovanjem spremenil okoli 30–50 % kopnih površin na Zemlji. S tem povezane številke, ki jih pogosto navajajo, da bi prikazali učinek na biogeokemične cikle, so osupljive. Na primer:</w:t>
      </w:r>
    </w:p>
    <w:p w:rsidR="00C90D7B" w:rsidRPr="005771BD" w:rsidRDefault="00C90D7B" w:rsidP="00C90D7B">
      <w:pPr>
        <w:numPr>
          <w:ilvl w:val="0"/>
          <w:numId w:val="31"/>
        </w:numPr>
        <w:spacing w:before="60" w:line="276" w:lineRule="auto"/>
        <w:ind w:left="357" w:hanging="357"/>
        <w:jc w:val="both"/>
        <w:rPr>
          <w:rFonts w:eastAsia="Calibri" w:cs="Arial"/>
          <w:szCs w:val="20"/>
          <w:lang w:val="sl-SI"/>
        </w:rPr>
      </w:pPr>
      <w:r w:rsidRPr="005771BD">
        <w:rPr>
          <w:rFonts w:eastAsia="Calibri" w:cs="Arial"/>
          <w:szCs w:val="20"/>
          <w:lang w:val="sl-SI"/>
        </w:rPr>
        <w:t>raba fosilnih goriv, ki temeljijo na ogljiku, se je v 20. stoletju povečala za 12</w:t>
      </w:r>
      <w:r w:rsidRPr="005771BD">
        <w:rPr>
          <w:rFonts w:eastAsia="Calibri" w:cs="Arial"/>
          <w:szCs w:val="20"/>
          <w:lang w:val="sl-SI"/>
        </w:rPr>
        <w:noBreakHyphen/>
        <w:t>krat, koncentracije nekaterih toplogrednih plinov v ozračju pa so se občutno povečale – koncentracija ogljikovega dioksida (CO</w:t>
      </w:r>
      <w:r w:rsidRPr="005771BD">
        <w:rPr>
          <w:rFonts w:eastAsia="Calibri" w:cs="Arial"/>
          <w:szCs w:val="20"/>
          <w:vertAlign w:val="subscript"/>
          <w:lang w:val="sl-SI"/>
        </w:rPr>
        <w:t>2</w:t>
      </w:r>
      <w:r w:rsidRPr="005771BD">
        <w:rPr>
          <w:rFonts w:eastAsia="Calibri" w:cs="Arial"/>
          <w:szCs w:val="20"/>
          <w:lang w:val="sl-SI"/>
        </w:rPr>
        <w:t>) na primer za več kot 30 % in metana (CH</w:t>
      </w:r>
      <w:r w:rsidRPr="005771BD">
        <w:rPr>
          <w:rFonts w:eastAsia="Calibri" w:cs="Arial"/>
          <w:szCs w:val="20"/>
          <w:vertAlign w:val="subscript"/>
          <w:lang w:val="sl-SI"/>
        </w:rPr>
        <w:t>4</w:t>
      </w:r>
      <w:r w:rsidRPr="005771BD">
        <w:rPr>
          <w:rFonts w:eastAsia="Calibri" w:cs="Arial"/>
          <w:szCs w:val="20"/>
          <w:lang w:val="sl-SI"/>
        </w:rPr>
        <w:t>) za več kot 100 %,</w:t>
      </w:r>
    </w:p>
    <w:p w:rsidR="00C90D7B" w:rsidRPr="005771BD" w:rsidRDefault="00C90D7B" w:rsidP="00C90D7B">
      <w:pPr>
        <w:numPr>
          <w:ilvl w:val="0"/>
          <w:numId w:val="31"/>
        </w:numPr>
        <w:spacing w:before="60" w:line="276" w:lineRule="auto"/>
        <w:ind w:left="357" w:hanging="357"/>
        <w:jc w:val="both"/>
        <w:rPr>
          <w:rFonts w:eastAsia="Calibri" w:cs="Arial"/>
          <w:szCs w:val="20"/>
          <w:lang w:val="sl-SI"/>
        </w:rPr>
      </w:pPr>
      <w:r w:rsidRPr="005771BD">
        <w:rPr>
          <w:rFonts w:eastAsia="Calibri" w:cs="Arial"/>
          <w:szCs w:val="20"/>
          <w:lang w:val="sl-SI"/>
        </w:rPr>
        <w:t>danes je sintetično vezanega in namenjenega gnojenju v kmetijstvu več dušika, kot ga je naravno vezanega v vseh kopenskih ekosistemih, izpusti dušikovih oksidov, ki nastanejo pri zgorevanju fosilnih goriv in biomase, pa presegajo vnose iz naravnih virov,</w:t>
      </w:r>
    </w:p>
    <w:p w:rsidR="00C90D7B" w:rsidRPr="005771BD" w:rsidRDefault="00C90D7B" w:rsidP="00C90D7B">
      <w:pPr>
        <w:numPr>
          <w:ilvl w:val="0"/>
          <w:numId w:val="31"/>
        </w:numPr>
        <w:spacing w:before="60" w:line="276" w:lineRule="auto"/>
        <w:ind w:left="357" w:hanging="357"/>
        <w:jc w:val="both"/>
        <w:rPr>
          <w:rFonts w:eastAsia="Calibri" w:cs="Arial"/>
          <w:szCs w:val="20"/>
          <w:lang w:val="sl-SI"/>
        </w:rPr>
      </w:pPr>
      <w:r w:rsidRPr="005771BD">
        <w:rPr>
          <w:rFonts w:eastAsia="Calibri" w:cs="Arial"/>
          <w:szCs w:val="20"/>
          <w:lang w:val="sl-SI"/>
        </w:rPr>
        <w:t xml:space="preserve">svetovni vnos fosforja v biosfero se je v primerjavi s predindustrijsko ravnjo potrojil zaradi večje rabe gnojil in živinoreje </w:t>
      </w:r>
      <w:r w:rsidRPr="007F272F">
        <w:rPr>
          <w:rFonts w:eastAsia="Calibri" w:cs="Arial"/>
          <w:szCs w:val="20"/>
          <w:lang w:val="sl-SI"/>
        </w:rPr>
        <w:fldChar w:fldCharType="begin"/>
      </w:r>
      <w:r w:rsidRPr="005771BD">
        <w:rPr>
          <w:rFonts w:eastAsia="Calibri" w:cs="Arial"/>
          <w:szCs w:val="20"/>
          <w:lang w:val="sl-SI"/>
        </w:rPr>
        <w:instrText xml:space="preserve"> ADDIN ZOTERO_ITEM CSL_CITATION {"citationID":"g1h3pUI3","properties":{"formattedCitation":"(MacDonald et al., 2011)","plainCitation":"(MacDonald et al., 2011)"},"citationItems":[{"id":4953,"uris":["http://zotero.org/groups/122386/items/W7PSD687"],"uri":["http://zotero.org/groups/122386/items/W7PSD687"],"itemData":{"id":4953,"type":"article-journal","title":"Agronomic phosphorus imbalances across the world's croplands","container-title":"Proceedings of the National Academy of Sciences","page":"3086-3091","volume":"108","issue":"7","source":"www.pnas.org","abstract":"Increased phosphorus (P) fertilizer use and livestock production has fundamentally altered the global P cycle. We calculated spatially explicit P balances for cropland soils at 0.5° resolution based on the principal agronomic P inputs and outputs associated with production of 123 crops globally for the year 2000. Although agronomic inputs of P fertilizer (14.2 Tg of P·y−1) and manure (9.6 Tg of P·y−1) collectively exceeded P removal by harvested crops (12.3 Tg of P·y−1) at the global scale, P deficits covered almost 30% of the global cropland area. There was massive variation in the magnitudes of these P imbalances across most regions, particularly Europe and South America. High P fertilizer application relative to crop P use resulted in a greater proportion of the intense P surpluses (&gt;13 kg of P·ha−1·y−1) globally than manure P application. High P fertilizer application was also typically associated with areas of relatively low P-use efficiency. Although manure was an important driver of P surpluses in some locations with high livestock densities, P deficits were common in areas producing forage crops used as livestock feed. Resolving agronomic P imbalances may be possible with more efficient use of P fertilizers and more effective recycling of manure P. Such reforms are needed to increase global agricultural productivity while maintaining or improving freshwater quality.","DOI":"10.1073/pnas.1010808108","ISSN":"0027-8424, 1091-6490","note":"PMID: 21282605","journalAbbreviation":"PNAS","language":"en","author":[{"family":"MacDonald","given":"Graham K."},{"family":"Bennett","given":"Elena M."},{"family":"Potter","given":"Philip A."},{"family":"Ramankutty","given":"Navin"}],"issued":{"date-parts":[["2011",2,15]]},"accessed":{"date-parts":[["2014",9,1]]},"PMID":"21282605"}}],"schema":"https://github.com/citation-style-language/schema/raw/master/csl-citation.json"} </w:instrText>
      </w:r>
      <w:r w:rsidRPr="007F272F">
        <w:rPr>
          <w:rFonts w:eastAsia="Calibri" w:cs="Arial"/>
          <w:szCs w:val="20"/>
          <w:lang w:val="sl-SI"/>
        </w:rPr>
        <w:fldChar w:fldCharType="separate"/>
      </w:r>
      <w:r w:rsidRPr="005771BD">
        <w:rPr>
          <w:rFonts w:eastAsia="Calibri" w:cs="Arial"/>
          <w:szCs w:val="20"/>
          <w:lang w:val="sl-SI"/>
        </w:rPr>
        <w:t>(MacDonald idr., 2011)</w:t>
      </w:r>
      <w:r w:rsidRPr="007F272F">
        <w:rPr>
          <w:rFonts w:eastAsia="Calibri" w:cs="Arial"/>
          <w:szCs w:val="20"/>
          <w:lang w:val="sl-SI"/>
        </w:rPr>
        <w:fldChar w:fldCharType="end"/>
      </w:r>
      <w:r w:rsidRPr="005771BD">
        <w:rPr>
          <w:rFonts w:eastAsia="Calibri" w:cs="Arial"/>
          <w:szCs w:val="20"/>
          <w:lang w:val="sl-SI"/>
        </w:rPr>
        <w:t>,</w:t>
      </w:r>
    </w:p>
    <w:p w:rsidR="00C90D7B" w:rsidRPr="005771BD" w:rsidRDefault="00C90D7B" w:rsidP="00C90D7B">
      <w:pPr>
        <w:numPr>
          <w:ilvl w:val="0"/>
          <w:numId w:val="31"/>
        </w:numPr>
        <w:spacing w:before="60" w:line="276" w:lineRule="auto"/>
        <w:ind w:left="357" w:hanging="357"/>
        <w:jc w:val="both"/>
        <w:rPr>
          <w:rFonts w:eastAsia="Calibri" w:cs="Arial"/>
          <w:szCs w:val="20"/>
          <w:lang w:val="sl-SI"/>
        </w:rPr>
      </w:pPr>
      <w:r w:rsidRPr="005771BD">
        <w:rPr>
          <w:rFonts w:eastAsia="Calibri" w:cs="Arial"/>
          <w:szCs w:val="20"/>
          <w:lang w:val="sl-SI"/>
        </w:rPr>
        <w:t>emisije žveplovega dioksida (SO</w:t>
      </w:r>
      <w:r w:rsidRPr="005771BD">
        <w:rPr>
          <w:rFonts w:eastAsia="Calibri" w:cs="Arial"/>
          <w:szCs w:val="20"/>
          <w:vertAlign w:val="subscript"/>
          <w:lang w:val="sl-SI"/>
        </w:rPr>
        <w:t>2</w:t>
      </w:r>
      <w:r w:rsidRPr="005771BD">
        <w:rPr>
          <w:rFonts w:eastAsia="Calibri" w:cs="Arial"/>
          <w:szCs w:val="20"/>
          <w:lang w:val="sl-SI"/>
        </w:rPr>
        <w:t>), ki nastajajo pri zgorevanju premoga in nafte po vsem svetu, so danes vsaj dvakrat tolikšne kot vsi naravni izpusti (ki se sproščajo predvsem kot dimetilsulfid iz oceanov),</w:t>
      </w:r>
    </w:p>
    <w:p w:rsidR="00C90D7B" w:rsidRPr="005771BD" w:rsidRDefault="00C90D7B" w:rsidP="00C90D7B">
      <w:pPr>
        <w:numPr>
          <w:ilvl w:val="0"/>
          <w:numId w:val="31"/>
        </w:numPr>
        <w:spacing w:before="60" w:after="200" w:line="276" w:lineRule="auto"/>
        <w:ind w:left="357" w:hanging="357"/>
        <w:jc w:val="both"/>
        <w:rPr>
          <w:rFonts w:eastAsia="Calibri" w:cs="Arial"/>
          <w:szCs w:val="20"/>
          <w:lang w:val="sl-SI"/>
        </w:rPr>
      </w:pPr>
      <w:r w:rsidRPr="005771BD">
        <w:rPr>
          <w:rFonts w:eastAsia="Calibri" w:cs="Arial"/>
          <w:szCs w:val="20"/>
          <w:lang w:val="sl-SI"/>
        </w:rPr>
        <w:t>človeštvo izkorišča več kot polovico vse dosegljive vode po svetu (večinoma za kmetijsko proizvodnjo), na mnogih območjih pa podzemni vodni viri hitro usihajo.</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 xml:space="preserve">Na svetovni ravni torej bolj onesnažujemo okolje in ustvarjamo več odpadkov, kar povzroča vse večji pritisk na ekosisteme planeta. Znanstveniki soglašajo, da nesporno prispevamo h globalnemu segrevanju, opozarjajo pa tudi na čedalje večjo nevarnost vodnega stresa in pomanjkanja vode. Čeprav smo ponekod dosegli napredek, so izginjanje habitatov, upadanje biotske raznovrstnosti in degradacija okolja hujši kot kdajkoli. Po nekaterih ocenah se slabša stanje skoraj dveh tretjin svetovnih ekosistemov </w:t>
      </w:r>
      <w:r w:rsidRPr="007F272F">
        <w:rPr>
          <w:rFonts w:eastAsia="Calibri" w:cs="Arial"/>
          <w:szCs w:val="20"/>
          <w:lang w:val="sl-SI"/>
        </w:rPr>
        <w:fldChar w:fldCharType="begin"/>
      </w:r>
      <w:r w:rsidRPr="005771BD">
        <w:rPr>
          <w:rFonts w:eastAsia="Calibri" w:cs="Arial"/>
          <w:szCs w:val="20"/>
          <w:lang w:val="sl-SI"/>
        </w:rPr>
        <w:instrText xml:space="preserve"> ADDIN ZOTERO_ITEM CSL_CITATION {"citationID":"sjbH38jY","properties":{"formattedCitation":"(MA, 2005)","plainCitation":"(MA, 2005)"},"citationItems":[{"id":138,"uris":["http://zotero.org/groups/122386/items/62EU3Q32"],"uri":["http://zotero.org/groups/122386/items/62EU3Q32"],"itemData":{"id":138,"type":"report","title":"Millennium Ecosystem Assessment — Ecosystems and human well</w:instrText>
      </w:r>
      <w:r w:rsidRPr="005771BD">
        <w:rPr>
          <w:rFonts w:ascii="MS Gothic" w:eastAsia="MS Gothic" w:hAnsi="MS Gothic" w:cs="MS Gothic"/>
          <w:szCs w:val="20"/>
          <w:lang w:val="sl-SI"/>
        </w:rPr>
        <w:instrText>‑</w:instrText>
      </w:r>
      <w:r w:rsidRPr="005771BD">
        <w:rPr>
          <w:rFonts w:eastAsia="Calibri" w:cs="Arial"/>
          <w:szCs w:val="20"/>
          <w:lang w:val="sl-SI"/>
        </w:rPr>
        <w:instrText xml:space="preserve">being: health — synthesis report","publisher":"Island Press","publisher-place":"New York, US","event-place":"New York, US","URL":"http://www.millenniumassessment.org/en/Framework.html","author":[{"family":"MA","given":""}],"issued":{"date-parts":[["2005"]]}}}],"schema":"https://github.com/citation-style-language/schema/raw/master/csl-citation.json"} </w:instrText>
      </w:r>
      <w:r w:rsidRPr="007F272F">
        <w:rPr>
          <w:rFonts w:eastAsia="Calibri" w:cs="Arial"/>
          <w:szCs w:val="20"/>
          <w:lang w:val="sl-SI"/>
        </w:rPr>
        <w:fldChar w:fldCharType="separate"/>
      </w:r>
      <w:r w:rsidRPr="005771BD">
        <w:rPr>
          <w:rFonts w:eastAsia="Calibri" w:cs="Arial"/>
          <w:szCs w:val="20"/>
          <w:lang w:val="sl-SI"/>
        </w:rPr>
        <w:t>(MA, 2005)</w:t>
      </w:r>
      <w:r w:rsidRPr="007F272F">
        <w:rPr>
          <w:rFonts w:eastAsia="Calibri" w:cs="Arial"/>
          <w:szCs w:val="20"/>
          <w:lang w:val="sl-SI"/>
        </w:rPr>
        <w:fldChar w:fldCharType="end"/>
      </w:r>
      <w:r w:rsidRPr="005771BD">
        <w:rPr>
          <w:rFonts w:eastAsia="Calibri" w:cs="Arial"/>
          <w:szCs w:val="20"/>
          <w:lang w:val="sl-SI"/>
        </w:rPr>
        <w:t>.</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Izpostavljenost ljudi tem pritiskom in posledice te izpostavljenosti so neenakomerno porazdeljeni. Revnejša območja in družbene skupine so pogosto precej bolj prizadeti kot drugi. Medvladni odbor ZN za podnebne spremembe v najnovejši oceni napoveduje </w:t>
      </w:r>
      <w:r w:rsidRPr="007F272F">
        <w:rPr>
          <w:rFonts w:eastAsia="Calibri" w:cs="Arial"/>
          <w:szCs w:val="20"/>
          <w:lang w:val="sl-SI"/>
        </w:rPr>
        <w:fldChar w:fldCharType="begin"/>
      </w:r>
      <w:r w:rsidRPr="005771BD">
        <w:rPr>
          <w:rFonts w:eastAsia="Calibri" w:cs="Arial"/>
          <w:szCs w:val="20"/>
          <w:lang w:val="sl-SI"/>
        </w:rPr>
        <w:instrText xml:space="preserve"> ADDIN ZOTERO_ITEM CSL_CITATION {"citationID":"MXppaTdG","properties":{"formattedCitation":"(IPCC, 2014b)","plainCitation":"(IPCC, 2014b)"},"citationItems":[{"id":3325,"uris":["http://zotero.org/groups/122386/items/DC5I9Z4J"],"uri":["http://zotero.org/groups/122386/items/DC5I9Z4J"],"itemData":{"id":3325,"type":"report","title":"Summary for Policymakers. In: Climate Change 2014: Impacts, Adaptation, and Vulnerability. Contribution of Working Group II to the Fifth Assessment Report of the Intergovernmental Panel on Climate Change","publisher":"Intergovernmental Panel on Climate Change","publisher-place":"Cambridge University Press, Cambridge, United Kingdom and New York, NY, USA.","event-place":"Cambridge University Press, Cambridge, United Kingdom and New York, NY, USA.","URL":"http://ipcc-wg2.gov/AR5/images/uploads/IPCC_WG2AR5_SPM_Approved.pdf","author":[{"family":"IPCC","given":""}],"issued":{"date-parts":[["2014"]]}}}],"schema":"https://github.com/citation-style-language/schema/raw/master/csl-citation.json"} </w:instrText>
      </w:r>
      <w:r w:rsidRPr="007F272F">
        <w:rPr>
          <w:rFonts w:eastAsia="Calibri" w:cs="Arial"/>
          <w:szCs w:val="20"/>
          <w:lang w:val="sl-SI"/>
        </w:rPr>
        <w:fldChar w:fldCharType="separate"/>
      </w:r>
      <w:r w:rsidRPr="005771BD">
        <w:rPr>
          <w:rFonts w:eastAsia="Calibri" w:cs="Arial"/>
          <w:szCs w:val="20"/>
          <w:lang w:val="sl-SI"/>
        </w:rPr>
        <w:t>(IPCC, 2014b)</w:t>
      </w:r>
      <w:r w:rsidRPr="007F272F">
        <w:rPr>
          <w:rFonts w:eastAsia="Calibri" w:cs="Arial"/>
          <w:szCs w:val="20"/>
          <w:lang w:val="sl-SI"/>
        </w:rPr>
        <w:fldChar w:fldCharType="end"/>
      </w:r>
      <w:r w:rsidRPr="005771BD">
        <w:rPr>
          <w:rFonts w:eastAsia="Calibri" w:cs="Arial"/>
          <w:szCs w:val="20"/>
          <w:lang w:val="sl-SI"/>
        </w:rPr>
        <w:t>, da se bo zaradi podnebnih sprememb revščina v državah v razvoju še bolj povečala, povečala pa se bo tudi ogroženost ljudi. To naj bi zlasti prizadelo tiste, ki živijo v slabih stanovanjskih razmerah in so brez osnovne infrastrukture, saj so skupine prebivalstva z nizkimi dohodki nesorazmerno odvisne od sposobnosti lokalnih ekosistemov, da trajno opravljajo ekosistemske storitve. Globalne okoljske spremembe bodo tako najverjetneje povečale družbeno neenakost, kar bi lahko imelo verižni učinek na selitvena gibanja prebivalstva in varnost.</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Nevarnosti, ki so s tem povezane, zadevajo tudi države z visokim dohodkom. Organizacija za gospodarsko sodelovanje in razvoj opozarja, da bi lahko nadaljnje slabšanje stanja in spodjedanje naravnega kapitala ogrozilo življenjsko raven, ki se že dve stoletji zvišuje </w:t>
      </w:r>
      <w:r w:rsidRPr="007F272F">
        <w:rPr>
          <w:rFonts w:eastAsia="Calibri" w:cs="Arial"/>
          <w:szCs w:val="20"/>
          <w:lang w:val="sl-SI"/>
        </w:rPr>
        <w:fldChar w:fldCharType="begin"/>
      </w:r>
      <w:r w:rsidRPr="005771BD">
        <w:rPr>
          <w:rFonts w:eastAsia="Calibri" w:cs="Arial"/>
          <w:szCs w:val="20"/>
          <w:lang w:val="sl-SI"/>
        </w:rPr>
        <w:instrText xml:space="preserve"> ADDIN ZOTERO_ITEM CSL_CITATION {"citationID":"Zcee9cx9","properties":{"formattedCitation":"(OECD, 2012)","plainCitation":"(OECD, 2012)"},"citationItems":[{"id":246,"uris":["http://zotero.org/groups/122386/items/99VSB5NP"],"uri":["http://zotero.org/groups/122386/items/99VSB5NP"],"itemData":{"id":246,"type":"report","title":"OECD Environmental Outlook to 2050","publisher":"Organisation for Economic Co-operation and Development","publisher-place":"Paris, France","event-place":"Paris, France","author":[{"family":"OECD","given":""}],"issued":{"date-parts":[["2012"]]}}}],"schema":"https://github.com/citation-style-language/schema/raw/master/csl-citation.json"} </w:instrText>
      </w:r>
      <w:r w:rsidRPr="007F272F">
        <w:rPr>
          <w:rFonts w:eastAsia="Calibri" w:cs="Arial"/>
          <w:szCs w:val="20"/>
          <w:lang w:val="sl-SI"/>
        </w:rPr>
        <w:fldChar w:fldCharType="separate"/>
      </w:r>
      <w:r w:rsidRPr="005771BD">
        <w:rPr>
          <w:rFonts w:eastAsia="Calibri" w:cs="Arial"/>
          <w:szCs w:val="20"/>
          <w:lang w:val="sl-SI"/>
        </w:rPr>
        <w:t>(OECD, 2012)</w:t>
      </w:r>
      <w:r w:rsidRPr="007F272F">
        <w:rPr>
          <w:rFonts w:eastAsia="Calibri" w:cs="Arial"/>
          <w:szCs w:val="20"/>
          <w:lang w:val="sl-SI"/>
        </w:rPr>
        <w:fldChar w:fldCharType="end"/>
      </w:r>
      <w:r w:rsidRPr="005771BD">
        <w:rPr>
          <w:rFonts w:eastAsia="Calibri" w:cs="Arial"/>
          <w:szCs w:val="20"/>
          <w:lang w:val="sl-SI"/>
        </w:rPr>
        <w:t>.</w:t>
      </w:r>
    </w:p>
    <w:p w:rsidR="00C90D7B" w:rsidRPr="005771BD" w:rsidRDefault="00786EDB" w:rsidP="00C90D7B">
      <w:pPr>
        <w:spacing w:after="200" w:line="276" w:lineRule="auto"/>
        <w:jc w:val="both"/>
        <w:rPr>
          <w:rFonts w:eastAsia="Calibri" w:cs="Arial"/>
          <w:b/>
          <w:szCs w:val="20"/>
          <w:u w:val="single"/>
          <w:lang w:val="sl-SI"/>
        </w:rPr>
      </w:pPr>
      <w:bookmarkStart w:id="4" w:name="_Toc418509817"/>
      <w:r>
        <w:rPr>
          <w:rFonts w:eastAsia="Calibri" w:cs="Arial"/>
          <w:b/>
          <w:szCs w:val="20"/>
          <w:u w:val="single"/>
          <w:lang w:val="sl-SI"/>
        </w:rPr>
        <w:t>3</w:t>
      </w:r>
      <w:r w:rsidR="00C90D7B" w:rsidRPr="005771BD">
        <w:rPr>
          <w:rFonts w:eastAsia="Calibri" w:cs="Arial"/>
          <w:b/>
          <w:szCs w:val="20"/>
          <w:u w:val="single"/>
          <w:lang w:val="sl-SI"/>
        </w:rPr>
        <w:t>.7 Človeštvo s čezmerno rabo naravnih virov prestopa meje varnega delovanja</w:t>
      </w:r>
      <w:bookmarkEnd w:id="4"/>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 xml:space="preserve">Po prepričanju mnogih vemo dovolj o delovanju sistemov Zemlje, da lahko določimo meje zmogljivosti na ravni planeta </w:t>
      </w:r>
      <w:r w:rsidRPr="007F272F">
        <w:rPr>
          <w:rFonts w:eastAsia="Calibri" w:cs="Arial"/>
          <w:szCs w:val="20"/>
          <w:lang w:val="sl-SI"/>
        </w:rPr>
        <w:fldChar w:fldCharType="begin"/>
      </w:r>
      <w:r w:rsidRPr="005771BD">
        <w:rPr>
          <w:rFonts w:eastAsia="Calibri" w:cs="Arial"/>
          <w:szCs w:val="20"/>
          <w:lang w:val="sl-SI"/>
        </w:rPr>
        <w:instrText xml:space="preserve"> ADDIN ZOTERO_ITEM CSL_CITATION {"citationID":"M2JxnR5W","properties":{"formattedCitation":"{\\rtf (Rockstr\\uc0\\u246{}m et al., 2009a)}","plainCitation":"(Rockström et al., 2009a)"},"citationItems":[{"id":239,"uris":["http://zotero.org/groups/122386/items/8ZKWCKZR"],"uri":["http://zotero.org/groups/122386/items/8ZKWCKZR"],"itemData":{"id":239,"type":"article-journal","title":"A safe operating space for humanity","container-title":"Nature","page":"472-475","volume":"461","issue":"7263","source":"www.nature.com","abstract":"Identifying and quantifying planetary boundaries that must not be transgressed could help prevent human activities from causing unacceptable environmental change, argue Johan Rockström and colleagues.","DOI":"10.1038/461472a","ISSN":"0028-0836","journalAbbreviation":"Nature","language":"en","author":[{"family":"Rockström","given":"Johan"},{"family":"Steffen","given":"Will"},{"family":"Noone","given":"Kevin"},{"family":"Persson","given":"Åsa"},{"family":"Chapin","given":"F. Stuart"},{"family":"Lambin","given":"Eric F."},{"family":"Lenton","given":"Timothy M."},{"family":"Scheffer","given":"Marten"},{"family":"Folke","given":"Carl"},{"family":"Schellnhuber","given":"Hans Joachim"},{"family":"Nykvist","given":"Björn"},{"family":"de Wit","given":"Cynthia A."},{"family":"Hughes","given":"Terry"},{"family":"van der Leeuw","given":"Sander"},{"family":"Rodhe","given":"Henning"},{"family":"Sörlin","given":"Sverker"},{"family":"Snyder","given":"Peter K."},{"family":"Costanza","given":"Robert"},{"family":"Svedin","given":"Uno"},{"family":"Falkenmark","given":"Malin"},{"family":"Karlberg","given":"Louise"},{"family":"Corell","given":"Robert W."},{"family":"Fabry","given":"Victoria J."},{"family":"Hansen","given":"James"},{"family":"Walker","given":"Brian"},{"family":"Liverman","given":"Diana"},{"family":"Richardson","given":"Katherine"},{"family":"Crutzen","given":"Paul"},{"family":"Foley","given":"Jonathan A."}],"issued":{"date-parts":[["2009",9,24]]},"accessed":{"date-parts":[["2013",9,27]]}}}],"schema":"https://github.com/citation-style-language/schema/raw/master/csl-citation.json"} </w:instrText>
      </w:r>
      <w:r w:rsidRPr="007F272F">
        <w:rPr>
          <w:rFonts w:eastAsia="Calibri" w:cs="Arial"/>
          <w:szCs w:val="20"/>
          <w:lang w:val="sl-SI"/>
        </w:rPr>
        <w:fldChar w:fldCharType="separate"/>
      </w:r>
      <w:r w:rsidRPr="005771BD">
        <w:rPr>
          <w:rFonts w:eastAsia="Calibri" w:cs="Arial"/>
          <w:szCs w:val="20"/>
          <w:lang w:val="sl-SI"/>
        </w:rPr>
        <w:t>(Rockström idr., 2009a)</w:t>
      </w:r>
      <w:r w:rsidRPr="007F272F">
        <w:rPr>
          <w:rFonts w:eastAsia="Calibri" w:cs="Arial"/>
          <w:szCs w:val="20"/>
          <w:lang w:val="sl-SI"/>
        </w:rPr>
        <w:fldChar w:fldCharType="end"/>
      </w:r>
      <w:r w:rsidRPr="005771BD">
        <w:rPr>
          <w:rFonts w:eastAsia="Calibri" w:cs="Arial"/>
          <w:szCs w:val="20"/>
          <w:lang w:val="sl-SI"/>
        </w:rPr>
        <w:t xml:space="preserve">. Meje zmogljivosti planeta so ravni, ki so po človekovi oceni dovolj daleč od pragov, pri katerih bi se lahko zgodilo nepovratno poslabšanje stanja okolja ter s tem tolikšna ogroženost odpornosti ekosistemov, da bi bilo preživetje ljudi v nevarnosti. </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Eno tovrstnih meja so raziskovalci, ki svarijo pred nevarnostmi podnebnih sprememb, že opredelili. V politikah so ta svarila izražena s pragom 2 °C: povprečna svetovna temperatura se ne sme zvišati za več kot 2 °C v primerjavi s predindustrijsko dobo, če se želimo izogniti nepovratnim podnebnim spremembam na svetovni ravni.</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 xml:space="preserve">Podobno je opredeljen biofizikalni prag pri zakisovanju oceanov, določena je tudi zgornja meja za spreminjanje gozdov in drugih površin v kmetijska zemljišča. </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Vendar pa je za druge procese globalnih sprememb „meje varnega delovanja“</w:t>
      </w:r>
      <w:r w:rsidRPr="005771BD">
        <w:rPr>
          <w:rFonts w:eastAsia="Calibri" w:cs="Arial"/>
          <w:szCs w:val="20"/>
          <w:vertAlign w:val="superscript"/>
          <w:lang w:val="sl-SI"/>
        </w:rPr>
        <w:footnoteReference w:id="4"/>
      </w:r>
      <w:r w:rsidRPr="005771BD">
        <w:rPr>
          <w:rFonts w:eastAsia="Calibri" w:cs="Arial"/>
          <w:szCs w:val="20"/>
          <w:lang w:val="sl-SI"/>
        </w:rPr>
        <w:t xml:space="preserve"> morda težje opredeliti, saj pragov ni ali pa se lahko v različnih regionalnih ali celo lokalnih ekosistemih razlikujejo. V nekaterih primerih je to mogoče pripisati znanstveni negotovosti glede tega, kaj so biofizikalni pragovi ali točke preskoka za različne procese in kako so med seboj povezani. V drugih primerih ni jasno, kakšne so posledice preseženih pragov, ali pa se sploh ne zavedamo, da se jim približujemo.</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 xml:space="preserve">Kljub negotovosti obstajajo dokazi, da so bile planetarne in regionalne meje na nekaterih področjih že presežene, na primer pri upadanju biotske raznovrstnosti, podnebnih spremembah in dušikovem ciklu </w:t>
      </w:r>
      <w:r w:rsidRPr="007F272F">
        <w:rPr>
          <w:rFonts w:eastAsia="Calibri" w:cs="Arial"/>
          <w:szCs w:val="20"/>
          <w:lang w:val="sl-SI"/>
        </w:rPr>
        <w:fldChar w:fldCharType="begin"/>
      </w:r>
      <w:r w:rsidRPr="005771BD">
        <w:rPr>
          <w:rFonts w:eastAsia="Calibri" w:cs="Arial"/>
          <w:szCs w:val="20"/>
          <w:lang w:val="sl-SI"/>
        </w:rPr>
        <w:instrText xml:space="preserve"> ADDIN ZOTERO_ITEM CSL_CITATION {"citationID":"cHQELOW9","properties":{"formattedCitation":"{\\rtf (Rockstr\\uc0\\u246{}m et al., 2009a)}","plainCitation":"(Rockström et al., 2009a)"},"citationItems":[{"id":239,"uris":["http://zotero.org/groups/122386/items/8ZKWCKZR"],"uri":["http://zotero.org/groups/122386/items/8ZKWCKZR"],"itemData":{"id":239,"type":"article-journal","title":"A safe operating space for humanity","container-title":"Nature","page":"472-475","volume":"461","issue":"7263","source":"www.nature.com","abstract":"Identifying and quantifying planetary boundaries that must not be transgressed could help prevent human activities from causing unacceptable environmental change, argue Johan Rockström and colleagues.","DOI":"10.1038/461472a","ISSN":"0028-0836","journalAbbreviation":"Nature","language":"en","author":[{"family":"Rockström","given":"Johan"},{"family":"Steffen","given":"Will"},{"family":"Noone","given":"Kevin"},{"family":"Persson","given":"Åsa"},{"family":"Chapin","given":"F. Stuart"},{"family":"Lambin","given":"Eric F."},{"family":"Lenton","given":"Timothy M."},{"family":"Scheffer","given":"Marten"},{"family":"Folke","given":"Carl"},{"family":"Schellnhuber","given":"Hans Joachim"},{"family":"Nykvist","given":"Björn"},{"family":"de Wit","given":"Cynthia A."},{"family":"Hughes","given":"Terry"},{"family":"van der Leeuw","given":"Sander"},{"family":"Rodhe","given":"Henning"},{"family":"Sörlin","given":"Sverker"},{"family":"Snyder","given":"Peter K."},{"family":"Costanza","given":"Robert"},{"family":"Svedin","given":"Uno"},{"family":"Falkenmark","given":"Malin"},{"family":"Karlberg","given":"Louise"},{"family":"Corell","given":"Robert W."},{"family":"Fabry","given":"Victoria J."},{"family":"Hansen","given":"James"},{"family":"Walker","given":"Brian"},{"family":"Liverman","given":"Diana"},{"family":"Richardson","given":"Katherine"},{"family":"Crutzen","given":"Paul"},{"family":"Foley","given":"Jonathan A."}],"issued":{"date-parts":[["2009",9,24]]},"accessed":{"date-parts":[["2013",9,27]]}}}],"schema":"https://github.com/citation-style-language/schema/raw/master/csl-citation.json"} </w:instrText>
      </w:r>
      <w:r w:rsidRPr="007F272F">
        <w:rPr>
          <w:rFonts w:eastAsia="Calibri" w:cs="Arial"/>
          <w:szCs w:val="20"/>
          <w:lang w:val="sl-SI"/>
        </w:rPr>
        <w:fldChar w:fldCharType="separate"/>
      </w:r>
      <w:r w:rsidRPr="005771BD">
        <w:rPr>
          <w:rFonts w:eastAsia="Calibri" w:cs="Arial"/>
          <w:szCs w:val="20"/>
          <w:lang w:val="sl-SI"/>
        </w:rPr>
        <w:t>(Rockström idr., 2009a)</w:t>
      </w:r>
      <w:r w:rsidRPr="007F272F">
        <w:rPr>
          <w:rFonts w:eastAsia="Calibri" w:cs="Arial"/>
          <w:szCs w:val="20"/>
          <w:lang w:val="sl-SI"/>
        </w:rPr>
        <w:fldChar w:fldCharType="end"/>
      </w:r>
      <w:r w:rsidRPr="005771BD">
        <w:rPr>
          <w:rFonts w:eastAsia="Calibri" w:cs="Arial"/>
          <w:szCs w:val="20"/>
          <w:lang w:val="sl-SI"/>
        </w:rPr>
        <w:t>. V posameznih delih sveta pa so bile na lokalni ali regionalni ravni prekoračene ekološke meje, ki veljajo za pomanjkanje vode, erozijo tal in krčenje gozdov.</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 xml:space="preserve">Posledice preseganja teh meja so ne le regionalne, temveč tudi svetovne. V mnogih regionalnih morjih po vsem svetu na primer zaradi prevelikih izpustov hranil primanjkuje kisika (hipoksija), kar povzroča propadanje ribjih staležev. V Evropi se s tem problemom že spopadamo. </w:t>
      </w:r>
    </w:p>
    <w:p w:rsidR="00C90D7B" w:rsidRPr="005771BD" w:rsidRDefault="00C90D7B" w:rsidP="00C90D7B">
      <w:pPr>
        <w:spacing w:after="200" w:line="276" w:lineRule="auto"/>
        <w:jc w:val="both"/>
        <w:rPr>
          <w:rFonts w:eastAsia="Calibri" w:cs="Arial"/>
          <w:szCs w:val="20"/>
          <w:lang w:val="sl-SI"/>
        </w:rPr>
      </w:pPr>
      <w:r w:rsidRPr="005771BD">
        <w:rPr>
          <w:rFonts w:eastAsia="Calibri" w:cs="Arial"/>
          <w:szCs w:val="20"/>
          <w:lang w:val="sl-SI"/>
        </w:rPr>
        <w:t>Pri razmisleku o tem, ali in kako bi se lahko ekološke meje izrazile v ciljih okoljske politike na evropski in državni ravni, je pomembno upoštevati tudi regionalne posebnosti, vključno z lokalnimi, pri čemer je tudi zaradi teh posebnosti opredelitev ekoloških meja na tej ravni vse prej kot preprosta.</w:t>
      </w:r>
    </w:p>
    <w:p w:rsidR="00427ED6" w:rsidRPr="005771BD" w:rsidRDefault="00C90D7B" w:rsidP="00427ED6">
      <w:pPr>
        <w:spacing w:after="200" w:line="276" w:lineRule="auto"/>
        <w:ind w:right="-716"/>
        <w:jc w:val="both"/>
        <w:rPr>
          <w:rFonts w:eastAsia="Calibri" w:cs="Arial"/>
          <w:b/>
          <w:sz w:val="22"/>
          <w:szCs w:val="22"/>
          <w:lang w:val="sl-SI"/>
        </w:rPr>
      </w:pPr>
      <w:r w:rsidRPr="005771BD">
        <w:rPr>
          <w:rFonts w:eastAsia="Calibri" w:cs="Arial"/>
          <w:b/>
          <w:szCs w:val="20"/>
          <w:lang w:val="sl-SI"/>
        </w:rPr>
        <w:br w:type="column"/>
      </w:r>
      <w:r w:rsidR="00786EDB">
        <w:rPr>
          <w:rFonts w:eastAsia="Calibri" w:cs="Arial"/>
          <w:b/>
          <w:szCs w:val="20"/>
          <w:lang w:val="sl-SI"/>
        </w:rPr>
        <w:t>4</w:t>
      </w:r>
      <w:r w:rsidR="00427ED6" w:rsidRPr="005771BD">
        <w:rPr>
          <w:rFonts w:eastAsia="Calibri" w:cs="Arial"/>
          <w:b/>
          <w:sz w:val="22"/>
          <w:szCs w:val="22"/>
          <w:lang w:val="sl-SI"/>
        </w:rPr>
        <w:t xml:space="preserve"> Z VARSTVOM OKOLJA IN OHRANJANJEM NARAVE DO TRAJNOSTNEGA RAZVOJA</w:t>
      </w:r>
    </w:p>
    <w:p w:rsidR="00427ED6" w:rsidRPr="005771BD" w:rsidRDefault="00427ED6" w:rsidP="00427ED6">
      <w:pPr>
        <w:widowControl w:val="0"/>
        <w:tabs>
          <w:tab w:val="left" w:pos="461"/>
        </w:tabs>
        <w:spacing w:after="200" w:line="276" w:lineRule="auto"/>
        <w:ind w:left="1843"/>
        <w:jc w:val="both"/>
        <w:rPr>
          <w:rFonts w:cs="Arial"/>
          <w:i/>
          <w:szCs w:val="20"/>
          <w:lang w:val="sl-SI" w:eastAsia="sl-SI"/>
        </w:rPr>
      </w:pPr>
      <w:r w:rsidRPr="005771BD">
        <w:rPr>
          <w:rFonts w:cs="Arial"/>
          <w:i/>
          <w:szCs w:val="20"/>
          <w:lang w:val="sl-SI" w:eastAsia="sl-SI"/>
        </w:rPr>
        <w:t>»Sestali smo se v času izjemnih izzivov na področju trajnostnega razvoja. …… …… Izčrpavanje naravnih virov in neugodne posledice vse slabšega stanja okolja, tudi zaradi širjenja puščav, suše, degradacije tal, pomanjkanja pitne vode in zmanjšanja biotske raznovrstnosti, podaljšujejo seznam vse hujših težav, ki pestijo človeštvo. Podnebne spremembe so eden največjih izzivov našega časa in njihove škodljive posledice ogrožajo zmožnost vseh držav, da bi si zagotovile trajnostni razvoj……Ogroženo je preživetje številnih družb in bioloških podpornih sistemov na Zemlji.«</w:t>
      </w:r>
    </w:p>
    <w:p w:rsidR="00427ED6" w:rsidRPr="005771BD" w:rsidRDefault="00427ED6" w:rsidP="00427ED6">
      <w:pPr>
        <w:spacing w:after="200" w:line="276" w:lineRule="auto"/>
        <w:ind w:left="1843"/>
        <w:jc w:val="both"/>
        <w:rPr>
          <w:rFonts w:eastAsia="Calibri" w:cs="Arial"/>
          <w:i/>
          <w:szCs w:val="20"/>
          <w:lang w:val="sl-SI" w:eastAsia="sl-SI"/>
        </w:rPr>
      </w:pPr>
      <w:r w:rsidRPr="005771BD">
        <w:rPr>
          <w:rFonts w:cs="Arial"/>
          <w:i/>
          <w:szCs w:val="20"/>
          <w:lang w:val="sl-SI" w:eastAsia="sl-SI"/>
        </w:rPr>
        <w:t>SPREMENIMO SVET: AGENDA ZA TRAJNOSTNI RAZVOJ DO LETA 2030, Generalna skupščina ZN, september 2016, 14. člen</w:t>
      </w:r>
    </w:p>
    <w:p w:rsidR="00427ED6" w:rsidRPr="005771BD" w:rsidRDefault="00427ED6" w:rsidP="00427ED6">
      <w:pPr>
        <w:spacing w:after="200" w:line="276" w:lineRule="auto"/>
        <w:jc w:val="both"/>
        <w:rPr>
          <w:rFonts w:cs="Arial"/>
          <w:szCs w:val="20"/>
          <w:lang w:val="sl-SI" w:eastAsia="sl-SI"/>
        </w:rPr>
      </w:pPr>
      <w:r w:rsidRPr="005771BD">
        <w:rPr>
          <w:rFonts w:cs="Arial"/>
          <w:szCs w:val="20"/>
          <w:lang w:val="sl-SI" w:eastAsia="sl-SI"/>
        </w:rPr>
        <w:t xml:space="preserve">Poleg teh okoljskih izzivov se danes soočamo tudi s številnimi gospodarskimi in družbenimi izzivi, kot so revščina, naraščanje neenakosti, brezposelnost, zlasti med mladimi, povečevanje števila spopadov, nasilni ekstremizem, terorizem ter z njimi povezane humanitarne krize in prisilno razseljevanje. Ta zaskrbljujoča podoba našega sveta danes je bila ob hkratnem zavedanju številnih priložnosti leta 2015 spodbuda za sprejem Agende za trajnostni razvoj s 17 globalnimi cilji trajnostnega razvoja. Vendar je trajnostni razvoj v središču pozornosti mednarodne skupnosti že več let. </w:t>
      </w:r>
    </w:p>
    <w:p w:rsidR="00427ED6" w:rsidRPr="005771BD" w:rsidRDefault="00427ED6" w:rsidP="00427ED6">
      <w:pPr>
        <w:spacing w:after="200" w:line="276" w:lineRule="auto"/>
        <w:jc w:val="both"/>
        <w:rPr>
          <w:rFonts w:cs="Arial"/>
          <w:szCs w:val="20"/>
          <w:lang w:val="sl-SI" w:eastAsia="sl-SI"/>
        </w:rPr>
      </w:pPr>
      <w:r w:rsidRPr="005771BD">
        <w:rPr>
          <w:rFonts w:cs="Arial"/>
          <w:szCs w:val="20"/>
          <w:lang w:val="sl-SI" w:eastAsia="sl-SI"/>
        </w:rPr>
        <w:t>Najbolj znana opredelitev trajnostnega razvoja je v končnem poročilu iz leta 1987 Naša skupna prihodnost, ki ga poznamo tudi pod imenom Brundtlandino poročilo (po predsedujoči, nekdanji norveški predsednici vlade Gro Brundtland), Svetovne komisije za okolje in razvoj (World Commission on Environment and Development), ustanovljene leta 1983</w:t>
      </w:r>
      <w:r>
        <w:rPr>
          <w:rFonts w:cs="Arial"/>
          <w:szCs w:val="20"/>
          <w:lang w:val="sl-SI" w:eastAsia="sl-SI"/>
        </w:rPr>
        <w:t>.</w:t>
      </w:r>
      <w:r w:rsidRPr="005771BD">
        <w:rPr>
          <w:rFonts w:cs="Arial"/>
          <w:szCs w:val="20"/>
          <w:lang w:val="sl-SI" w:eastAsia="sl-SI"/>
        </w:rPr>
        <w:t xml:space="preserve"> Poročilo je opozorilo na medsebojno povezanost (gospodarskega) razvoja in okolja ter opredelilo trajnostni razvoj kot razvoj, ki zadovoljuje potrebe sedanjih generacij, ne da bi pri tem ogrozil možnosti prihodnjih generacij za zadovoljevanje njihovih potreb. </w:t>
      </w:r>
    </w:p>
    <w:p w:rsidR="00427ED6" w:rsidRPr="005771BD" w:rsidRDefault="00427ED6" w:rsidP="00427ED6">
      <w:pPr>
        <w:spacing w:after="200" w:line="276" w:lineRule="auto"/>
        <w:jc w:val="both"/>
        <w:rPr>
          <w:rFonts w:cs="Arial"/>
          <w:szCs w:val="20"/>
          <w:lang w:val="sl-SI" w:eastAsia="sl-SI"/>
        </w:rPr>
      </w:pPr>
      <w:r w:rsidRPr="005771BD">
        <w:rPr>
          <w:rFonts w:cs="Arial"/>
          <w:szCs w:val="20"/>
          <w:lang w:val="sl-SI" w:eastAsia="sl-SI"/>
        </w:rPr>
        <w:t xml:space="preserve">Večina dokumentov in strokovnih besedil o trajnostnem razvoju temelji na opredelitvi iz tega poročila, hkrati pa ponujajo še številne drugačne opredelitve. Najpogosteje poudarjajo uravnoteženi razvoj okolja, gospodarstva in družbe (trije stebri, razsežnosti, sfere, področja trajnostnega razvoja). Nekateri avtorji so ta koncept razširili s četrtim stebrom – kultura ali institucije in upravljanje. V tem poročilu se osredotočamo na okoljsko razsežnost ob zavedanju medsebojne povezanosti in vplivanja med okoljem, družbo in  gospodarstvom. </w:t>
      </w:r>
    </w:p>
    <w:p w:rsidR="00427ED6" w:rsidRPr="005771BD" w:rsidRDefault="00786EDB" w:rsidP="00427ED6">
      <w:pPr>
        <w:spacing w:after="200" w:line="276" w:lineRule="auto"/>
        <w:jc w:val="both"/>
        <w:rPr>
          <w:rFonts w:cs="Arial"/>
          <w:b/>
          <w:szCs w:val="20"/>
          <w:u w:val="single"/>
          <w:lang w:val="sl-SI" w:eastAsia="sl-SI"/>
        </w:rPr>
      </w:pPr>
      <w:r>
        <w:rPr>
          <w:rFonts w:cs="Arial"/>
          <w:b/>
          <w:szCs w:val="20"/>
          <w:u w:val="single"/>
          <w:lang w:val="sl-SI" w:eastAsia="sl-SI"/>
        </w:rPr>
        <w:t>4</w:t>
      </w:r>
      <w:r w:rsidR="00427ED6" w:rsidRPr="005771BD">
        <w:rPr>
          <w:rFonts w:cs="Arial"/>
          <w:b/>
          <w:szCs w:val="20"/>
          <w:u w:val="single"/>
          <w:lang w:val="sl-SI" w:eastAsia="sl-SI"/>
        </w:rPr>
        <w:t>.1 Zaveze za trajnostni razvoj na svetovni, regionalni in državni ravni</w:t>
      </w:r>
    </w:p>
    <w:p w:rsidR="00427ED6" w:rsidRPr="005771BD" w:rsidRDefault="00427ED6" w:rsidP="00427ED6">
      <w:pPr>
        <w:spacing w:after="200" w:line="276" w:lineRule="auto"/>
        <w:jc w:val="both"/>
        <w:rPr>
          <w:rFonts w:cs="Arial"/>
          <w:szCs w:val="20"/>
          <w:lang w:val="sl-SI" w:eastAsia="sl-SI"/>
        </w:rPr>
      </w:pPr>
      <w:r w:rsidRPr="005771BD">
        <w:rPr>
          <w:rFonts w:cs="Arial"/>
          <w:szCs w:val="20"/>
          <w:lang w:val="sl-SI" w:eastAsia="sl-SI"/>
        </w:rPr>
        <w:t xml:space="preserve">O trajnostnem razvoju in izzivih za njegovo doseganje se na svetovni ravni razpravlja v številnih forumih. </w:t>
      </w:r>
    </w:p>
    <w:p w:rsidR="00427ED6" w:rsidRPr="005771BD" w:rsidRDefault="00427ED6" w:rsidP="00427ED6">
      <w:pPr>
        <w:spacing w:after="200" w:line="276" w:lineRule="auto"/>
        <w:jc w:val="both"/>
        <w:rPr>
          <w:rFonts w:cs="Arial"/>
          <w:szCs w:val="20"/>
          <w:lang w:val="sl-SI" w:eastAsia="sl-SI"/>
        </w:rPr>
      </w:pPr>
      <w:r w:rsidRPr="005771BD">
        <w:rPr>
          <w:rFonts w:cs="Arial"/>
          <w:szCs w:val="20"/>
          <w:lang w:val="sl-SI" w:eastAsia="sl-SI"/>
        </w:rPr>
        <w:t>Najvidnejši med njimi so običajno mednarodne konference, ki potekajo pod okriljem Organizacije združenih narodov (OZN). Prva mednarodna konferenca, ki je poudarila povezavo med človekovimi aktivnostmi in stanjem okolja, je bila konferenca o človekovem okolju (Stockholm, 5.–16. junij 1972). Najvidnejša odločitev konference je bila ustanovitev</w:t>
      </w:r>
      <w:r>
        <w:rPr>
          <w:rFonts w:cs="Arial"/>
          <w:szCs w:val="20"/>
          <w:lang w:val="sl-SI" w:eastAsia="sl-SI"/>
        </w:rPr>
        <w:t xml:space="preserve"> Programa Združenih narodov za okolje (</w:t>
      </w:r>
      <w:r w:rsidRPr="005771BD">
        <w:rPr>
          <w:rFonts w:cs="Arial"/>
          <w:szCs w:val="20"/>
          <w:lang w:val="sl-SI" w:eastAsia="sl-SI"/>
        </w:rPr>
        <w:t>UNEP).</w:t>
      </w:r>
    </w:p>
    <w:p w:rsidR="00427ED6" w:rsidRPr="005771BD" w:rsidRDefault="00427ED6" w:rsidP="00427ED6">
      <w:pPr>
        <w:spacing w:after="200" w:line="276" w:lineRule="auto"/>
        <w:jc w:val="both"/>
        <w:rPr>
          <w:rFonts w:cs="Arial"/>
          <w:szCs w:val="20"/>
          <w:lang w:val="sl-SI" w:eastAsia="sl-SI"/>
        </w:rPr>
      </w:pPr>
      <w:r w:rsidRPr="005771BD">
        <w:rPr>
          <w:rFonts w:cs="Arial"/>
          <w:szCs w:val="20"/>
          <w:lang w:val="sl-SI" w:eastAsia="sl-SI"/>
        </w:rPr>
        <w:t>Delo Bruntlandine komisije je leta 1992 nadaljevala prva velika konferenca o trajnostnem razvoju – t. i. vrh o Zemlji (Earth Summit). Konferenca ZN o okolju in razvoju (Rio de Janeiro, 3.–14. junij 1992) je bila eden najpomembnejših mejnikov v prizadevanjih mednarodne skupnosti za trajnostni razvoj, saj sta bila na njej sprejeta dva temeljna dokumenta na področju trajnostnega razvoja – Deklaracija o okolju in razvoju ter Agenda 21, načrt za uresničitev trajnostnega razvoja</w:t>
      </w:r>
      <w:r w:rsidRPr="005771BD">
        <w:rPr>
          <w:rFonts w:cs="Arial"/>
          <w:szCs w:val="20"/>
          <w:vertAlign w:val="superscript"/>
          <w:lang w:val="sl-SI" w:eastAsia="sl-SI"/>
        </w:rPr>
        <w:footnoteReference w:id="5"/>
      </w:r>
      <w:r w:rsidRPr="005771BD">
        <w:rPr>
          <w:rFonts w:cs="Arial"/>
          <w:szCs w:val="20"/>
          <w:lang w:val="sl-SI" w:eastAsia="sl-SI"/>
        </w:rPr>
        <w:t xml:space="preserve">. </w:t>
      </w:r>
    </w:p>
    <w:p w:rsidR="00427ED6" w:rsidRPr="005771BD" w:rsidRDefault="00427ED6" w:rsidP="00427ED6">
      <w:pPr>
        <w:spacing w:after="200" w:line="276" w:lineRule="auto"/>
        <w:jc w:val="both"/>
        <w:rPr>
          <w:rFonts w:cs="Arial"/>
          <w:szCs w:val="20"/>
          <w:lang w:val="sl-SI" w:eastAsia="sl-SI"/>
        </w:rPr>
      </w:pPr>
      <w:r w:rsidRPr="005771BD">
        <w:rPr>
          <w:rFonts w:cs="Arial"/>
          <w:szCs w:val="20"/>
          <w:lang w:val="sl-SI" w:eastAsia="sl-SI"/>
        </w:rPr>
        <w:t>Mednarodna skupnost je na</w:t>
      </w:r>
      <w:r>
        <w:rPr>
          <w:rFonts w:cs="Arial"/>
          <w:szCs w:val="20"/>
          <w:lang w:val="sl-SI" w:eastAsia="sl-SI"/>
        </w:rPr>
        <w:t xml:space="preserve"> Svetovnem vrhu o trajnostnem razvoju </w:t>
      </w:r>
      <w:r w:rsidRPr="005771BD">
        <w:rPr>
          <w:rFonts w:cs="Arial"/>
          <w:szCs w:val="20"/>
          <w:lang w:val="sl-SI" w:eastAsia="sl-SI"/>
        </w:rPr>
        <w:t>(Johannesburg, 28. avgust–4. september 2002) trajnostni razvoj razglasila za svoj vseobsegajoči cilj.</w:t>
      </w:r>
    </w:p>
    <w:p w:rsidR="00427ED6" w:rsidRPr="005771BD" w:rsidRDefault="00427ED6" w:rsidP="00427ED6">
      <w:pPr>
        <w:spacing w:after="200" w:line="276" w:lineRule="auto"/>
        <w:jc w:val="both"/>
        <w:rPr>
          <w:rFonts w:cs="Arial"/>
          <w:szCs w:val="20"/>
          <w:lang w:val="sl-SI" w:eastAsia="sl-SI"/>
        </w:rPr>
      </w:pPr>
      <w:r w:rsidRPr="005771BD">
        <w:rPr>
          <w:rFonts w:cs="Arial"/>
          <w:szCs w:val="20"/>
          <w:lang w:val="sl-SI" w:eastAsia="sl-SI"/>
        </w:rPr>
        <w:t xml:space="preserve">Junija 2012 je Rio de Janeiro gostil </w:t>
      </w:r>
      <w:hyperlink r:id="rId13" w:history="1">
        <w:r w:rsidRPr="005771BD">
          <w:rPr>
            <w:rFonts w:eastAsiaTheme="majorEastAsia" w:cs="Arial"/>
            <w:color w:val="0000FF"/>
            <w:szCs w:val="20"/>
            <w:u w:val="single"/>
            <w:lang w:val="sl-SI" w:eastAsia="sl-SI"/>
          </w:rPr>
          <w:t>konferenco Združenih narodov o trajnostnem razvoju</w:t>
        </w:r>
      </w:hyperlink>
      <w:r w:rsidRPr="005771BD">
        <w:rPr>
          <w:rFonts w:cs="Arial"/>
          <w:szCs w:val="20"/>
          <w:lang w:val="sl-SI" w:eastAsia="sl-SI"/>
        </w:rPr>
        <w:t xml:space="preserve">, bolj znano kot Rio +20.  Na konferenci so bile obnovljene politične zaveze, pregledan doseženi napredek in obravnavani novi izzivi trajnostnega razvoja. Glavni temi konference sta bili zeleno gospodarstvo v okviru trajnostnega razvoja in izkoreninjenje revščine ter institucionalni okvir za trajnostni razvoj. Končala se je s sprejetjem zaključnega dokumenta z naslovom "Prihodnost, ki jo hočemo", ki podaja usmeritve za nadaljnji trajnostni razvoj in napoveduje medvladni proces za oblikovanje ciljev trajnostnega razvoja. </w:t>
      </w:r>
    </w:p>
    <w:p w:rsidR="00427ED6" w:rsidRPr="005771BD" w:rsidRDefault="00427ED6" w:rsidP="00427ED6">
      <w:pPr>
        <w:spacing w:after="200" w:line="276" w:lineRule="auto"/>
        <w:jc w:val="both"/>
        <w:rPr>
          <w:rFonts w:cs="Arial"/>
          <w:szCs w:val="20"/>
          <w:lang w:val="sl-SI" w:eastAsia="sl-SI"/>
        </w:rPr>
      </w:pPr>
      <w:r w:rsidRPr="005771BD">
        <w:rPr>
          <w:rFonts w:cs="Arial"/>
          <w:szCs w:val="20"/>
          <w:lang w:val="sl-SI" w:eastAsia="sl-SI"/>
        </w:rPr>
        <w:t>Na vrhu OZN o trajnostnem razvoju je bila 25. septembra 2015 soglasno sprejeta Agenda 2030 za trajnostni razvoj (Agenda 2030), ki je zgodovinski dogovor mednarodne skupnosti za odpravo revščine, zmanjševanje neenakosti, zagotovitev napredka ter zaščite okolja za sedanje in prihodnje generacije. V ospredju nove razvojne agende je tudi spoštovanje človekovih pravic in enakosti spolov ter zagotavljanje blaginje, miru in varnosti za vse ljudi in skupnosti.</w:t>
      </w:r>
    </w:p>
    <w:p w:rsidR="00427ED6" w:rsidRPr="005771BD" w:rsidRDefault="00427ED6" w:rsidP="00427ED6">
      <w:pPr>
        <w:spacing w:after="200" w:line="276" w:lineRule="auto"/>
        <w:jc w:val="both"/>
        <w:rPr>
          <w:rFonts w:cs="Arial"/>
          <w:szCs w:val="20"/>
          <w:lang w:val="sl-SI" w:eastAsia="sl-SI"/>
        </w:rPr>
      </w:pPr>
      <w:r w:rsidRPr="005771BD">
        <w:rPr>
          <w:rFonts w:cs="Arial"/>
          <w:szCs w:val="20"/>
          <w:lang w:val="sl-SI" w:eastAsia="sl-SI"/>
        </w:rPr>
        <w:t xml:space="preserve">Agenda 2030 za trajnostni razvoj uravnoteženo povezuje prej omenjene razsežnosti trajnostnega razvoja – ekonomsko, socialno in okoljsko – in jih prepleta v 17 splošnih in 169 konkretnih ciljih trajnostnega razvoja, ki jih načrtujemo uresničiti do leta 2030 (slika 3.1).  Pomembna značilnost nove agende je univerzalnost: ob upoštevanju nacionalnih okoliščin bodo njene cilje uresničevale vse države sveta, tako države v razvoju kot tudi razvite države. </w:t>
      </w:r>
    </w:p>
    <w:p w:rsidR="00427ED6" w:rsidRPr="005771BD" w:rsidRDefault="00427ED6" w:rsidP="00427ED6">
      <w:pPr>
        <w:keepNext/>
        <w:keepLines/>
        <w:spacing w:line="276" w:lineRule="auto"/>
        <w:jc w:val="both"/>
        <w:outlineLvl w:val="1"/>
        <w:rPr>
          <w:rFonts w:cs="Arial"/>
          <w:szCs w:val="20"/>
          <w:lang w:val="sl-SI" w:eastAsia="sl-SI"/>
        </w:rPr>
      </w:pPr>
      <w:r w:rsidRPr="005771BD">
        <w:rPr>
          <w:rFonts w:cs="Arial"/>
          <w:szCs w:val="20"/>
          <w:lang w:val="sl-SI" w:eastAsia="sl-SI"/>
        </w:rPr>
        <w:t xml:space="preserve">Skrb za okolje se odraža že v preambuli tega svetovnega dokumenta z odločenostjo: </w:t>
      </w:r>
    </w:p>
    <w:p w:rsidR="00427ED6" w:rsidRPr="005771BD" w:rsidRDefault="00427ED6" w:rsidP="00427ED6">
      <w:pPr>
        <w:keepNext/>
        <w:keepLines/>
        <w:numPr>
          <w:ilvl w:val="0"/>
          <w:numId w:val="32"/>
        </w:numPr>
        <w:spacing w:before="60" w:line="276" w:lineRule="auto"/>
        <w:ind w:left="284" w:hanging="284"/>
        <w:jc w:val="both"/>
        <w:outlineLvl w:val="1"/>
        <w:rPr>
          <w:rFonts w:cs="Arial"/>
          <w:szCs w:val="20"/>
          <w:lang w:val="sl-SI" w:eastAsia="sl-SI"/>
        </w:rPr>
      </w:pPr>
      <w:r w:rsidRPr="005771BD">
        <w:rPr>
          <w:rFonts w:cs="Arial"/>
          <w:szCs w:val="20"/>
          <w:lang w:val="sl-SI" w:eastAsia="sl-SI"/>
        </w:rPr>
        <w:t xml:space="preserve">zagotoviti, da bodo vsi </w:t>
      </w:r>
      <w:r w:rsidRPr="005771BD">
        <w:rPr>
          <w:rFonts w:cs="Arial"/>
          <w:szCs w:val="20"/>
          <w:u w:val="single"/>
          <w:lang w:val="sl-SI" w:eastAsia="sl-SI"/>
        </w:rPr>
        <w:t>ljudje</w:t>
      </w:r>
      <w:r w:rsidRPr="005771BD">
        <w:rPr>
          <w:rFonts w:cs="Arial"/>
          <w:szCs w:val="20"/>
          <w:lang w:val="sl-SI" w:eastAsia="sl-SI"/>
        </w:rPr>
        <w:t xml:space="preserve"> lahko dostojno, enakopravno in v zdravem okolju izkoriščali svoje danosti,</w:t>
      </w:r>
    </w:p>
    <w:p w:rsidR="00427ED6" w:rsidRPr="005771BD" w:rsidRDefault="00427ED6" w:rsidP="00427ED6">
      <w:pPr>
        <w:numPr>
          <w:ilvl w:val="0"/>
          <w:numId w:val="32"/>
        </w:numPr>
        <w:spacing w:before="60" w:line="276" w:lineRule="auto"/>
        <w:ind w:left="284" w:hanging="284"/>
        <w:jc w:val="both"/>
        <w:rPr>
          <w:rFonts w:cs="Arial"/>
          <w:szCs w:val="20"/>
          <w:lang w:val="sl-SI" w:eastAsia="sl-SI"/>
        </w:rPr>
      </w:pPr>
      <w:r w:rsidRPr="005771BD">
        <w:rPr>
          <w:rFonts w:cs="Arial"/>
          <w:szCs w:val="20"/>
          <w:lang w:val="sl-SI" w:eastAsia="sl-SI"/>
        </w:rPr>
        <w:t xml:space="preserve">obvarovati naš planet pred uničenjem, tudi z vzdržno porabo in proizvodnjo, trajnostnim ravnanjem z naravnimi viri in nujnimi ukrepi glede podnebnih sprememb, tako da bo </w:t>
      </w:r>
      <w:r w:rsidRPr="005771BD">
        <w:rPr>
          <w:rFonts w:cs="Arial"/>
          <w:szCs w:val="20"/>
          <w:u w:val="single"/>
          <w:lang w:val="sl-SI" w:eastAsia="sl-SI"/>
        </w:rPr>
        <w:t>Zemlja</w:t>
      </w:r>
      <w:r w:rsidRPr="005771BD">
        <w:rPr>
          <w:rFonts w:cs="Arial"/>
          <w:szCs w:val="20"/>
          <w:lang w:val="sl-SI" w:eastAsia="sl-SI"/>
        </w:rPr>
        <w:t xml:space="preserve"> lahko zadovoljevala potrebe današnje in prihodnjih generacij,</w:t>
      </w:r>
    </w:p>
    <w:p w:rsidR="00786EDB" w:rsidRDefault="00427ED6" w:rsidP="00786EDB">
      <w:pPr>
        <w:spacing w:after="200" w:line="276" w:lineRule="auto"/>
        <w:jc w:val="both"/>
        <w:rPr>
          <w:rFonts w:cs="Arial"/>
          <w:color w:val="000000"/>
          <w:szCs w:val="20"/>
          <w:lang w:val="sl-SI" w:eastAsia="sl-SI"/>
        </w:rPr>
      </w:pPr>
      <w:r w:rsidRPr="005771BD">
        <w:rPr>
          <w:rFonts w:cs="Arial"/>
          <w:szCs w:val="20"/>
          <w:lang w:val="sl-SI" w:eastAsia="sl-SI"/>
        </w:rPr>
        <w:t xml:space="preserve">zagotoviti, da bodo vsi ljudje živeli človeka vredno življenje v </w:t>
      </w:r>
      <w:r w:rsidRPr="005771BD">
        <w:rPr>
          <w:rFonts w:cs="Arial"/>
          <w:szCs w:val="20"/>
          <w:u w:val="single"/>
          <w:lang w:val="sl-SI" w:eastAsia="sl-SI"/>
        </w:rPr>
        <w:t>blaginji</w:t>
      </w:r>
      <w:r w:rsidRPr="005771BD">
        <w:rPr>
          <w:rFonts w:cs="Arial"/>
          <w:szCs w:val="20"/>
          <w:lang w:val="sl-SI" w:eastAsia="sl-SI"/>
        </w:rPr>
        <w:t xml:space="preserve"> ter da bo gospodarski, družbeni in tehnološki napredek v sozvočju z naravo.</w:t>
      </w:r>
      <w:r w:rsidR="00786EDB" w:rsidRPr="00786EDB">
        <w:rPr>
          <w:rFonts w:cs="Arial"/>
          <w:color w:val="000000"/>
          <w:szCs w:val="20"/>
          <w:lang w:val="sl-SI" w:eastAsia="sl-SI"/>
        </w:rPr>
        <w:t xml:space="preserve"> </w:t>
      </w:r>
    </w:p>
    <w:p w:rsidR="00786EDB" w:rsidRPr="005771BD" w:rsidRDefault="00786EDB" w:rsidP="00786EDB">
      <w:pPr>
        <w:spacing w:after="200" w:line="276" w:lineRule="auto"/>
        <w:jc w:val="both"/>
        <w:rPr>
          <w:rFonts w:cs="Arial"/>
          <w:b/>
          <w:color w:val="000000"/>
          <w:szCs w:val="20"/>
          <w:lang w:val="sl-SI" w:eastAsia="sl-SI"/>
        </w:rPr>
      </w:pPr>
      <w:r w:rsidRPr="005771BD">
        <w:rPr>
          <w:rFonts w:cs="Arial"/>
          <w:color w:val="000000"/>
          <w:szCs w:val="20"/>
          <w:lang w:val="sl-SI" w:eastAsia="sl-SI"/>
        </w:rPr>
        <w:t>Okolje je neposredno ali posredno vključeno</w:t>
      </w:r>
      <w:r w:rsidRPr="005771BD">
        <w:rPr>
          <w:rFonts w:cs="Arial"/>
          <w:b/>
          <w:color w:val="000000"/>
          <w:szCs w:val="20"/>
          <w:lang w:val="sl-SI" w:eastAsia="sl-SI"/>
        </w:rPr>
        <w:t xml:space="preserve"> </w:t>
      </w:r>
      <w:r w:rsidRPr="005771BD">
        <w:rPr>
          <w:rFonts w:cs="Arial"/>
          <w:color w:val="000000"/>
          <w:szCs w:val="20"/>
          <w:lang w:val="sl-SI" w:eastAsia="sl-SI"/>
        </w:rPr>
        <w:t xml:space="preserve">v večino od 17 ciljev trajnostnega razvoja, še zlasti pa v naslednje: </w:t>
      </w:r>
    </w:p>
    <w:p w:rsidR="00786EDB" w:rsidRPr="005771BD" w:rsidRDefault="00786EDB" w:rsidP="00786EDB">
      <w:pPr>
        <w:spacing w:after="60" w:line="276" w:lineRule="auto"/>
        <w:ind w:left="709" w:hanging="709"/>
        <w:jc w:val="both"/>
        <w:rPr>
          <w:rFonts w:cs="Arial"/>
          <w:i/>
          <w:szCs w:val="20"/>
          <w:lang w:val="sl-SI" w:eastAsia="sl-SI"/>
        </w:rPr>
      </w:pPr>
      <w:r w:rsidRPr="005771BD">
        <w:rPr>
          <w:rFonts w:cs="Arial"/>
          <w:i/>
          <w:szCs w:val="20"/>
          <w:lang w:val="sl-SI" w:eastAsia="sl-SI"/>
        </w:rPr>
        <w:t>Cilj 2 </w:t>
      </w:r>
      <w:r w:rsidRPr="005771BD">
        <w:rPr>
          <w:rFonts w:cs="Arial"/>
          <w:i/>
          <w:szCs w:val="20"/>
          <w:lang w:val="sl-SI" w:eastAsia="sl-SI"/>
        </w:rPr>
        <w:tab/>
        <w:t xml:space="preserve">Odpraviti lakoto, zagotoviti prehransko varnost in boljšo prehrano ter spodbujati trajnostno kmetijstvo. </w:t>
      </w:r>
    </w:p>
    <w:p w:rsidR="00786EDB" w:rsidRPr="005771BD" w:rsidRDefault="00786EDB" w:rsidP="00786EDB">
      <w:pPr>
        <w:spacing w:after="60" w:line="276" w:lineRule="auto"/>
        <w:ind w:left="709" w:hanging="709"/>
        <w:jc w:val="both"/>
        <w:rPr>
          <w:rFonts w:cs="Arial"/>
          <w:i/>
          <w:szCs w:val="20"/>
          <w:lang w:val="sl-SI" w:eastAsia="sl-SI"/>
        </w:rPr>
      </w:pPr>
      <w:r w:rsidRPr="005771BD">
        <w:rPr>
          <w:rFonts w:cs="Arial"/>
          <w:i/>
          <w:szCs w:val="20"/>
          <w:lang w:val="sl-SI" w:eastAsia="sl-SI"/>
        </w:rPr>
        <w:t xml:space="preserve">Cilj 3 </w:t>
      </w:r>
      <w:r w:rsidRPr="005771BD">
        <w:rPr>
          <w:rFonts w:cs="Arial"/>
          <w:i/>
          <w:szCs w:val="20"/>
          <w:lang w:val="sl-SI" w:eastAsia="sl-SI"/>
        </w:rPr>
        <w:tab/>
        <w:t>Zagotoviti zdravo življenje in spodbujati splošno dobro počutje v vseh življenjskih obdobjih.</w:t>
      </w:r>
    </w:p>
    <w:p w:rsidR="00786EDB" w:rsidRPr="005771BD" w:rsidRDefault="00786EDB" w:rsidP="00786EDB">
      <w:pPr>
        <w:spacing w:after="60" w:line="276" w:lineRule="auto"/>
        <w:ind w:left="709" w:hanging="709"/>
        <w:jc w:val="both"/>
        <w:rPr>
          <w:rFonts w:cs="Arial"/>
          <w:i/>
          <w:szCs w:val="20"/>
          <w:lang w:val="sl-SI" w:eastAsia="sl-SI"/>
        </w:rPr>
      </w:pPr>
      <w:r w:rsidRPr="005771BD">
        <w:rPr>
          <w:rFonts w:cs="Arial"/>
          <w:i/>
          <w:szCs w:val="20"/>
          <w:lang w:val="sl-SI" w:eastAsia="sl-SI"/>
        </w:rPr>
        <w:t xml:space="preserve">Cilj 6 </w:t>
      </w:r>
      <w:r w:rsidRPr="005771BD">
        <w:rPr>
          <w:rFonts w:cs="Arial"/>
          <w:i/>
          <w:szCs w:val="20"/>
          <w:lang w:val="sl-SI" w:eastAsia="sl-SI"/>
        </w:rPr>
        <w:tab/>
        <w:t xml:space="preserve">Vsem zagotoviti dostop do vode in sanitarne ureditve ter trajnostno gospodarjenje z vodnimi viri. </w:t>
      </w:r>
    </w:p>
    <w:p w:rsidR="00786EDB" w:rsidRPr="005771BD" w:rsidRDefault="00786EDB" w:rsidP="00786EDB">
      <w:pPr>
        <w:spacing w:after="60" w:line="276" w:lineRule="auto"/>
        <w:ind w:left="709" w:hanging="709"/>
        <w:jc w:val="both"/>
        <w:rPr>
          <w:rFonts w:cs="Arial"/>
          <w:i/>
          <w:szCs w:val="20"/>
          <w:lang w:val="sl-SI" w:eastAsia="sl-SI"/>
        </w:rPr>
      </w:pPr>
      <w:r w:rsidRPr="005771BD">
        <w:rPr>
          <w:rFonts w:cs="Arial"/>
          <w:i/>
          <w:szCs w:val="20"/>
          <w:lang w:val="sl-SI" w:eastAsia="sl-SI"/>
        </w:rPr>
        <w:t xml:space="preserve">Cilj 7 </w:t>
      </w:r>
      <w:r w:rsidRPr="005771BD">
        <w:rPr>
          <w:rFonts w:cs="Arial"/>
          <w:i/>
          <w:szCs w:val="20"/>
          <w:lang w:val="sl-SI" w:eastAsia="sl-SI"/>
        </w:rPr>
        <w:tab/>
        <w:t>Vsem zagotoviti dostop do cenovno sprejemljivih, zanesljivih, trajnostnih in sodobnih virov energije.</w:t>
      </w:r>
    </w:p>
    <w:p w:rsidR="00786EDB" w:rsidRPr="005771BD" w:rsidRDefault="00786EDB" w:rsidP="00786EDB">
      <w:pPr>
        <w:spacing w:after="60" w:line="276" w:lineRule="auto"/>
        <w:ind w:left="709" w:hanging="709"/>
        <w:jc w:val="both"/>
        <w:rPr>
          <w:rFonts w:cs="Arial"/>
          <w:i/>
          <w:szCs w:val="20"/>
          <w:lang w:val="sl-SI" w:eastAsia="sl-SI"/>
        </w:rPr>
      </w:pPr>
      <w:r w:rsidRPr="005771BD">
        <w:rPr>
          <w:rFonts w:cs="Arial"/>
          <w:i/>
          <w:szCs w:val="20"/>
          <w:lang w:val="sl-SI" w:eastAsia="sl-SI"/>
        </w:rPr>
        <w:t xml:space="preserve">Cilj 8 </w:t>
      </w:r>
      <w:r w:rsidRPr="005771BD">
        <w:rPr>
          <w:rFonts w:cs="Arial"/>
          <w:i/>
          <w:szCs w:val="20"/>
          <w:lang w:val="sl-SI" w:eastAsia="sl-SI"/>
        </w:rPr>
        <w:tab/>
        <w:t>Spodbujati trajnostno, vključujočo in vzdržno gospodarsko rast, polno in produktivno zaposlenost ter dostojno delo za vse.</w:t>
      </w:r>
    </w:p>
    <w:p w:rsidR="00786EDB" w:rsidRPr="005771BD" w:rsidRDefault="00786EDB" w:rsidP="00786EDB">
      <w:pPr>
        <w:spacing w:after="60" w:line="276" w:lineRule="auto"/>
        <w:ind w:left="709" w:hanging="709"/>
        <w:jc w:val="both"/>
        <w:rPr>
          <w:rFonts w:cs="Arial"/>
          <w:i/>
          <w:szCs w:val="20"/>
          <w:lang w:val="sl-SI" w:eastAsia="sl-SI"/>
        </w:rPr>
      </w:pPr>
      <w:r w:rsidRPr="005771BD">
        <w:rPr>
          <w:rFonts w:cs="Arial"/>
          <w:i/>
          <w:szCs w:val="20"/>
          <w:lang w:val="sl-SI" w:eastAsia="sl-SI"/>
        </w:rPr>
        <w:t xml:space="preserve">Cilj 9 </w:t>
      </w:r>
      <w:r w:rsidRPr="005771BD">
        <w:rPr>
          <w:rFonts w:cs="Arial"/>
          <w:i/>
          <w:szCs w:val="20"/>
          <w:lang w:val="sl-SI" w:eastAsia="sl-SI"/>
        </w:rPr>
        <w:tab/>
        <w:t>Zgraditi vzdržljivo infrastrukturo, spodbujati vključujočo in trajnostno industrializacijo ter pospeševati inovacije.</w:t>
      </w:r>
    </w:p>
    <w:p w:rsidR="00786EDB" w:rsidRPr="005771BD" w:rsidRDefault="00786EDB" w:rsidP="00786EDB">
      <w:pPr>
        <w:spacing w:after="60" w:line="276" w:lineRule="auto"/>
        <w:ind w:left="709" w:hanging="709"/>
        <w:jc w:val="both"/>
        <w:rPr>
          <w:rFonts w:cs="Arial"/>
          <w:i/>
          <w:szCs w:val="20"/>
          <w:lang w:val="sl-SI" w:eastAsia="sl-SI"/>
        </w:rPr>
      </w:pPr>
      <w:r w:rsidRPr="005771BD">
        <w:rPr>
          <w:rFonts w:cs="Arial"/>
          <w:i/>
          <w:szCs w:val="20"/>
          <w:lang w:val="sl-SI" w:eastAsia="sl-SI"/>
        </w:rPr>
        <w:t xml:space="preserve">Cilj 11 </w:t>
      </w:r>
      <w:r w:rsidRPr="005771BD">
        <w:rPr>
          <w:rFonts w:cs="Arial"/>
          <w:i/>
          <w:szCs w:val="20"/>
          <w:lang w:val="sl-SI" w:eastAsia="sl-SI"/>
        </w:rPr>
        <w:tab/>
        <w:t>Zagotoviti odprta, varna, vzdržljiva in trajnostna mesta in naselja.</w:t>
      </w:r>
    </w:p>
    <w:p w:rsidR="00786EDB" w:rsidRPr="005771BD" w:rsidRDefault="00786EDB" w:rsidP="00786EDB">
      <w:pPr>
        <w:spacing w:after="60" w:line="276" w:lineRule="auto"/>
        <w:ind w:left="709" w:hanging="709"/>
        <w:jc w:val="both"/>
        <w:rPr>
          <w:rFonts w:cs="Arial"/>
          <w:i/>
          <w:szCs w:val="20"/>
          <w:lang w:val="sl-SI" w:eastAsia="sl-SI"/>
        </w:rPr>
      </w:pPr>
      <w:r w:rsidRPr="005771BD">
        <w:rPr>
          <w:rFonts w:cs="Arial"/>
          <w:i/>
          <w:szCs w:val="20"/>
          <w:lang w:val="sl-SI" w:eastAsia="sl-SI"/>
        </w:rPr>
        <w:t xml:space="preserve">Cilj 12 </w:t>
      </w:r>
      <w:r w:rsidRPr="005771BD">
        <w:rPr>
          <w:rFonts w:cs="Arial"/>
          <w:i/>
          <w:szCs w:val="20"/>
          <w:lang w:val="sl-SI" w:eastAsia="sl-SI"/>
        </w:rPr>
        <w:tab/>
        <w:t>Zagotoviti trajnostne načine proizvodnje in porabe.</w:t>
      </w:r>
    </w:p>
    <w:p w:rsidR="00786EDB" w:rsidRPr="005771BD" w:rsidRDefault="00786EDB" w:rsidP="00786EDB">
      <w:pPr>
        <w:spacing w:after="60" w:line="276" w:lineRule="auto"/>
        <w:ind w:left="709" w:hanging="709"/>
        <w:jc w:val="both"/>
        <w:rPr>
          <w:rFonts w:cs="Arial"/>
          <w:i/>
          <w:szCs w:val="20"/>
          <w:lang w:val="sl-SI" w:eastAsia="sl-SI"/>
        </w:rPr>
      </w:pPr>
      <w:r w:rsidRPr="005771BD">
        <w:rPr>
          <w:rFonts w:cs="Arial"/>
          <w:i/>
          <w:szCs w:val="20"/>
          <w:lang w:val="sl-SI" w:eastAsia="sl-SI"/>
        </w:rPr>
        <w:t xml:space="preserve">Cilj 13 </w:t>
      </w:r>
      <w:r w:rsidRPr="005771BD">
        <w:rPr>
          <w:rFonts w:cs="Arial"/>
          <w:i/>
          <w:szCs w:val="20"/>
          <w:lang w:val="sl-SI" w:eastAsia="sl-SI"/>
        </w:rPr>
        <w:tab/>
        <w:t>Sprejeti nujne ukrepe za boj proti podnebnim spremembam in njihovim posledicam ob priznavanju, da je najpomembnejši mednarodni medvladni okvir za pogajanja o boju proti podnebnim spremembam na svetovni ravni Okvirna konvencija Združenih narodov o spremembi podnebja.</w:t>
      </w:r>
    </w:p>
    <w:p w:rsidR="00786EDB" w:rsidRPr="005771BD" w:rsidRDefault="00786EDB" w:rsidP="00786EDB">
      <w:pPr>
        <w:spacing w:after="60" w:line="276" w:lineRule="auto"/>
        <w:ind w:left="709" w:hanging="709"/>
        <w:jc w:val="both"/>
        <w:rPr>
          <w:rFonts w:cs="Arial"/>
          <w:i/>
          <w:szCs w:val="20"/>
          <w:lang w:val="sl-SI" w:eastAsia="sl-SI"/>
        </w:rPr>
      </w:pPr>
      <w:r w:rsidRPr="005771BD">
        <w:rPr>
          <w:rFonts w:cs="Arial"/>
          <w:i/>
          <w:szCs w:val="20"/>
          <w:lang w:val="sl-SI" w:eastAsia="sl-SI"/>
        </w:rPr>
        <w:t xml:space="preserve">Cilj 14 </w:t>
      </w:r>
      <w:r w:rsidRPr="005771BD">
        <w:rPr>
          <w:rFonts w:cs="Arial"/>
          <w:i/>
          <w:szCs w:val="20"/>
          <w:lang w:val="sl-SI" w:eastAsia="sl-SI"/>
        </w:rPr>
        <w:tab/>
        <w:t>Ohranjati in vzdržno uporabljati oceane, morja in morske vire za trajnostni razvoj.</w:t>
      </w:r>
    </w:p>
    <w:p w:rsidR="00786EDB" w:rsidRPr="005771BD" w:rsidRDefault="00786EDB" w:rsidP="00786EDB">
      <w:pPr>
        <w:spacing w:after="60" w:line="276" w:lineRule="auto"/>
        <w:ind w:left="709" w:hanging="709"/>
        <w:jc w:val="both"/>
        <w:rPr>
          <w:rFonts w:cs="Arial"/>
          <w:i/>
          <w:szCs w:val="20"/>
          <w:lang w:val="sl-SI" w:eastAsia="sl-SI"/>
        </w:rPr>
      </w:pPr>
      <w:r w:rsidRPr="005771BD">
        <w:rPr>
          <w:rFonts w:cs="Arial"/>
          <w:i/>
          <w:szCs w:val="20"/>
          <w:lang w:val="sl-SI" w:eastAsia="sl-SI"/>
        </w:rPr>
        <w:t xml:space="preserve">Cilj 15 </w:t>
      </w:r>
      <w:r w:rsidRPr="005771BD">
        <w:rPr>
          <w:rFonts w:cs="Arial"/>
          <w:i/>
          <w:szCs w:val="20"/>
          <w:lang w:val="sl-SI" w:eastAsia="sl-SI"/>
        </w:rPr>
        <w:tab/>
        <w:t>Varovati in obnoviti kopenske ekosisteme ter spodbujati njihovo trajnostno rabo, trajnostno gospodariti z gozdovi, boriti se proti širjenju puščav, preprečiti degradacijo zemljišč in ustaviti to dogajanje ter preprečiti izgubo biotske raznovrstnosti.</w:t>
      </w:r>
    </w:p>
    <w:p w:rsidR="00427ED6" w:rsidRPr="005771BD" w:rsidRDefault="00427ED6" w:rsidP="00427ED6">
      <w:pPr>
        <w:spacing w:after="200" w:line="276" w:lineRule="auto"/>
        <w:jc w:val="both"/>
        <w:rPr>
          <w:rFonts w:eastAsia="Calibri" w:cs="Arial"/>
          <w:b/>
          <w:szCs w:val="20"/>
          <w:lang w:val="sl-SI"/>
        </w:rPr>
      </w:pPr>
      <w:r w:rsidRPr="007F272F">
        <w:rPr>
          <w:rFonts w:eastAsia="Calibri" w:cs="Arial"/>
          <w:noProof/>
          <w:szCs w:val="20"/>
          <w:lang w:val="sl-SI" w:eastAsia="sl-SI"/>
        </w:rPr>
        <w:drawing>
          <wp:inline distT="0" distB="0" distL="0" distR="0" wp14:anchorId="324F7F3F" wp14:editId="2ED1682F">
            <wp:extent cx="4954137" cy="2593469"/>
            <wp:effectExtent l="0" t="0" r="0" b="0"/>
            <wp:docPr id="2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83380" cy="2608778"/>
                    </a:xfrm>
                    <a:prstGeom prst="rect">
                      <a:avLst/>
                    </a:prstGeom>
                    <a:noFill/>
                    <a:ln>
                      <a:noFill/>
                    </a:ln>
                    <a:extLst/>
                  </pic:spPr>
                </pic:pic>
              </a:graphicData>
            </a:graphic>
          </wp:inline>
        </w:drawing>
      </w:r>
    </w:p>
    <w:p w:rsidR="00427ED6" w:rsidRPr="005771BD" w:rsidRDefault="00427ED6" w:rsidP="00427ED6">
      <w:pPr>
        <w:spacing w:after="200" w:line="276" w:lineRule="auto"/>
        <w:jc w:val="both"/>
        <w:rPr>
          <w:rFonts w:eastAsia="Calibri" w:cs="Arial"/>
          <w:i/>
          <w:szCs w:val="20"/>
          <w:lang w:val="sl-SI"/>
        </w:rPr>
      </w:pPr>
      <w:r w:rsidRPr="005771BD">
        <w:rPr>
          <w:rFonts w:eastAsia="Calibri" w:cs="Arial"/>
          <w:i/>
          <w:szCs w:val="20"/>
          <w:lang w:val="sl-SI"/>
        </w:rPr>
        <w:t xml:space="preserve">Slika </w:t>
      </w:r>
      <w:r w:rsidR="00786EDB">
        <w:rPr>
          <w:rFonts w:eastAsia="Calibri" w:cs="Arial"/>
          <w:i/>
          <w:szCs w:val="20"/>
          <w:lang w:val="sl-SI"/>
        </w:rPr>
        <w:t>4</w:t>
      </w:r>
      <w:r w:rsidRPr="005771BD">
        <w:rPr>
          <w:rFonts w:eastAsia="Calibri" w:cs="Arial"/>
          <w:i/>
          <w:szCs w:val="20"/>
          <w:lang w:val="sl-SI"/>
        </w:rPr>
        <w:t xml:space="preserve">.1: Zgoščeni pregled globalnih ciljev trajnostnega razvoja  </w:t>
      </w:r>
    </w:p>
    <w:p w:rsidR="00427ED6" w:rsidRPr="005771BD" w:rsidRDefault="00427ED6" w:rsidP="00427ED6">
      <w:pPr>
        <w:spacing w:after="200" w:line="276" w:lineRule="auto"/>
        <w:jc w:val="both"/>
        <w:rPr>
          <w:rFonts w:cs="Arial"/>
          <w:color w:val="000000"/>
          <w:szCs w:val="20"/>
          <w:lang w:val="sl-SI" w:eastAsia="sl-SI"/>
        </w:rPr>
      </w:pPr>
      <w:r w:rsidRPr="005771BD">
        <w:rPr>
          <w:rFonts w:cs="Arial"/>
          <w:color w:val="000000"/>
          <w:szCs w:val="20"/>
          <w:lang w:val="sl-SI" w:eastAsia="sl-SI"/>
        </w:rPr>
        <w:t xml:space="preserve">Pri pripravi in sprejemanju Agende 2030 so bile dejavne članice in institucije EU, okoljsko politiko Evropske unije lahko v svetovnem merilu uvrstimo med najbolj ambiciozne politike. </w:t>
      </w:r>
    </w:p>
    <w:p w:rsidR="00427ED6" w:rsidRDefault="00427ED6" w:rsidP="00427ED6">
      <w:pPr>
        <w:spacing w:after="200" w:line="276" w:lineRule="auto"/>
        <w:jc w:val="both"/>
        <w:rPr>
          <w:rFonts w:cs="Arial"/>
          <w:szCs w:val="20"/>
          <w:lang w:val="sl-SI" w:eastAsia="sl-SI"/>
        </w:rPr>
      </w:pPr>
      <w:r w:rsidRPr="005771BD">
        <w:rPr>
          <w:rFonts w:cs="Arial"/>
          <w:color w:val="000000"/>
          <w:szCs w:val="20"/>
          <w:lang w:val="sl-SI" w:eastAsia="sl-SI"/>
        </w:rPr>
        <w:t>Vendar pa evropska strategija trajnostnega razvoja (</w:t>
      </w:r>
      <w:r w:rsidRPr="005771BD">
        <w:rPr>
          <w:rFonts w:cs="Arial"/>
          <w:color w:val="000000"/>
          <w:szCs w:val="20"/>
          <w:u w:val="single"/>
          <w:lang w:val="sl-SI" w:eastAsia="sl-SI"/>
        </w:rPr>
        <w:t>Prenovljena strategija EU za trajnostni razvoj iz leta 2006</w:t>
      </w:r>
      <w:r w:rsidRPr="005771BD">
        <w:rPr>
          <w:rFonts w:cs="Arial"/>
          <w:b/>
          <w:color w:val="000000"/>
          <w:szCs w:val="20"/>
          <w:lang w:val="sl-SI" w:eastAsia="sl-SI"/>
        </w:rPr>
        <w:t>)</w:t>
      </w:r>
      <w:r w:rsidRPr="005771BD">
        <w:rPr>
          <w:rFonts w:cs="Arial"/>
          <w:color w:val="000000"/>
          <w:szCs w:val="20"/>
          <w:lang w:val="sl-SI" w:eastAsia="sl-SI"/>
        </w:rPr>
        <w:t xml:space="preserve"> nima takega vpliva na politike EU kot </w:t>
      </w:r>
      <w:r w:rsidRPr="005771BD">
        <w:rPr>
          <w:rFonts w:cs="Arial"/>
          <w:b/>
          <w:color w:val="000000"/>
          <w:szCs w:val="20"/>
          <w:lang w:val="sl-SI" w:eastAsia="sl-SI"/>
        </w:rPr>
        <w:t>Lizbonska strategija</w:t>
      </w:r>
      <w:r w:rsidRPr="005771BD">
        <w:rPr>
          <w:rFonts w:cs="Arial"/>
          <w:color w:val="000000"/>
          <w:szCs w:val="20"/>
          <w:lang w:val="sl-SI" w:eastAsia="sl-SI"/>
        </w:rPr>
        <w:t xml:space="preserve"> (do l. 2010) in novejša </w:t>
      </w:r>
      <w:r w:rsidRPr="005771BD">
        <w:rPr>
          <w:rFonts w:cs="Arial"/>
          <w:b/>
          <w:color w:val="000000"/>
          <w:szCs w:val="20"/>
          <w:lang w:val="sl-SI" w:eastAsia="sl-SI"/>
        </w:rPr>
        <w:t>Strategija Evropa 2020</w:t>
      </w:r>
      <w:r w:rsidRPr="005771BD">
        <w:rPr>
          <w:rFonts w:cs="Arial"/>
          <w:color w:val="000000"/>
          <w:szCs w:val="20"/>
          <w:lang w:val="sl-SI" w:eastAsia="sl-SI"/>
        </w:rPr>
        <w:t>, ki</w:t>
      </w:r>
      <w:r w:rsidRPr="005771BD">
        <w:rPr>
          <w:rFonts w:cs="Arial"/>
          <w:b/>
          <w:color w:val="000000"/>
          <w:szCs w:val="20"/>
          <w:lang w:val="sl-SI" w:eastAsia="sl-SI"/>
        </w:rPr>
        <w:t xml:space="preserve"> </w:t>
      </w:r>
      <w:r w:rsidRPr="005771BD">
        <w:rPr>
          <w:rFonts w:cs="Arial"/>
          <w:color w:val="000000"/>
          <w:szCs w:val="20"/>
          <w:lang w:val="sl-SI" w:eastAsia="sl-SI"/>
        </w:rPr>
        <w:t xml:space="preserve">opredeljuje naslednje tri ključne izzive: zagotoviti (i) </w:t>
      </w:r>
      <w:r w:rsidRPr="005771BD">
        <w:rPr>
          <w:rFonts w:cs="Arial"/>
          <w:color w:val="000000"/>
          <w:szCs w:val="20"/>
          <w:u w:val="single"/>
          <w:lang w:val="sl-SI" w:eastAsia="sl-SI"/>
        </w:rPr>
        <w:t>pametno</w:t>
      </w:r>
      <w:r w:rsidRPr="005771BD">
        <w:rPr>
          <w:rFonts w:cs="Arial"/>
          <w:color w:val="000000"/>
          <w:szCs w:val="20"/>
          <w:lang w:val="sl-SI" w:eastAsia="sl-SI"/>
        </w:rPr>
        <w:t xml:space="preserve"> rast </w:t>
      </w:r>
      <w:r w:rsidRPr="005771BD">
        <w:rPr>
          <w:rFonts w:cs="Arial"/>
          <w:szCs w:val="20"/>
          <w:lang w:val="sl-SI" w:eastAsia="sl-SI"/>
        </w:rPr>
        <w:t>z učinkovitejšim vlaganjem v izobraževanje, raziskave in inovacije</w:t>
      </w:r>
      <w:r w:rsidRPr="005771BD">
        <w:rPr>
          <w:rFonts w:cs="Arial"/>
          <w:color w:val="000000"/>
          <w:szCs w:val="20"/>
          <w:lang w:val="sl-SI" w:eastAsia="sl-SI"/>
        </w:rPr>
        <w:t xml:space="preserve">, (ii) </w:t>
      </w:r>
      <w:r w:rsidRPr="005771BD">
        <w:rPr>
          <w:rFonts w:cs="Arial"/>
          <w:color w:val="000000"/>
          <w:szCs w:val="20"/>
          <w:u w:val="single"/>
          <w:lang w:val="sl-SI" w:eastAsia="sl-SI"/>
        </w:rPr>
        <w:t xml:space="preserve">trajnostno </w:t>
      </w:r>
      <w:r w:rsidRPr="005771BD">
        <w:rPr>
          <w:rFonts w:cs="Arial"/>
          <w:color w:val="000000"/>
          <w:szCs w:val="20"/>
          <w:lang w:val="sl-SI" w:eastAsia="sl-SI"/>
        </w:rPr>
        <w:t>rast</w:t>
      </w:r>
      <w:r w:rsidRPr="005771BD">
        <w:rPr>
          <w:rFonts w:cs="Arial"/>
          <w:szCs w:val="20"/>
          <w:lang w:val="sl-SI" w:eastAsia="sl-SI"/>
        </w:rPr>
        <w:t xml:space="preserve"> s prehodom na nizkoogljično gospodarstvo in (iii) </w:t>
      </w:r>
      <w:r w:rsidRPr="005771BD">
        <w:rPr>
          <w:rFonts w:cs="Arial"/>
          <w:szCs w:val="20"/>
          <w:u w:val="single"/>
          <w:lang w:val="sl-SI" w:eastAsia="sl-SI"/>
        </w:rPr>
        <w:t>vključujočo</w:t>
      </w:r>
      <w:r w:rsidRPr="005771BD">
        <w:rPr>
          <w:rFonts w:cs="Arial"/>
          <w:szCs w:val="20"/>
          <w:lang w:val="sl-SI" w:eastAsia="sl-SI"/>
        </w:rPr>
        <w:t xml:space="preserve"> rast s poudarkom na ustvarjanju novih delovnih mest in zmanjšanju revščine. </w:t>
      </w:r>
    </w:p>
    <w:p w:rsidR="00F728E5" w:rsidRPr="00993FB7" w:rsidRDefault="00F728E5" w:rsidP="00F728E5">
      <w:pPr>
        <w:keepNext/>
        <w:keepLines/>
        <w:spacing w:line="276" w:lineRule="auto"/>
        <w:jc w:val="both"/>
        <w:outlineLvl w:val="1"/>
        <w:rPr>
          <w:rFonts w:cs="Arial"/>
          <w:szCs w:val="20"/>
          <w:lang w:val="sl-SI" w:eastAsia="sl-SI"/>
        </w:rPr>
      </w:pPr>
      <w:r w:rsidRPr="00993FB7">
        <w:rPr>
          <w:rFonts w:cs="Arial"/>
          <w:szCs w:val="20"/>
          <w:lang w:val="sl-SI" w:eastAsia="sl-SI"/>
        </w:rPr>
        <w:t xml:space="preserve">Strategija </w:t>
      </w:r>
      <w:r>
        <w:rPr>
          <w:rFonts w:cs="Arial"/>
          <w:szCs w:val="20"/>
          <w:lang w:val="sl-SI" w:eastAsia="sl-SI"/>
        </w:rPr>
        <w:t>Evropa 2020</w:t>
      </w:r>
      <w:r w:rsidRPr="00993FB7">
        <w:rPr>
          <w:rFonts w:cs="Arial"/>
          <w:szCs w:val="20"/>
          <w:lang w:val="sl-SI" w:eastAsia="sl-SI"/>
        </w:rPr>
        <w:t xml:space="preserve"> za pametno, trajnostno in vključujočo rast poudarja pomen konkurenčnega in zelenega gospodarstva, ki gospodarneje izkorišča vire. Odločitev za trajnostno rast utemeljuje s preveliko odvisnostjo od fosilnih goriv, pričakovanim povečevanjem povpraševanja po naravnih virih (in s tem povečevanjem pritiskov na okolje), povečevanjem podnebnih sprememb in razlogi gospodarske konkurenčnosti. Z usmeritvijo k trajnostni rasti želi EU med drugim:</w:t>
      </w:r>
    </w:p>
    <w:p w:rsidR="00F728E5" w:rsidRPr="00993FB7" w:rsidRDefault="00F728E5" w:rsidP="00F728E5">
      <w:pPr>
        <w:numPr>
          <w:ilvl w:val="0"/>
          <w:numId w:val="24"/>
        </w:numPr>
        <w:spacing w:before="60" w:line="276" w:lineRule="auto"/>
        <w:ind w:left="284" w:hanging="284"/>
        <w:rPr>
          <w:rFonts w:cs="Arial"/>
          <w:szCs w:val="20"/>
          <w:lang w:val="sl-SI" w:eastAsia="sl-SI"/>
        </w:rPr>
      </w:pPr>
      <w:r w:rsidRPr="00993FB7">
        <w:rPr>
          <w:rFonts w:cs="Arial"/>
          <w:szCs w:val="20"/>
          <w:lang w:val="sl-SI" w:eastAsia="sl-SI"/>
        </w:rPr>
        <w:t xml:space="preserve">razviti </w:t>
      </w:r>
      <w:r w:rsidRPr="00993FB7">
        <w:rPr>
          <w:rFonts w:cs="Arial"/>
          <w:b/>
          <w:bCs/>
          <w:szCs w:val="20"/>
          <w:lang w:val="sl-SI" w:eastAsia="sl-SI"/>
        </w:rPr>
        <w:t>konkurenčnejše nizkoogljično gospodarstvo</w:t>
      </w:r>
      <w:r w:rsidRPr="00993FB7">
        <w:rPr>
          <w:rFonts w:cs="Arial"/>
          <w:szCs w:val="20"/>
          <w:lang w:val="sl-SI" w:eastAsia="sl-SI"/>
        </w:rPr>
        <w:t>, ki gospodarno in trajnostno izkorišča vire,</w:t>
      </w:r>
    </w:p>
    <w:p w:rsidR="00F728E5" w:rsidRPr="00993FB7" w:rsidRDefault="00F728E5" w:rsidP="00F728E5">
      <w:pPr>
        <w:numPr>
          <w:ilvl w:val="0"/>
          <w:numId w:val="24"/>
        </w:numPr>
        <w:spacing w:before="60" w:line="276" w:lineRule="auto"/>
        <w:ind w:left="284" w:hanging="284"/>
        <w:rPr>
          <w:rFonts w:cs="Arial"/>
          <w:szCs w:val="20"/>
          <w:lang w:val="sl-SI" w:eastAsia="sl-SI"/>
        </w:rPr>
      </w:pPr>
      <w:r w:rsidRPr="00993FB7">
        <w:rPr>
          <w:rFonts w:cs="Arial"/>
          <w:b/>
          <w:bCs/>
          <w:szCs w:val="20"/>
          <w:lang w:val="sl-SI" w:eastAsia="sl-SI"/>
        </w:rPr>
        <w:t xml:space="preserve">varovati okolje </w:t>
      </w:r>
      <w:r w:rsidRPr="00993FB7">
        <w:rPr>
          <w:rFonts w:cs="Arial"/>
          <w:szCs w:val="20"/>
          <w:lang w:val="sl-SI" w:eastAsia="sl-SI"/>
        </w:rPr>
        <w:t>in preprečevati izgubo biotske raznovrstnosti,</w:t>
      </w:r>
    </w:p>
    <w:p w:rsidR="00F728E5" w:rsidRPr="00993FB7" w:rsidRDefault="00F728E5" w:rsidP="00F728E5">
      <w:pPr>
        <w:numPr>
          <w:ilvl w:val="0"/>
          <w:numId w:val="24"/>
        </w:numPr>
        <w:spacing w:before="60" w:line="276" w:lineRule="auto"/>
        <w:ind w:left="284" w:hanging="284"/>
        <w:rPr>
          <w:rFonts w:cs="Arial"/>
          <w:szCs w:val="20"/>
          <w:lang w:val="sl-SI" w:eastAsia="sl-SI"/>
        </w:rPr>
      </w:pPr>
      <w:r w:rsidRPr="00993FB7">
        <w:rPr>
          <w:rFonts w:cs="Arial"/>
          <w:szCs w:val="20"/>
          <w:lang w:val="sl-SI" w:eastAsia="sl-SI"/>
        </w:rPr>
        <w:t xml:space="preserve">krepiti vodilno vlogo Evrope pri razvoju </w:t>
      </w:r>
      <w:r w:rsidRPr="00993FB7">
        <w:rPr>
          <w:rFonts w:cs="Arial"/>
          <w:b/>
          <w:bCs/>
          <w:szCs w:val="20"/>
          <w:lang w:val="sl-SI" w:eastAsia="sl-SI"/>
        </w:rPr>
        <w:t>novih zelenih tehnologij</w:t>
      </w:r>
      <w:r w:rsidRPr="00993FB7">
        <w:rPr>
          <w:rFonts w:cs="Arial"/>
          <w:szCs w:val="20"/>
          <w:lang w:val="sl-SI" w:eastAsia="sl-SI"/>
        </w:rPr>
        <w:t xml:space="preserve"> in proizvodnih metod,</w:t>
      </w:r>
    </w:p>
    <w:p w:rsidR="00F728E5" w:rsidRPr="00993FB7" w:rsidRDefault="00F728E5" w:rsidP="00F728E5">
      <w:pPr>
        <w:numPr>
          <w:ilvl w:val="0"/>
          <w:numId w:val="24"/>
        </w:numPr>
        <w:spacing w:before="60" w:line="276" w:lineRule="auto"/>
        <w:ind w:left="284" w:hanging="284"/>
        <w:rPr>
          <w:rFonts w:cs="Arial"/>
          <w:szCs w:val="20"/>
          <w:lang w:val="sl-SI" w:eastAsia="sl-SI"/>
        </w:rPr>
      </w:pPr>
      <w:r w:rsidRPr="00993FB7">
        <w:rPr>
          <w:rFonts w:cs="Arial"/>
          <w:szCs w:val="20"/>
          <w:lang w:val="sl-SI" w:eastAsia="sl-SI"/>
        </w:rPr>
        <w:t xml:space="preserve">uvesti </w:t>
      </w:r>
      <w:r w:rsidRPr="00993FB7">
        <w:rPr>
          <w:rFonts w:cs="Arial"/>
          <w:b/>
          <w:bCs/>
          <w:szCs w:val="20"/>
          <w:lang w:val="sl-SI" w:eastAsia="sl-SI"/>
        </w:rPr>
        <w:t>učinkovita in pametna elektroenergetska omrežja</w:t>
      </w:r>
      <w:r w:rsidRPr="00993FB7">
        <w:rPr>
          <w:rFonts w:cs="Arial"/>
          <w:szCs w:val="20"/>
          <w:lang w:val="sl-SI" w:eastAsia="sl-SI"/>
        </w:rPr>
        <w:t xml:space="preserve">, </w:t>
      </w:r>
    </w:p>
    <w:p w:rsidR="00F728E5" w:rsidRPr="00993FB7" w:rsidRDefault="00F728E5" w:rsidP="00F728E5">
      <w:pPr>
        <w:numPr>
          <w:ilvl w:val="0"/>
          <w:numId w:val="24"/>
        </w:numPr>
        <w:spacing w:before="60" w:after="200" w:line="276" w:lineRule="auto"/>
        <w:ind w:left="284" w:hanging="284"/>
        <w:rPr>
          <w:rFonts w:cs="Arial"/>
          <w:szCs w:val="20"/>
          <w:lang w:val="sl-SI" w:eastAsia="sl-SI"/>
        </w:rPr>
      </w:pPr>
      <w:r w:rsidRPr="00993FB7">
        <w:rPr>
          <w:rFonts w:cs="Arial"/>
          <w:b/>
          <w:bCs/>
          <w:szCs w:val="20"/>
          <w:lang w:val="sl-SI" w:eastAsia="sl-SI"/>
        </w:rPr>
        <w:t>opozarjati potrošnike</w:t>
      </w:r>
      <w:r w:rsidRPr="00993FB7">
        <w:rPr>
          <w:rFonts w:cs="Arial"/>
          <w:szCs w:val="20"/>
          <w:lang w:val="sl-SI" w:eastAsia="sl-SI"/>
        </w:rPr>
        <w:t xml:space="preserve"> na ekološke izdelke in ekološko ravnanje.</w:t>
      </w:r>
    </w:p>
    <w:p w:rsidR="00F728E5" w:rsidRPr="00993FB7" w:rsidRDefault="00F728E5" w:rsidP="00F728E5">
      <w:pPr>
        <w:spacing w:after="200" w:line="276" w:lineRule="auto"/>
        <w:jc w:val="both"/>
        <w:rPr>
          <w:rFonts w:cs="Arial"/>
          <w:szCs w:val="20"/>
          <w:lang w:val="sl-SI" w:eastAsia="sl-SI"/>
        </w:rPr>
      </w:pPr>
      <w:r w:rsidRPr="00993FB7">
        <w:rPr>
          <w:rFonts w:cs="Arial"/>
          <w:szCs w:val="20"/>
          <w:lang w:val="sl-SI" w:eastAsia="sl-SI"/>
        </w:rPr>
        <w:t xml:space="preserve">Leta 2010 je Evropski svet potrdil sedem </w:t>
      </w:r>
      <w:r>
        <w:rPr>
          <w:rFonts w:cs="Arial"/>
          <w:szCs w:val="20"/>
          <w:lang w:val="sl-SI" w:eastAsia="sl-SI"/>
        </w:rPr>
        <w:t>vodilnih pobud</w:t>
      </w:r>
      <w:r w:rsidRPr="00993FB7">
        <w:rPr>
          <w:rFonts w:cs="Arial"/>
          <w:szCs w:val="20"/>
          <w:lang w:val="sl-SI" w:eastAsia="sl-SI"/>
        </w:rPr>
        <w:t xml:space="preserve"> (angl. flagship initiatives), poleg tega se je dogovoril o petih glavnih ciljih, ki bodo usmerjali dejavnosti držav članic in Evropske komisije. </w:t>
      </w:r>
    </w:p>
    <w:p w:rsidR="00F728E5" w:rsidRDefault="00F728E5" w:rsidP="00F728E5">
      <w:pPr>
        <w:spacing w:line="276" w:lineRule="auto"/>
        <w:jc w:val="both"/>
        <w:rPr>
          <w:rFonts w:cs="Arial"/>
          <w:szCs w:val="20"/>
          <w:lang w:val="sl-SI" w:eastAsia="sl-SI"/>
        </w:rPr>
      </w:pPr>
      <w:r w:rsidRPr="00993FB7">
        <w:rPr>
          <w:rFonts w:cs="Arial"/>
          <w:szCs w:val="20"/>
          <w:lang w:val="sl-SI" w:eastAsia="sl-SI"/>
        </w:rPr>
        <w:t xml:space="preserve">Med sedmimi </w:t>
      </w:r>
      <w:r w:rsidRPr="008F7D31">
        <w:rPr>
          <w:rFonts w:cs="Arial"/>
          <w:b/>
          <w:szCs w:val="20"/>
          <w:lang w:val="sl-SI" w:eastAsia="sl-SI"/>
        </w:rPr>
        <w:t>vodilnimi pobudami</w:t>
      </w:r>
      <w:r>
        <w:rPr>
          <w:rFonts w:cs="Arial"/>
          <w:szCs w:val="20"/>
          <w:lang w:val="sl-SI" w:eastAsia="sl-SI"/>
        </w:rPr>
        <w:t xml:space="preserve"> so tri, ki poudarjajo okoljske cilje in ukrepe ter so namenjene tudi spodbuditvi trajnostne rasti EU</w:t>
      </w:r>
      <w:r w:rsidRPr="00993FB7">
        <w:rPr>
          <w:rFonts w:cs="Arial"/>
          <w:szCs w:val="20"/>
          <w:lang w:val="sl-SI" w:eastAsia="sl-SI"/>
        </w:rPr>
        <w:t xml:space="preserve">: </w:t>
      </w:r>
    </w:p>
    <w:p w:rsidR="00F728E5" w:rsidRPr="00993FB7" w:rsidRDefault="00F728E5" w:rsidP="00F728E5">
      <w:pPr>
        <w:spacing w:line="276" w:lineRule="auto"/>
        <w:jc w:val="both"/>
        <w:rPr>
          <w:rFonts w:cs="Arial"/>
          <w:szCs w:val="20"/>
          <w:lang w:val="sl-SI" w:eastAsia="sl-SI"/>
        </w:rPr>
      </w:pPr>
    </w:p>
    <w:p w:rsidR="00F728E5" w:rsidRDefault="00F728E5" w:rsidP="00F728E5">
      <w:pPr>
        <w:jc w:val="both"/>
        <w:rPr>
          <w:rStyle w:val="at2"/>
        </w:rPr>
      </w:pPr>
      <w:r>
        <w:rPr>
          <w:rFonts w:cs="Arial"/>
          <w:color w:val="000000"/>
          <w:szCs w:val="20"/>
          <w:lang w:val="sl-SI" w:eastAsia="sl-SI"/>
        </w:rPr>
        <w:t>Vodilna pobuda</w:t>
      </w:r>
      <w:r w:rsidRPr="00993FB7">
        <w:rPr>
          <w:rFonts w:cs="Arial"/>
          <w:color w:val="000000"/>
          <w:szCs w:val="20"/>
          <w:lang w:val="sl-SI" w:eastAsia="sl-SI"/>
        </w:rPr>
        <w:t xml:space="preserve"> </w:t>
      </w:r>
      <w:r>
        <w:rPr>
          <w:rFonts w:cs="Arial"/>
          <w:b/>
          <w:color w:val="000000"/>
          <w:szCs w:val="20"/>
          <w:lang w:val="sl-SI" w:eastAsia="sl-SI"/>
        </w:rPr>
        <w:t>Unija inovacij</w:t>
      </w:r>
      <w:r w:rsidRPr="00993FB7">
        <w:rPr>
          <w:rFonts w:cs="Arial"/>
          <w:color w:val="000000"/>
          <w:szCs w:val="20"/>
          <w:lang w:val="sl-SI" w:eastAsia="sl-SI"/>
        </w:rPr>
        <w:t>, katere cilj je posodobitev raziskovalne in inovacijske politike v EU</w:t>
      </w:r>
      <w:r>
        <w:rPr>
          <w:rFonts w:cs="Arial"/>
          <w:color w:val="000000"/>
          <w:szCs w:val="20"/>
          <w:lang w:val="sl-SI" w:eastAsia="sl-SI"/>
        </w:rPr>
        <w:t>.</w:t>
      </w:r>
      <w:r w:rsidRPr="00993FB7">
        <w:rPr>
          <w:rFonts w:cs="Arial"/>
          <w:color w:val="000000"/>
          <w:szCs w:val="20"/>
          <w:lang w:val="sl-SI" w:eastAsia="sl-SI"/>
        </w:rPr>
        <w:t xml:space="preserve"> </w:t>
      </w:r>
      <w:r>
        <w:rPr>
          <w:rStyle w:val="at2"/>
        </w:rPr>
        <w:t>Z Unijo inovacij se prizadevanja Evrope, vključno s sodelovanjem s tretjimi državami, osredotočajo na izzive, kot so podnebne spremembe, varnost preskrbe z energijo in hrano, zdravje in staranje prebivalstva.</w:t>
      </w:r>
      <w:r w:rsidR="00786EDB">
        <w:rPr>
          <w:rStyle w:val="at2"/>
        </w:rPr>
        <w:t xml:space="preserve"> </w:t>
      </w:r>
      <w:r w:rsidRPr="004226F1">
        <w:rPr>
          <w:rStyle w:val="at4"/>
          <w:b/>
        </w:rPr>
        <w:t>Evropska partnerstva za inovacijo</w:t>
      </w:r>
      <w:r>
        <w:rPr>
          <w:rStyle w:val="at2"/>
        </w:rPr>
        <w:t xml:space="preserve"> so namenjena mobiliziranju zainteresiranih strani – evropske in nacionalne organe, javni in zasebni sektor – k preseganju natančno opredeljenih ciljev na področjih, na katerih so družbeni izzivi povezani z možnostjo, da Evropa pridobi vodilen položaj v svetu. K ciljem trajnostnega razvoja naj bi prispevala </w:t>
      </w:r>
      <w:r>
        <w:rPr>
          <w:rStyle w:val="at4"/>
        </w:rPr>
        <w:t>partnerstva</w:t>
      </w:r>
      <w:r>
        <w:rPr>
          <w:rStyle w:val="at2"/>
        </w:rPr>
        <w:t xml:space="preserve"> o aktivnem in zdravem staranju ter na področjih, kot so energetika, pametna ureditev mest in mobilnost, učinkovita uporaba vodnih virov, surovine za neenergetsko uporabo ter trajnostno in produktivno kmetijstvo. </w:t>
      </w:r>
    </w:p>
    <w:p w:rsidR="00F728E5" w:rsidRPr="00863AB6" w:rsidRDefault="00F728E5" w:rsidP="00F728E5">
      <w:pPr>
        <w:jc w:val="both"/>
        <w:rPr>
          <w:szCs w:val="22"/>
        </w:rPr>
      </w:pPr>
    </w:p>
    <w:p w:rsidR="00F728E5" w:rsidRDefault="00F728E5" w:rsidP="00F728E5">
      <w:pPr>
        <w:jc w:val="both"/>
        <w:rPr>
          <w:lang w:val="sl-SI" w:eastAsia="sl-SI"/>
        </w:rPr>
      </w:pPr>
      <w:r>
        <w:rPr>
          <w:rFonts w:cs="Arial"/>
          <w:color w:val="000000"/>
          <w:szCs w:val="20"/>
          <w:lang w:val="sl-SI" w:eastAsia="sl-SI"/>
        </w:rPr>
        <w:t>V</w:t>
      </w:r>
      <w:r w:rsidRPr="00B35EAE">
        <w:rPr>
          <w:rFonts w:cs="Arial"/>
          <w:color w:val="000000"/>
          <w:szCs w:val="20"/>
          <w:lang w:val="sl-SI" w:eastAsia="sl-SI"/>
        </w:rPr>
        <w:t xml:space="preserve">odilna pobuda </w:t>
      </w:r>
      <w:r w:rsidRPr="00B35EAE">
        <w:rPr>
          <w:rFonts w:cs="Arial"/>
          <w:b/>
          <w:color w:val="000000"/>
          <w:szCs w:val="20"/>
          <w:lang w:val="sl-SI" w:eastAsia="sl-SI"/>
        </w:rPr>
        <w:t>Evropa, gospodarna z viri</w:t>
      </w:r>
      <w:r w:rsidRPr="00B35EAE">
        <w:rPr>
          <w:rFonts w:cs="Arial"/>
          <w:color w:val="000000"/>
          <w:szCs w:val="20"/>
          <w:lang w:val="sl-SI" w:eastAsia="sl-SI"/>
        </w:rPr>
        <w:t>, katere cilj je strukturni premik v nizkoogljično gospodarstvo</w:t>
      </w:r>
      <w:r w:rsidR="00786EDB">
        <w:rPr>
          <w:rFonts w:cs="Arial"/>
          <w:color w:val="000000"/>
          <w:szCs w:val="20"/>
          <w:lang w:val="sl-SI" w:eastAsia="sl-SI"/>
        </w:rPr>
        <w:t xml:space="preserve"> </w:t>
      </w:r>
      <w:r w:rsidRPr="00993FB7">
        <w:rPr>
          <w:bCs/>
          <w:lang w:val="sl-SI" w:eastAsia="sl-SI"/>
        </w:rPr>
        <w:t>temelji na spoznanju, da je treba z</w:t>
      </w:r>
      <w:r w:rsidRPr="00993FB7">
        <w:rPr>
          <w:lang w:val="sl-SI" w:eastAsia="sl-SI"/>
        </w:rPr>
        <w:t>a prehod na nizkoogljično gospodarstvo in gospodarno izkoriščanje virov gospodarsko rast ločiti od rabe energije, in sicer z zmanjšanjem emisij CO</w:t>
      </w:r>
      <w:r w:rsidRPr="00993FB7">
        <w:rPr>
          <w:vertAlign w:val="subscript"/>
          <w:lang w:val="sl-SI" w:eastAsia="sl-SI"/>
        </w:rPr>
        <w:t>2</w:t>
      </w:r>
      <w:r w:rsidRPr="00993FB7">
        <w:rPr>
          <w:lang w:val="sl-SI" w:eastAsia="sl-SI"/>
        </w:rPr>
        <w:t xml:space="preserve">, zanesljivejšo oskrbo z energijo ter manj intenzivno rabo in potrošnjo virov energije. </w:t>
      </w:r>
    </w:p>
    <w:p w:rsidR="008E4256" w:rsidRDefault="008E4256" w:rsidP="00F728E5">
      <w:pPr>
        <w:jc w:val="both"/>
        <w:rPr>
          <w:lang w:val="sl-SI" w:eastAsia="sl-SI"/>
        </w:rPr>
      </w:pPr>
    </w:p>
    <w:p w:rsidR="00427ED6" w:rsidRPr="005771BD" w:rsidRDefault="00427ED6" w:rsidP="00427ED6">
      <w:pPr>
        <w:spacing w:after="200" w:line="276" w:lineRule="auto"/>
        <w:jc w:val="both"/>
        <w:rPr>
          <w:rFonts w:cs="Arial"/>
          <w:szCs w:val="20"/>
          <w:lang w:val="sl-SI" w:eastAsia="sl-SI"/>
        </w:rPr>
      </w:pPr>
      <w:r w:rsidRPr="005771BD">
        <w:rPr>
          <w:rFonts w:cs="Arial"/>
          <w:szCs w:val="20"/>
          <w:lang w:val="sl-SI" w:eastAsia="sl-SI"/>
        </w:rPr>
        <w:t xml:space="preserve">V okviru te pobude je leta 2011 Evropska komisija pripravila sporočilo »Načrt za prehod na konkurenčno gospodarstvo z nizkimi emisijami ogljika do leta 2050« (t. i. </w:t>
      </w:r>
      <w:r w:rsidRPr="005771BD">
        <w:rPr>
          <w:rFonts w:cs="Arial"/>
          <w:b/>
          <w:szCs w:val="20"/>
          <w:lang w:val="sl-SI" w:eastAsia="sl-SI"/>
        </w:rPr>
        <w:t>Kažipot 2050</w:t>
      </w:r>
      <w:r w:rsidRPr="005771BD">
        <w:rPr>
          <w:rFonts w:cs="Arial"/>
          <w:szCs w:val="20"/>
          <w:lang w:val="sl-SI" w:eastAsia="sl-SI"/>
        </w:rPr>
        <w:t xml:space="preserve">). Vsebuje analizo ukrepov do leta 2050, ki bi EU omogočili, da zmanjša emisije toplogrednih plinov v skladu z dogovorjenim ciljem od 80 do 95 odstotkov. Opredeljuje tudi mejnike, na podlagi katerih bi lahko EU spremljala, ali je na pravi poti do izpolnitve ciljev, obenem pa obravnava izzive za politike, naložbene potrebe in priložnosti v različnih sektorjih, upoštevajoč dejstvo, da bo cilj od 80- do 95-odstotnega zmanjšanja treba doseči predvsem doma. </w:t>
      </w:r>
    </w:p>
    <w:p w:rsidR="00427ED6" w:rsidRPr="005771BD" w:rsidRDefault="00427ED6" w:rsidP="00427ED6">
      <w:pPr>
        <w:spacing w:after="200" w:line="276" w:lineRule="auto"/>
        <w:jc w:val="both"/>
        <w:rPr>
          <w:rFonts w:cs="Arial"/>
          <w:szCs w:val="20"/>
          <w:lang w:val="sl-SI" w:eastAsia="sl-SI"/>
        </w:rPr>
      </w:pPr>
      <w:r w:rsidRPr="005771BD">
        <w:rPr>
          <w:rFonts w:cs="Arial"/>
          <w:szCs w:val="20"/>
          <w:lang w:val="sl-SI" w:eastAsia="sl-SI"/>
        </w:rPr>
        <w:t xml:space="preserve">Med pomembnimi dokumenti te vodilne pobude je tudi novejši sveženj ukrepov za krožno gospodarstvo v sporočilu Evropske komisije z naslovom </w:t>
      </w:r>
      <w:r w:rsidRPr="005771BD">
        <w:rPr>
          <w:rFonts w:cs="Arial"/>
          <w:b/>
          <w:szCs w:val="20"/>
          <w:lang w:val="sl-SI" w:eastAsia="sl-SI"/>
        </w:rPr>
        <w:t>„Zaprtje zanke – akcijski načrt EU za krožno gospodarstvo“</w:t>
      </w:r>
      <w:r w:rsidRPr="005771BD">
        <w:rPr>
          <w:rFonts w:cs="Arial"/>
          <w:szCs w:val="20"/>
          <w:lang w:val="sl-SI" w:eastAsia="sl-SI"/>
        </w:rPr>
        <w:t xml:space="preserve"> iz junija 2016, da bi evropskim podjetjem in potrošnikom pomagali pri prehodu k močnejšemu in bolj krožnemu gospodarstvu, v katerem se viri uporabljajo bolj trajnostno. Predlagani ukrepi, kot je na primer povečanje recikliranja in ponovne uporabe, bodo prispevali k „zaprtju zanke“ časa trajanja proizvodov in prinesli koristi za okolje in gospodarstvo. Načrti bodo omogočili, da bodo surovine, proizvodi in odpadki ter njihova vrednost čim bolj izkoriščeni, s čimer se bodo povečali prihranki energije in zmanjšale emisije toplogrednih plinov. Predlogi zajemajo celotni čas trajanja proizvodov od proizvodnje in potrošnje do ravnanja z odpadki in trga za sekundarne surovine. </w:t>
      </w:r>
    </w:p>
    <w:p w:rsidR="008E4256" w:rsidRDefault="008E4256" w:rsidP="008E4256">
      <w:pPr>
        <w:spacing w:after="200" w:line="276" w:lineRule="auto"/>
        <w:jc w:val="both"/>
        <w:rPr>
          <w:rFonts w:cs="Arial"/>
          <w:szCs w:val="20"/>
          <w:lang w:val="sl-SI" w:eastAsia="sl-SI"/>
        </w:rPr>
      </w:pPr>
      <w:r w:rsidRPr="00B35EAE">
        <w:rPr>
          <w:rFonts w:cs="Arial"/>
          <w:bCs/>
          <w:szCs w:val="20"/>
          <w:lang w:val="sl-SI" w:eastAsia="sl-SI"/>
        </w:rPr>
        <w:t>V</w:t>
      </w:r>
      <w:r w:rsidRPr="00162F5B">
        <w:rPr>
          <w:rFonts w:cs="Arial"/>
          <w:szCs w:val="22"/>
          <w:lang w:eastAsia="sl-SI"/>
        </w:rPr>
        <w:t xml:space="preserve">odilna pobuda </w:t>
      </w:r>
      <w:r w:rsidRPr="00162F5B">
        <w:rPr>
          <w:rFonts w:cs="Arial"/>
          <w:b/>
          <w:szCs w:val="22"/>
          <w:lang w:eastAsia="sl-SI"/>
        </w:rPr>
        <w:t>Industrijska politika za dobo globa</w:t>
      </w:r>
      <w:r w:rsidRPr="008F2A8D">
        <w:rPr>
          <w:rFonts w:cs="Arial"/>
          <w:b/>
          <w:szCs w:val="22"/>
          <w:lang w:eastAsia="sl-SI"/>
        </w:rPr>
        <w:t>lizacije</w:t>
      </w:r>
      <w:r w:rsidR="00786EDB">
        <w:rPr>
          <w:rFonts w:cs="Arial"/>
          <w:b/>
          <w:szCs w:val="22"/>
          <w:lang w:eastAsia="sl-SI"/>
        </w:rPr>
        <w:t xml:space="preserve"> </w:t>
      </w:r>
      <w:r w:rsidRPr="00B35EAE">
        <w:rPr>
          <w:rFonts w:cs="Arial"/>
          <w:bCs/>
          <w:szCs w:val="20"/>
          <w:lang w:val="sl-SI" w:eastAsia="sl-SI"/>
        </w:rPr>
        <w:t xml:space="preserve">obravnava </w:t>
      </w:r>
      <w:r w:rsidRPr="00B35EAE">
        <w:rPr>
          <w:rFonts w:cs="Arial"/>
          <w:szCs w:val="20"/>
          <w:lang w:val="sl-SI" w:eastAsia="sl-SI"/>
        </w:rPr>
        <w:t xml:space="preserve">gospodarsko politiko z vidika </w:t>
      </w:r>
      <w:r w:rsidRPr="00420662">
        <w:rPr>
          <w:rFonts w:cs="Arial"/>
          <w:szCs w:val="20"/>
          <w:lang w:val="sl-SI" w:eastAsia="sl-SI"/>
        </w:rPr>
        <w:t xml:space="preserve">podpore podjetjem (zlasti malim) pri prilagajanju na globalizacijo in na gospodarsko krizo ter pri prehodu na nizkoogljično gospodarstvo.  </w:t>
      </w:r>
    </w:p>
    <w:p w:rsidR="008E4256" w:rsidRPr="00993FB7" w:rsidRDefault="008E4256" w:rsidP="008E4256">
      <w:pPr>
        <w:widowControl w:val="0"/>
        <w:spacing w:line="276" w:lineRule="auto"/>
        <w:jc w:val="both"/>
        <w:outlineLvl w:val="2"/>
        <w:rPr>
          <w:rFonts w:cs="Arial"/>
          <w:szCs w:val="20"/>
          <w:lang w:val="sl-SI" w:eastAsia="sl-SI" w:bidi="sl-SI"/>
        </w:rPr>
      </w:pPr>
      <w:r w:rsidRPr="00993FB7">
        <w:rPr>
          <w:rFonts w:cs="Arial"/>
          <w:bCs/>
          <w:szCs w:val="20"/>
          <w:lang w:val="sl-SI" w:eastAsia="sl-SI" w:bidi="sl-SI"/>
        </w:rPr>
        <w:t xml:space="preserve">Med </w:t>
      </w:r>
      <w:r w:rsidRPr="008E4256">
        <w:rPr>
          <w:rFonts w:cs="Arial"/>
          <w:b/>
          <w:bCs/>
          <w:szCs w:val="20"/>
          <w:lang w:val="sl-SI" w:eastAsia="sl-SI" w:bidi="sl-SI"/>
        </w:rPr>
        <w:t>petimi krovnimi cilji strategije Evropa 2020</w:t>
      </w:r>
      <w:r w:rsidRPr="00993FB7">
        <w:rPr>
          <w:rFonts w:cs="Arial"/>
          <w:bCs/>
          <w:szCs w:val="20"/>
          <w:lang w:val="sl-SI" w:eastAsia="sl-SI" w:bidi="sl-SI"/>
        </w:rPr>
        <w:t xml:space="preserve"> se eden (t.i. cilj 20-20-20) nanaša na p</w:t>
      </w:r>
      <w:r w:rsidRPr="00993FB7">
        <w:rPr>
          <w:rFonts w:cs="Arial"/>
          <w:szCs w:val="20"/>
          <w:lang w:val="sl-SI" w:eastAsia="sl-SI" w:bidi="sl-SI"/>
        </w:rPr>
        <w:t>odnebne spremembe in energijo. Sestavljen je iz treh podciljev:</w:t>
      </w:r>
    </w:p>
    <w:p w:rsidR="008E4256" w:rsidRPr="00993FB7" w:rsidRDefault="008E4256" w:rsidP="008E4256">
      <w:pPr>
        <w:widowControl w:val="0"/>
        <w:numPr>
          <w:ilvl w:val="0"/>
          <w:numId w:val="33"/>
        </w:numPr>
        <w:spacing w:before="60" w:line="276" w:lineRule="auto"/>
        <w:ind w:left="284" w:hanging="284"/>
        <w:jc w:val="both"/>
        <w:outlineLvl w:val="2"/>
        <w:rPr>
          <w:rFonts w:cs="Arial"/>
          <w:szCs w:val="20"/>
          <w:lang w:val="sl-SI" w:eastAsia="sl-SI"/>
        </w:rPr>
      </w:pPr>
      <w:r w:rsidRPr="00993FB7">
        <w:rPr>
          <w:rFonts w:cs="Arial"/>
          <w:b/>
          <w:bCs/>
          <w:szCs w:val="20"/>
          <w:lang w:val="sl-SI" w:eastAsia="sl-SI"/>
        </w:rPr>
        <w:t>20% manj izpustov toplogrednih plinov</w:t>
      </w:r>
      <w:r w:rsidRPr="00993FB7">
        <w:rPr>
          <w:rFonts w:cs="Arial"/>
          <w:szCs w:val="20"/>
          <w:lang w:val="sl-SI" w:eastAsia="sl-SI"/>
        </w:rPr>
        <w:t xml:space="preserve"> do leta 2020 v primerjavi z letom 1990 oziroma 30 % manj izpustov ob pogoju, da se taki zavezi pridružijo druge razvite države in države v razvoju prispevajo po svojih zmožnostih, </w:t>
      </w:r>
    </w:p>
    <w:p w:rsidR="008E4256" w:rsidRPr="00993FB7" w:rsidRDefault="008E4256" w:rsidP="008E4256">
      <w:pPr>
        <w:numPr>
          <w:ilvl w:val="0"/>
          <w:numId w:val="25"/>
        </w:numPr>
        <w:spacing w:before="60" w:line="276" w:lineRule="auto"/>
        <w:ind w:left="284" w:hanging="284"/>
        <w:jc w:val="both"/>
        <w:rPr>
          <w:rFonts w:cs="Arial"/>
          <w:szCs w:val="20"/>
          <w:lang w:val="sl-SI" w:eastAsia="sl-SI"/>
        </w:rPr>
      </w:pPr>
      <w:r w:rsidRPr="00993FB7">
        <w:rPr>
          <w:rFonts w:cs="Arial"/>
          <w:b/>
          <w:bCs/>
          <w:szCs w:val="20"/>
          <w:lang w:val="sl-SI" w:eastAsia="sl-SI"/>
        </w:rPr>
        <w:t>20-odstotni delež obnovljivih virov energije</w:t>
      </w:r>
      <w:r w:rsidRPr="00993FB7">
        <w:rPr>
          <w:rFonts w:cs="Arial"/>
          <w:szCs w:val="20"/>
          <w:lang w:val="sl-SI" w:eastAsia="sl-SI"/>
        </w:rPr>
        <w:t xml:space="preserve"> v končni porabi, </w:t>
      </w:r>
    </w:p>
    <w:p w:rsidR="008E4256" w:rsidRPr="00993FB7" w:rsidRDefault="008E4256" w:rsidP="008E4256">
      <w:pPr>
        <w:numPr>
          <w:ilvl w:val="0"/>
          <w:numId w:val="25"/>
        </w:numPr>
        <w:spacing w:before="60" w:after="200" w:line="276" w:lineRule="auto"/>
        <w:ind w:left="284" w:hanging="284"/>
        <w:jc w:val="both"/>
        <w:rPr>
          <w:rFonts w:cs="Arial"/>
          <w:szCs w:val="20"/>
          <w:lang w:val="sl-SI" w:eastAsia="sl-SI"/>
        </w:rPr>
      </w:pPr>
      <w:r w:rsidRPr="00993FB7">
        <w:rPr>
          <w:rFonts w:cs="Arial"/>
          <w:b/>
          <w:bCs/>
          <w:szCs w:val="20"/>
          <w:lang w:val="sl-SI" w:eastAsia="sl-SI"/>
        </w:rPr>
        <w:t>20-odstotno povečanje</w:t>
      </w:r>
      <w:r w:rsidRPr="00993FB7">
        <w:rPr>
          <w:rFonts w:cs="Arial"/>
          <w:bCs/>
          <w:szCs w:val="20"/>
          <w:lang w:val="sl-SI" w:eastAsia="sl-SI"/>
        </w:rPr>
        <w:t xml:space="preserve"> </w:t>
      </w:r>
      <w:r w:rsidRPr="00993FB7">
        <w:rPr>
          <w:rFonts w:cs="Arial"/>
          <w:b/>
          <w:bCs/>
          <w:szCs w:val="20"/>
          <w:lang w:val="sl-SI" w:eastAsia="sl-SI"/>
        </w:rPr>
        <w:t>energetske učinkovitosti</w:t>
      </w:r>
      <w:r w:rsidRPr="00993FB7">
        <w:rPr>
          <w:rFonts w:cs="Arial"/>
          <w:szCs w:val="20"/>
          <w:lang w:val="sl-SI" w:eastAsia="sl-SI"/>
        </w:rPr>
        <w:t xml:space="preserve">. </w:t>
      </w:r>
    </w:p>
    <w:p w:rsidR="00427ED6" w:rsidRPr="005771BD" w:rsidRDefault="00427ED6" w:rsidP="00427ED6">
      <w:pPr>
        <w:spacing w:after="200" w:line="276" w:lineRule="auto"/>
        <w:jc w:val="both"/>
        <w:rPr>
          <w:rFonts w:cs="Arial"/>
          <w:szCs w:val="20"/>
          <w:lang w:val="sl-SI" w:eastAsia="sl-SI"/>
        </w:rPr>
      </w:pPr>
      <w:r w:rsidRPr="005771BD">
        <w:rPr>
          <w:rFonts w:cs="Arial"/>
          <w:szCs w:val="20"/>
          <w:lang w:val="sl-SI" w:eastAsia="sl-SI"/>
        </w:rPr>
        <w:t xml:space="preserve">Tudi </w:t>
      </w:r>
      <w:r w:rsidRPr="005771BD">
        <w:rPr>
          <w:rFonts w:cs="Arial"/>
          <w:b/>
          <w:szCs w:val="20"/>
          <w:lang w:val="sl-SI" w:eastAsia="sl-SI"/>
        </w:rPr>
        <w:t>v Sloveniji</w:t>
      </w:r>
      <w:r w:rsidRPr="005771BD">
        <w:rPr>
          <w:rFonts w:cs="Arial"/>
          <w:szCs w:val="20"/>
          <w:lang w:val="sl-SI" w:eastAsia="sl-SI"/>
        </w:rPr>
        <w:t xml:space="preserve"> smo se z </w:t>
      </w:r>
      <w:r w:rsidRPr="005771BD">
        <w:rPr>
          <w:rFonts w:cs="Arial"/>
          <w:szCs w:val="20"/>
          <w:u w:val="single"/>
          <w:lang w:val="sl-SI" w:eastAsia="sl-SI"/>
        </w:rPr>
        <w:t>nacionalno razvojno strategijo  za obdobje 2005–2013</w:t>
      </w:r>
      <w:r w:rsidRPr="005771BD">
        <w:rPr>
          <w:rFonts w:cs="Arial"/>
          <w:szCs w:val="20"/>
          <w:lang w:val="sl-SI" w:eastAsia="sl-SI"/>
        </w:rPr>
        <w:t xml:space="preserve"> opredelili za trajnostni razvoj in vključitev </w:t>
      </w:r>
      <w:r>
        <w:rPr>
          <w:rFonts w:cs="Arial"/>
          <w:szCs w:val="20"/>
          <w:lang w:val="sl-SI" w:eastAsia="sl-SI"/>
        </w:rPr>
        <w:t xml:space="preserve">okoljskih vidikov v </w:t>
      </w:r>
      <w:r w:rsidRPr="005771BD">
        <w:rPr>
          <w:rFonts w:cs="Arial"/>
          <w:szCs w:val="20"/>
          <w:lang w:val="sl-SI" w:eastAsia="sl-SI"/>
        </w:rPr>
        <w:t>razvojn</w:t>
      </w:r>
      <w:r>
        <w:rPr>
          <w:rFonts w:cs="Arial"/>
          <w:szCs w:val="20"/>
          <w:lang w:val="sl-SI" w:eastAsia="sl-SI"/>
        </w:rPr>
        <w:t>e</w:t>
      </w:r>
      <w:r w:rsidRPr="005771BD">
        <w:rPr>
          <w:rFonts w:cs="Arial"/>
          <w:szCs w:val="20"/>
          <w:lang w:val="sl-SI" w:eastAsia="sl-SI"/>
        </w:rPr>
        <w:t xml:space="preserve"> politik</w:t>
      </w:r>
      <w:r>
        <w:rPr>
          <w:rFonts w:cs="Arial"/>
          <w:szCs w:val="20"/>
          <w:lang w:val="sl-SI" w:eastAsia="sl-SI"/>
        </w:rPr>
        <w:t>e</w:t>
      </w:r>
      <w:r w:rsidRPr="005771BD">
        <w:rPr>
          <w:rFonts w:cs="Arial"/>
          <w:szCs w:val="20"/>
          <w:lang w:val="sl-SI" w:eastAsia="sl-SI"/>
        </w:rPr>
        <w:t xml:space="preserve">, kajti  »medgeneracijski in sonaravni razvojni cilj je uveljavljanje načela trajnosti kot temeljnega kakovostnega merila na vseh področjih razvoja. Načelo trajnosti zahteva, da se potrebe današnjih generacij zadovoljujejo na način, ki ne omejuje možnosti prihodnjih rodov za vsaj enako uspešno zadovoljevanje njihovih potreb.« </w:t>
      </w:r>
    </w:p>
    <w:p w:rsidR="00427ED6" w:rsidRPr="005771BD" w:rsidRDefault="00427ED6" w:rsidP="00427ED6">
      <w:pPr>
        <w:spacing w:line="276" w:lineRule="auto"/>
        <w:jc w:val="both"/>
        <w:rPr>
          <w:rFonts w:cs="Arial"/>
          <w:szCs w:val="20"/>
          <w:lang w:val="sl-SI" w:eastAsia="sl-SI"/>
        </w:rPr>
      </w:pPr>
      <w:r w:rsidRPr="005771BD">
        <w:rPr>
          <w:rFonts w:cs="Arial"/>
          <w:szCs w:val="20"/>
          <w:lang w:val="sl-SI" w:eastAsia="sl-SI"/>
        </w:rPr>
        <w:t>Med petimi ključnimi prednostnimi te strategije je »</w:t>
      </w:r>
      <w:r w:rsidRPr="005771BD">
        <w:rPr>
          <w:rFonts w:cs="Arial"/>
          <w:szCs w:val="20"/>
          <w:u w:val="single"/>
          <w:lang w:val="sl-SI" w:eastAsia="sl-SI"/>
        </w:rPr>
        <w:t>povezovanje ukrepov za doseganje trajnostnega razvoja«</w:t>
      </w:r>
      <w:r w:rsidRPr="005771BD">
        <w:rPr>
          <w:rFonts w:cs="Arial"/>
          <w:szCs w:val="20"/>
          <w:lang w:val="sl-SI" w:eastAsia="sl-SI"/>
        </w:rPr>
        <w:t xml:space="preserve"> z vključitvijo okoljevarstvenih meril v sektorske politike in potrošniške vzorce</w:t>
      </w:r>
      <w:r w:rsidRPr="005771BD">
        <w:rPr>
          <w:rFonts w:cs="Arial"/>
          <w:b/>
          <w:szCs w:val="20"/>
          <w:lang w:val="sl-SI" w:eastAsia="sl-SI"/>
        </w:rPr>
        <w:t xml:space="preserve"> </w:t>
      </w:r>
      <w:r w:rsidRPr="005771BD">
        <w:rPr>
          <w:rFonts w:cs="Arial"/>
          <w:szCs w:val="20"/>
          <w:lang w:val="sl-SI" w:eastAsia="sl-SI"/>
        </w:rPr>
        <w:t xml:space="preserve">z naslednjimi, tudi danes pomembnimi usmeritvami:  </w:t>
      </w:r>
    </w:p>
    <w:p w:rsidR="00427ED6" w:rsidRPr="005771BD" w:rsidRDefault="00427ED6" w:rsidP="00427ED6">
      <w:pPr>
        <w:numPr>
          <w:ilvl w:val="0"/>
          <w:numId w:val="26"/>
        </w:numPr>
        <w:tabs>
          <w:tab w:val="left" w:pos="284"/>
        </w:tabs>
        <w:spacing w:before="60" w:line="276" w:lineRule="auto"/>
        <w:ind w:left="284" w:hanging="284"/>
        <w:jc w:val="both"/>
        <w:rPr>
          <w:rFonts w:eastAsia="Calibri" w:cs="Arial"/>
          <w:szCs w:val="20"/>
          <w:lang w:val="sl-SI"/>
        </w:rPr>
      </w:pPr>
      <w:r w:rsidRPr="005771BD">
        <w:rPr>
          <w:rFonts w:eastAsia="Calibri" w:cs="Arial"/>
          <w:szCs w:val="20"/>
          <w:lang w:val="sl-SI"/>
        </w:rPr>
        <w:t>zmanjšati prispevek k spreminjanju podnebja in prilagajati gospodarstvo ter poselitev pričakovanim podnebnim spremembam,</w:t>
      </w:r>
    </w:p>
    <w:p w:rsidR="00427ED6" w:rsidRPr="005771BD" w:rsidRDefault="00427ED6" w:rsidP="00427ED6">
      <w:pPr>
        <w:numPr>
          <w:ilvl w:val="0"/>
          <w:numId w:val="26"/>
        </w:numPr>
        <w:tabs>
          <w:tab w:val="left" w:pos="284"/>
        </w:tabs>
        <w:spacing w:before="60" w:line="276" w:lineRule="auto"/>
        <w:ind w:left="284" w:hanging="284"/>
        <w:jc w:val="both"/>
        <w:rPr>
          <w:rFonts w:eastAsia="Calibri" w:cs="Arial"/>
          <w:szCs w:val="20"/>
          <w:lang w:val="sl-SI"/>
        </w:rPr>
      </w:pPr>
      <w:r w:rsidRPr="005771BD">
        <w:rPr>
          <w:rFonts w:eastAsia="Calibri" w:cs="Arial"/>
          <w:szCs w:val="20"/>
          <w:lang w:val="sl-SI"/>
        </w:rPr>
        <w:t>uveljavljati trajnostno rabo naravnih virov, zmanjševati energetsko ter snovno intenzivnost in spodbujati ponovno uporabo odpadkov, povečati ekološko učinkovitost in kakovost življenja,</w:t>
      </w:r>
    </w:p>
    <w:p w:rsidR="00427ED6" w:rsidRPr="005771BD" w:rsidRDefault="00427ED6" w:rsidP="00427ED6">
      <w:pPr>
        <w:numPr>
          <w:ilvl w:val="0"/>
          <w:numId w:val="26"/>
        </w:numPr>
        <w:tabs>
          <w:tab w:val="left" w:pos="284"/>
        </w:tabs>
        <w:spacing w:before="60" w:line="276" w:lineRule="auto"/>
        <w:ind w:left="284" w:hanging="284"/>
        <w:jc w:val="both"/>
        <w:rPr>
          <w:rFonts w:eastAsia="Calibri" w:cs="Arial"/>
          <w:szCs w:val="20"/>
          <w:lang w:val="sl-SI"/>
        </w:rPr>
      </w:pPr>
      <w:r w:rsidRPr="005771BD">
        <w:rPr>
          <w:rFonts w:eastAsia="Calibri" w:cs="Arial"/>
          <w:szCs w:val="20"/>
          <w:lang w:val="sl-SI"/>
        </w:rPr>
        <w:t>povečati energetsko učinkovitost in uporabo obnovljivih virov energije v javnem sektorju, zlasti na lokalni ravni,</w:t>
      </w:r>
    </w:p>
    <w:p w:rsidR="00427ED6" w:rsidRPr="005771BD" w:rsidRDefault="00427ED6" w:rsidP="00427ED6">
      <w:pPr>
        <w:numPr>
          <w:ilvl w:val="0"/>
          <w:numId w:val="26"/>
        </w:numPr>
        <w:tabs>
          <w:tab w:val="left" w:pos="284"/>
        </w:tabs>
        <w:spacing w:before="60" w:line="276" w:lineRule="auto"/>
        <w:ind w:left="284" w:hanging="284"/>
        <w:jc w:val="both"/>
        <w:rPr>
          <w:rFonts w:eastAsia="Calibri" w:cs="Arial"/>
          <w:szCs w:val="20"/>
          <w:lang w:val="sl-SI"/>
        </w:rPr>
      </w:pPr>
      <w:r w:rsidRPr="005771BD">
        <w:rPr>
          <w:rFonts w:eastAsia="Calibri" w:cs="Arial"/>
          <w:szCs w:val="20"/>
          <w:lang w:val="sl-SI"/>
        </w:rPr>
        <w:t>nadaljevati z okoljsko davčno reformo in uveljaviti “zelena” javna naročila,</w:t>
      </w:r>
    </w:p>
    <w:p w:rsidR="00427ED6" w:rsidRPr="005771BD" w:rsidRDefault="00427ED6" w:rsidP="00427ED6">
      <w:pPr>
        <w:numPr>
          <w:ilvl w:val="0"/>
          <w:numId w:val="26"/>
        </w:numPr>
        <w:tabs>
          <w:tab w:val="left" w:pos="284"/>
        </w:tabs>
        <w:spacing w:before="60" w:line="276" w:lineRule="auto"/>
        <w:ind w:left="284" w:hanging="284"/>
        <w:jc w:val="both"/>
        <w:rPr>
          <w:rFonts w:eastAsia="Calibri" w:cs="Arial"/>
          <w:szCs w:val="20"/>
          <w:lang w:val="sl-SI"/>
        </w:rPr>
      </w:pPr>
      <w:r w:rsidRPr="005771BD">
        <w:rPr>
          <w:rFonts w:eastAsia="Calibri" w:cs="Arial"/>
          <w:szCs w:val="20"/>
          <w:lang w:val="sl-SI"/>
        </w:rPr>
        <w:t>spodbujati okoljsko ustrezne, sonaravne podjetniške in potrošniške prakse,</w:t>
      </w:r>
    </w:p>
    <w:p w:rsidR="00427ED6" w:rsidRPr="005771BD" w:rsidRDefault="00427ED6" w:rsidP="00427ED6">
      <w:pPr>
        <w:numPr>
          <w:ilvl w:val="0"/>
          <w:numId w:val="26"/>
        </w:numPr>
        <w:tabs>
          <w:tab w:val="left" w:pos="284"/>
        </w:tabs>
        <w:spacing w:before="60" w:line="276" w:lineRule="auto"/>
        <w:ind w:left="284" w:hanging="284"/>
        <w:jc w:val="both"/>
        <w:rPr>
          <w:rFonts w:eastAsia="Calibri" w:cs="Arial"/>
          <w:szCs w:val="20"/>
          <w:lang w:val="sl-SI"/>
        </w:rPr>
      </w:pPr>
      <w:r w:rsidRPr="005771BD">
        <w:rPr>
          <w:rFonts w:eastAsia="Calibri" w:cs="Arial"/>
          <w:szCs w:val="20"/>
          <w:lang w:val="sl-SI"/>
        </w:rPr>
        <w:t>spodbujati razvoj in uporabo okoljskih tehnologij,</w:t>
      </w:r>
    </w:p>
    <w:p w:rsidR="00427ED6" w:rsidRPr="005771BD" w:rsidRDefault="00427ED6" w:rsidP="00427ED6">
      <w:pPr>
        <w:numPr>
          <w:ilvl w:val="0"/>
          <w:numId w:val="26"/>
        </w:numPr>
        <w:tabs>
          <w:tab w:val="left" w:pos="284"/>
        </w:tabs>
        <w:spacing w:before="60" w:line="276" w:lineRule="auto"/>
        <w:ind w:left="284" w:hanging="284"/>
        <w:jc w:val="both"/>
        <w:rPr>
          <w:rFonts w:eastAsia="Calibri" w:cs="Arial"/>
          <w:szCs w:val="20"/>
          <w:lang w:val="sl-SI"/>
        </w:rPr>
      </w:pPr>
      <w:r w:rsidRPr="005771BD">
        <w:rPr>
          <w:rFonts w:eastAsia="Calibri" w:cs="Arial"/>
          <w:szCs w:val="20"/>
          <w:lang w:val="sl-SI"/>
        </w:rPr>
        <w:t xml:space="preserve">reševati okoljske probleme </w:t>
      </w:r>
      <w:r>
        <w:rPr>
          <w:rFonts w:eastAsia="Calibri" w:cs="Arial"/>
          <w:szCs w:val="20"/>
          <w:lang w:val="sl-SI"/>
        </w:rPr>
        <w:t>prometnih</w:t>
      </w:r>
      <w:r w:rsidRPr="005771BD">
        <w:rPr>
          <w:rFonts w:eastAsia="Calibri" w:cs="Arial"/>
          <w:szCs w:val="20"/>
          <w:lang w:val="sl-SI"/>
        </w:rPr>
        <w:t xml:space="preserve"> poti na evropski ravni, tudi z razvojem inteligentnih prometnih sistemov,</w:t>
      </w:r>
    </w:p>
    <w:p w:rsidR="00427ED6" w:rsidRPr="005771BD" w:rsidRDefault="00427ED6" w:rsidP="00427ED6">
      <w:pPr>
        <w:numPr>
          <w:ilvl w:val="0"/>
          <w:numId w:val="26"/>
        </w:numPr>
        <w:tabs>
          <w:tab w:val="left" w:pos="284"/>
        </w:tabs>
        <w:spacing w:before="60" w:line="276" w:lineRule="auto"/>
        <w:ind w:left="284" w:hanging="284"/>
        <w:jc w:val="both"/>
        <w:rPr>
          <w:rFonts w:eastAsia="Calibri" w:cs="Arial"/>
          <w:szCs w:val="20"/>
          <w:lang w:val="sl-SI"/>
        </w:rPr>
      </w:pPr>
      <w:r w:rsidRPr="005771BD">
        <w:rPr>
          <w:rFonts w:eastAsia="Calibri" w:cs="Arial"/>
          <w:szCs w:val="20"/>
          <w:lang w:val="sl-SI"/>
        </w:rPr>
        <w:t>spodbujati uvajanje trajnostnih oblik mobilnosti in krepitve “</w:t>
      </w:r>
      <w:r w:rsidRPr="006C3A45">
        <w:rPr>
          <w:rFonts w:eastAsia="Calibri" w:cs="Arial"/>
          <w:i/>
          <w:szCs w:val="20"/>
          <w:lang w:val="sl-SI"/>
        </w:rPr>
        <w:t>modal-split</w:t>
      </w:r>
      <w:r w:rsidRPr="005771BD">
        <w:rPr>
          <w:rFonts w:eastAsia="Calibri" w:cs="Arial"/>
          <w:szCs w:val="20"/>
          <w:lang w:val="sl-SI"/>
        </w:rPr>
        <w:t>” v korist rabe javnega prevoza ter boljše usklajevanje ponudbe prevoza s potrebami in javnim interesom,</w:t>
      </w:r>
    </w:p>
    <w:p w:rsidR="00427ED6" w:rsidRPr="005771BD" w:rsidRDefault="00427ED6" w:rsidP="00427ED6">
      <w:pPr>
        <w:numPr>
          <w:ilvl w:val="0"/>
          <w:numId w:val="26"/>
        </w:numPr>
        <w:tabs>
          <w:tab w:val="left" w:pos="284"/>
        </w:tabs>
        <w:spacing w:before="60" w:line="276" w:lineRule="auto"/>
        <w:ind w:left="284" w:hanging="284"/>
        <w:jc w:val="both"/>
        <w:rPr>
          <w:rFonts w:eastAsia="Calibri" w:cs="Arial"/>
          <w:szCs w:val="20"/>
          <w:lang w:val="sl-SI"/>
        </w:rPr>
      </w:pPr>
      <w:r w:rsidRPr="005771BD">
        <w:rPr>
          <w:rFonts w:eastAsia="Calibri" w:cs="Arial"/>
          <w:szCs w:val="20"/>
          <w:lang w:val="sl-SI"/>
        </w:rPr>
        <w:t>vzpostaviti in voditi državni informacijski sistem za tla kot nujno podporo prostorskemu načrtovanju, varovanju podtalnic (z vidika izpiranja nitratov, pesticidov, onesnažil), pridelavi kakovostne hrane in zagotavljanju zdravega okolja,</w:t>
      </w:r>
    </w:p>
    <w:p w:rsidR="00427ED6" w:rsidRPr="005771BD" w:rsidRDefault="00427ED6" w:rsidP="00427ED6">
      <w:pPr>
        <w:numPr>
          <w:ilvl w:val="0"/>
          <w:numId w:val="26"/>
        </w:numPr>
        <w:tabs>
          <w:tab w:val="left" w:pos="284"/>
        </w:tabs>
        <w:spacing w:before="60" w:line="276" w:lineRule="auto"/>
        <w:ind w:left="284" w:hanging="284"/>
        <w:jc w:val="both"/>
        <w:rPr>
          <w:rFonts w:eastAsia="Calibri" w:cs="Arial"/>
          <w:szCs w:val="20"/>
          <w:lang w:val="sl-SI"/>
        </w:rPr>
      </w:pPr>
      <w:r w:rsidRPr="005771BD">
        <w:rPr>
          <w:rFonts w:eastAsia="Calibri" w:cs="Arial"/>
          <w:szCs w:val="20"/>
          <w:lang w:val="sl-SI"/>
        </w:rPr>
        <w:t>zagotoviti dobro stanje (do leta 2015) in ustrezno urejanje voda, okrepiti varovanje občutljivega morskega ekosistema in obalnega pasu,</w:t>
      </w:r>
    </w:p>
    <w:p w:rsidR="00427ED6" w:rsidRPr="005771BD" w:rsidRDefault="00427ED6" w:rsidP="00427ED6">
      <w:pPr>
        <w:numPr>
          <w:ilvl w:val="0"/>
          <w:numId w:val="26"/>
        </w:numPr>
        <w:tabs>
          <w:tab w:val="left" w:pos="284"/>
        </w:tabs>
        <w:spacing w:before="60" w:line="276" w:lineRule="auto"/>
        <w:ind w:left="284" w:hanging="284"/>
        <w:jc w:val="both"/>
        <w:rPr>
          <w:rFonts w:eastAsia="Calibri" w:cs="Arial"/>
          <w:szCs w:val="20"/>
          <w:lang w:val="sl-SI"/>
        </w:rPr>
      </w:pPr>
      <w:r w:rsidRPr="005771BD">
        <w:rPr>
          <w:rFonts w:eastAsia="Calibri" w:cs="Arial"/>
          <w:szCs w:val="20"/>
          <w:lang w:val="sl-SI"/>
        </w:rPr>
        <w:t>zaustaviti upadanje biotske raznovrstnosti do leta 2010 in naravno kakovost slovenskega prostora uveljaviti kot kakovost za celotno EU, kar pomeni tudi skupno odgovornost za njeno ohranjanje,</w:t>
      </w:r>
    </w:p>
    <w:p w:rsidR="00427ED6" w:rsidRPr="005771BD" w:rsidRDefault="00427ED6" w:rsidP="00427ED6">
      <w:pPr>
        <w:numPr>
          <w:ilvl w:val="0"/>
          <w:numId w:val="26"/>
        </w:numPr>
        <w:tabs>
          <w:tab w:val="left" w:pos="284"/>
        </w:tabs>
        <w:spacing w:before="60" w:line="276" w:lineRule="auto"/>
        <w:ind w:left="284" w:hanging="284"/>
        <w:jc w:val="both"/>
        <w:rPr>
          <w:rFonts w:eastAsia="Calibri" w:cs="Arial"/>
          <w:szCs w:val="20"/>
          <w:lang w:val="sl-SI"/>
        </w:rPr>
      </w:pPr>
      <w:r w:rsidRPr="005771BD">
        <w:rPr>
          <w:rFonts w:eastAsia="Calibri" w:cs="Arial"/>
          <w:szCs w:val="20"/>
          <w:lang w:val="sl-SI"/>
        </w:rPr>
        <w:t>zasnovati varovalne režime, ki bodo omogočali varovanje rastlin in živali, njihovih biocenoz ter hkrati celovit gospodarski in socialni razvoj tudi na varovanih območjih (Natura 2000),</w:t>
      </w:r>
    </w:p>
    <w:p w:rsidR="00427ED6" w:rsidRPr="005771BD" w:rsidRDefault="00427ED6" w:rsidP="00427ED6">
      <w:pPr>
        <w:numPr>
          <w:ilvl w:val="0"/>
          <w:numId w:val="26"/>
        </w:numPr>
        <w:tabs>
          <w:tab w:val="left" w:pos="284"/>
        </w:tabs>
        <w:spacing w:before="60" w:line="276" w:lineRule="auto"/>
        <w:ind w:left="284" w:hanging="284"/>
        <w:jc w:val="both"/>
        <w:rPr>
          <w:rFonts w:eastAsia="Calibri" w:cs="Arial"/>
          <w:szCs w:val="20"/>
          <w:lang w:val="sl-SI"/>
        </w:rPr>
      </w:pPr>
      <w:r w:rsidRPr="005771BD">
        <w:rPr>
          <w:rFonts w:eastAsia="Calibri" w:cs="Arial"/>
          <w:szCs w:val="20"/>
          <w:lang w:val="sl-SI"/>
        </w:rPr>
        <w:t>krepiti zmogljivost uprave na področjih okoljskega prava in okoljske ekonomike,</w:t>
      </w:r>
    </w:p>
    <w:p w:rsidR="00427ED6" w:rsidRPr="005771BD" w:rsidRDefault="00427ED6" w:rsidP="00427ED6">
      <w:pPr>
        <w:numPr>
          <w:ilvl w:val="0"/>
          <w:numId w:val="26"/>
        </w:numPr>
        <w:tabs>
          <w:tab w:val="left" w:pos="284"/>
        </w:tabs>
        <w:spacing w:before="60" w:after="240" w:line="276" w:lineRule="auto"/>
        <w:ind w:left="284" w:hanging="284"/>
        <w:jc w:val="both"/>
        <w:rPr>
          <w:rFonts w:eastAsia="Calibri" w:cs="Arial"/>
          <w:szCs w:val="20"/>
          <w:lang w:val="sl-SI"/>
        </w:rPr>
      </w:pPr>
      <w:r w:rsidRPr="005771BD">
        <w:rPr>
          <w:rFonts w:eastAsia="Calibri" w:cs="Arial"/>
          <w:szCs w:val="20"/>
          <w:lang w:val="sl-SI"/>
        </w:rPr>
        <w:t>krepiti vlogo posvetovalnih in svetovalnih teles v postopku priprave odločitev (svet za trajnostni razvoj, medsektorska posvetovalna telesa, medsektorske delovne in projektne skupine).</w:t>
      </w:r>
    </w:p>
    <w:p w:rsidR="008E4256" w:rsidRPr="00993FB7" w:rsidRDefault="008E4256" w:rsidP="008E4256">
      <w:pPr>
        <w:spacing w:before="120" w:after="200" w:line="276" w:lineRule="auto"/>
        <w:jc w:val="both"/>
        <w:rPr>
          <w:rFonts w:cs="Arial"/>
          <w:szCs w:val="20"/>
          <w:lang w:val="sl-SI" w:eastAsia="sl-SI"/>
        </w:rPr>
      </w:pPr>
      <w:r w:rsidRPr="00993FB7">
        <w:rPr>
          <w:rFonts w:cs="Arial"/>
          <w:szCs w:val="20"/>
          <w:lang w:val="sl-SI" w:eastAsia="sl-SI"/>
        </w:rPr>
        <w:t xml:space="preserve">Ob odsotnosti krovne nacionalne strategije trajnostnega razvoja je najbolj povezovalen nacionalen dokument, ki vključuje cilje trajnostnega razvoja, </w:t>
      </w:r>
      <w:r w:rsidRPr="00993FB7">
        <w:rPr>
          <w:rFonts w:cs="Arial"/>
          <w:b/>
          <w:szCs w:val="20"/>
          <w:lang w:val="sl-SI" w:eastAsia="sl-SI"/>
        </w:rPr>
        <w:t>Partnerski sporazum med Slovenijo in Evropsko komisijo za obdobje 2014 – 2020</w:t>
      </w:r>
      <w:r w:rsidRPr="00993FB7">
        <w:rPr>
          <w:rFonts w:cs="Arial"/>
          <w:b/>
          <w:szCs w:val="20"/>
          <w:vertAlign w:val="superscript"/>
          <w:lang w:val="sl-SI" w:eastAsia="sl-SI"/>
        </w:rPr>
        <w:footnoteReference w:id="6"/>
      </w:r>
      <w:r w:rsidRPr="00993FB7">
        <w:rPr>
          <w:rFonts w:cs="Arial"/>
          <w:b/>
          <w:szCs w:val="20"/>
          <w:lang w:val="sl-SI" w:eastAsia="sl-SI"/>
        </w:rPr>
        <w:t xml:space="preserve"> </w:t>
      </w:r>
      <w:r w:rsidRPr="00993FB7">
        <w:rPr>
          <w:rFonts w:cs="Arial"/>
          <w:szCs w:val="20"/>
          <w:lang w:val="sl-SI" w:eastAsia="sl-SI"/>
        </w:rPr>
        <w:t xml:space="preserve">(Partnerski sporazum). To je </w:t>
      </w:r>
      <w:r w:rsidRPr="00993FB7">
        <w:rPr>
          <w:rFonts w:cs="Arial"/>
          <w:color w:val="000000"/>
          <w:szCs w:val="20"/>
          <w:lang w:val="sl-SI" w:eastAsia="sl-SI"/>
        </w:rPr>
        <w:t xml:space="preserve">nosilni strateški dokument za prispevek Republike Slovenije k izvajanju Strategije EU za pametno, trajnostno in vključujočo rast (Evropa 2020). </w:t>
      </w:r>
      <w:r>
        <w:rPr>
          <w:rFonts w:cs="Arial"/>
          <w:color w:val="000000"/>
          <w:szCs w:val="20"/>
          <w:lang w:val="sl-SI" w:eastAsia="sl-SI"/>
        </w:rPr>
        <w:t xml:space="preserve">Poleg tega je udejanjanje Agende 2030 za trajnostni razvoj zagotovljeno tudi v Slovenski strategiji krepitve Evropskega raziskovalnega prostora 2016-2020 in sicer preko krepitve transnacionalnega sodelovanja na področju </w:t>
      </w:r>
      <w:r w:rsidR="00E41458">
        <w:rPr>
          <w:rFonts w:cs="Arial"/>
          <w:color w:val="000000"/>
          <w:szCs w:val="20"/>
          <w:lang w:val="sl-SI" w:eastAsia="sl-SI"/>
        </w:rPr>
        <w:t xml:space="preserve">raziskav, razvoja in inovacij, </w:t>
      </w:r>
      <w:r>
        <w:rPr>
          <w:rFonts w:cs="Arial"/>
          <w:color w:val="000000"/>
          <w:szCs w:val="20"/>
          <w:lang w:val="sl-SI" w:eastAsia="sl-SI"/>
        </w:rPr>
        <w:t xml:space="preserve">ki so nepogrešljive pri uspešni politiki blaženja podnebnih sprememb in prilagajanja nanje. </w:t>
      </w:r>
      <w:r w:rsidRPr="00993FB7">
        <w:rPr>
          <w:rFonts w:cs="Arial"/>
          <w:szCs w:val="20"/>
          <w:lang w:val="sl-SI" w:eastAsia="sl-SI"/>
        </w:rPr>
        <w:t xml:space="preserve">V uvodnem poglavju Partnerskega sporazuma je, tudi ob upoštevanju ugotovitev Poročila o razvoju, zapisano: </w:t>
      </w:r>
      <w:r w:rsidRPr="00993FB7">
        <w:rPr>
          <w:rFonts w:cs="Arial"/>
          <w:bCs/>
          <w:szCs w:val="20"/>
          <w:lang w:val="sl-SI" w:eastAsia="sl-SI"/>
        </w:rPr>
        <w:t xml:space="preserve">"Zaradi globine krize in bistveno spremenjenih mednarodnih razmer Slovenija danes potrebuje razmislek o novem, vključujočem in trajnostnem razvojnem modelu, </w:t>
      </w:r>
      <w:r w:rsidRPr="00993FB7">
        <w:rPr>
          <w:rFonts w:cs="Arial"/>
          <w:szCs w:val="20"/>
          <w:lang w:val="sl-SI" w:eastAsia="sl-SI"/>
        </w:rPr>
        <w:t>ki bo enakovredno upošteval</w:t>
      </w:r>
      <w:r w:rsidRPr="00993FB7">
        <w:rPr>
          <w:rFonts w:cs="Arial"/>
          <w:b/>
          <w:szCs w:val="20"/>
          <w:lang w:val="sl-SI" w:eastAsia="sl-SI"/>
        </w:rPr>
        <w:t xml:space="preserve"> </w:t>
      </w:r>
      <w:r w:rsidRPr="00993FB7">
        <w:rPr>
          <w:rFonts w:cs="Arial"/>
          <w:szCs w:val="20"/>
          <w:lang w:val="sl-SI" w:eastAsia="sl-SI"/>
        </w:rPr>
        <w:t xml:space="preserve">gospodarsko, okoljsko, družbeno in kulturno dimenzijo razvoja ter </w:t>
      </w:r>
      <w:r w:rsidRPr="00993FB7">
        <w:rPr>
          <w:rFonts w:cs="Arial"/>
          <w:bCs/>
          <w:szCs w:val="20"/>
          <w:lang w:val="sl-SI" w:eastAsia="sl-SI"/>
        </w:rPr>
        <w:t>pričakovane prihodnje izzive</w:t>
      </w:r>
      <w:r w:rsidRPr="00993FB7">
        <w:rPr>
          <w:rFonts w:cs="Arial"/>
          <w:szCs w:val="20"/>
          <w:lang w:val="sl-SI" w:eastAsia="sl-SI"/>
        </w:rPr>
        <w:t xml:space="preserve"> in hkrati sledil razvojnim usmeritvam strategije EU 2020, ki z vidika konkurenčnosti in okoljske ozaveščenosti poudarjajo pomembnost prehoda v krožno, nizkoogljično gospodarstvo." </w:t>
      </w:r>
    </w:p>
    <w:p w:rsidR="00427ED6" w:rsidRPr="005771BD" w:rsidRDefault="00427ED6" w:rsidP="00427ED6">
      <w:pPr>
        <w:spacing w:before="120" w:after="200" w:line="276" w:lineRule="auto"/>
        <w:jc w:val="both"/>
        <w:rPr>
          <w:rFonts w:cs="Arial"/>
          <w:strike/>
          <w:szCs w:val="20"/>
          <w:lang w:val="sl-SI" w:eastAsia="sl-SI"/>
        </w:rPr>
      </w:pPr>
      <w:r w:rsidRPr="005771BD">
        <w:rPr>
          <w:rFonts w:cs="Arial"/>
          <w:szCs w:val="20"/>
          <w:lang w:val="sl-SI" w:eastAsia="sl-SI"/>
        </w:rPr>
        <w:t xml:space="preserve">Partnerski sporazum </w:t>
      </w:r>
      <w:r w:rsidRPr="005771BD">
        <w:rPr>
          <w:rFonts w:cs="Arial"/>
          <w:color w:val="000000"/>
          <w:szCs w:val="20"/>
          <w:lang w:val="sl-SI" w:eastAsia="sl-SI"/>
        </w:rPr>
        <w:t>je tudi podlaga za Operativni program za izvajanje Evropske kohezijske politike v obdobju 2014–2020 (</w:t>
      </w:r>
      <w:r w:rsidRPr="005771BD">
        <w:rPr>
          <w:rFonts w:cs="Arial"/>
          <w:b/>
          <w:color w:val="000000"/>
          <w:szCs w:val="20"/>
          <w:lang w:val="sl-SI" w:eastAsia="sl-SI"/>
        </w:rPr>
        <w:t>OP 2014-2020</w:t>
      </w:r>
      <w:r w:rsidRPr="005771BD">
        <w:rPr>
          <w:rFonts w:cs="Arial"/>
          <w:color w:val="000000"/>
          <w:szCs w:val="20"/>
          <w:lang w:val="sl-SI" w:eastAsia="sl-SI"/>
        </w:rPr>
        <w:t>)</w:t>
      </w:r>
      <w:r w:rsidRPr="005771BD">
        <w:rPr>
          <w:rFonts w:cs="Arial"/>
          <w:color w:val="000000"/>
          <w:szCs w:val="20"/>
          <w:vertAlign w:val="superscript"/>
          <w:lang w:val="sl-SI" w:eastAsia="sl-SI"/>
        </w:rPr>
        <w:footnoteReference w:id="7"/>
      </w:r>
      <w:r w:rsidRPr="005771BD">
        <w:rPr>
          <w:rFonts w:cs="Arial"/>
          <w:color w:val="000000"/>
          <w:szCs w:val="20"/>
          <w:lang w:val="sl-SI" w:eastAsia="sl-SI"/>
        </w:rPr>
        <w:t xml:space="preserve"> in Program razvoja podeželja Republike Slovenija 2014–2020 (</w:t>
      </w:r>
      <w:r w:rsidRPr="005771BD">
        <w:rPr>
          <w:rFonts w:cs="Arial"/>
          <w:b/>
          <w:color w:val="000000"/>
          <w:szCs w:val="20"/>
          <w:lang w:val="sl-SI" w:eastAsia="sl-SI"/>
        </w:rPr>
        <w:t>PRP 2014-2020</w:t>
      </w:r>
      <w:r w:rsidRPr="005771BD">
        <w:rPr>
          <w:rFonts w:cs="Arial"/>
          <w:color w:val="000000"/>
          <w:szCs w:val="20"/>
          <w:lang w:val="sl-SI" w:eastAsia="sl-SI"/>
        </w:rPr>
        <w:t>)</w:t>
      </w:r>
      <w:r w:rsidRPr="005771BD">
        <w:rPr>
          <w:rFonts w:cs="Arial"/>
          <w:color w:val="000000"/>
          <w:szCs w:val="20"/>
          <w:vertAlign w:val="superscript"/>
          <w:lang w:val="sl-SI" w:eastAsia="sl-SI"/>
        </w:rPr>
        <w:footnoteReference w:id="8"/>
      </w:r>
      <w:r w:rsidRPr="005771BD">
        <w:rPr>
          <w:rFonts w:cs="Arial"/>
          <w:color w:val="000000"/>
          <w:szCs w:val="20"/>
          <w:lang w:val="sl-SI" w:eastAsia="sl-SI"/>
        </w:rPr>
        <w:t xml:space="preserve">, ki opredeljujeta veliko večino porabe sredstev evropskih skladov. Trajnostni razvoj je opredeljen kot eno od horizontalnih načel </w:t>
      </w:r>
      <w:r w:rsidRPr="005771BD">
        <w:rPr>
          <w:rFonts w:cs="Arial"/>
          <w:szCs w:val="20"/>
          <w:lang w:val="sl-SI" w:eastAsia="sl-SI"/>
        </w:rPr>
        <w:t xml:space="preserve">partnerskega sporazuma (in tako tudi operativnih programov OP 2014–2020 in PRP 2014–2020). Osrednje vodilo pri pripravi programov za črpanje sredstev EU, s katerimi bo Slovenija spodbujala ukrepe za lažje doseganje prehoda v nizkoogljično družbo, bo gospodarno ravnanje z viri, ki bo zagotavljalo blaginjo za vse prebivalce. </w:t>
      </w:r>
    </w:p>
    <w:p w:rsidR="00427ED6" w:rsidRPr="005771BD" w:rsidRDefault="00427ED6" w:rsidP="00786EDB">
      <w:pPr>
        <w:autoSpaceDE w:val="0"/>
        <w:autoSpaceDN w:val="0"/>
        <w:adjustRightInd w:val="0"/>
        <w:spacing w:after="360" w:line="276" w:lineRule="auto"/>
        <w:jc w:val="both"/>
        <w:rPr>
          <w:rFonts w:cs="Arial"/>
          <w:szCs w:val="20"/>
          <w:lang w:val="sl-SI" w:eastAsia="sl-SI"/>
        </w:rPr>
      </w:pPr>
      <w:r w:rsidRPr="005771BD">
        <w:rPr>
          <w:rFonts w:cs="Arial"/>
          <w:iCs/>
          <w:szCs w:val="20"/>
          <w:lang w:val="sl-SI" w:eastAsia="sl-SI"/>
        </w:rPr>
        <w:t>Pomemben pogoj za uresničevanje ciljev trajnostnega razvoja so sredstva, zagotovljena za izvajanje partnerskega sporazuma v evropskih strukturnih in</w:t>
      </w:r>
      <w:r w:rsidRPr="005771BD">
        <w:rPr>
          <w:rFonts w:cs="Arial"/>
          <w:szCs w:val="20"/>
          <w:lang w:val="sl-SI" w:eastAsia="sl-SI"/>
        </w:rPr>
        <w:t xml:space="preserve"> investicijskih </w:t>
      </w:r>
      <w:r w:rsidRPr="005771BD">
        <w:rPr>
          <w:rFonts w:cs="Arial"/>
          <w:iCs/>
          <w:szCs w:val="20"/>
          <w:lang w:val="sl-SI" w:eastAsia="sl-SI"/>
        </w:rPr>
        <w:t xml:space="preserve">skladih (skladi ESI). Tako so v skladu s pravili evropske kohezijske politike ukrepi </w:t>
      </w:r>
      <w:r w:rsidRPr="005771BD">
        <w:rPr>
          <w:rFonts w:cs="Arial"/>
          <w:szCs w:val="20"/>
          <w:lang w:val="sl-SI" w:eastAsia="sl-SI"/>
        </w:rPr>
        <w:t xml:space="preserve">za uresničevanje ciljev na področju podnebnih sprememb načrtovani okvirno v višini 20 % sredstev kohezijskega sklada, evropskega sklada za regionalni razvoj in evropskega socialnega sklada. </w:t>
      </w:r>
    </w:p>
    <w:p w:rsidR="00427ED6" w:rsidRPr="005771BD" w:rsidRDefault="00786EDB" w:rsidP="00427ED6">
      <w:pPr>
        <w:spacing w:after="200" w:line="276" w:lineRule="auto"/>
        <w:jc w:val="both"/>
        <w:rPr>
          <w:rFonts w:cs="Arial"/>
          <w:b/>
          <w:bCs/>
          <w:color w:val="000000"/>
          <w:szCs w:val="20"/>
          <w:u w:val="single"/>
          <w:lang w:val="sl-SI" w:eastAsia="sl-SI"/>
        </w:rPr>
      </w:pPr>
      <w:r>
        <w:rPr>
          <w:rFonts w:cs="Arial"/>
          <w:b/>
          <w:bCs/>
          <w:color w:val="000000"/>
          <w:szCs w:val="20"/>
          <w:u w:val="single"/>
          <w:lang w:val="sl-SI" w:eastAsia="sl-SI"/>
        </w:rPr>
        <w:t>4</w:t>
      </w:r>
      <w:r w:rsidR="00427ED6" w:rsidRPr="005771BD">
        <w:rPr>
          <w:rFonts w:cs="Arial"/>
          <w:b/>
          <w:bCs/>
          <w:color w:val="000000"/>
          <w:szCs w:val="20"/>
          <w:u w:val="single"/>
          <w:lang w:val="sl-SI" w:eastAsia="sl-SI"/>
        </w:rPr>
        <w:t xml:space="preserve">.2 Od zavez k dejanjem </w:t>
      </w:r>
    </w:p>
    <w:p w:rsidR="00427ED6" w:rsidRPr="005771BD" w:rsidRDefault="00427ED6" w:rsidP="00427ED6">
      <w:pPr>
        <w:autoSpaceDE w:val="0"/>
        <w:autoSpaceDN w:val="0"/>
        <w:adjustRightInd w:val="0"/>
        <w:spacing w:after="200" w:line="276" w:lineRule="auto"/>
        <w:jc w:val="both"/>
        <w:rPr>
          <w:rFonts w:cs="Arial"/>
          <w:color w:val="000000"/>
          <w:szCs w:val="20"/>
          <w:lang w:val="sl-SI" w:eastAsia="sl-SI"/>
        </w:rPr>
      </w:pPr>
      <w:r w:rsidRPr="005771BD">
        <w:rPr>
          <w:rFonts w:cs="Arial"/>
          <w:color w:val="000000"/>
          <w:szCs w:val="20"/>
          <w:lang w:val="sl-SI" w:eastAsia="sl-SI"/>
        </w:rPr>
        <w:t xml:space="preserve">V Sloveniji smo od zavez prešli k dejanjem, številne politike, pobude in prakse so bile predstavljene na posvetu </w:t>
      </w:r>
      <w:r w:rsidRPr="005771BD">
        <w:rPr>
          <w:rFonts w:cs="Arial"/>
          <w:b/>
          <w:color w:val="000000"/>
          <w:szCs w:val="20"/>
          <w:lang w:val="sl-SI" w:eastAsia="sl-SI"/>
        </w:rPr>
        <w:t>Povezovanje potencialov za trajnostno prihodnost</w:t>
      </w:r>
      <w:r w:rsidRPr="005771BD">
        <w:rPr>
          <w:rFonts w:cs="Arial"/>
          <w:color w:val="000000"/>
          <w:szCs w:val="20"/>
          <w:lang w:val="sl-SI" w:eastAsia="sl-SI"/>
        </w:rPr>
        <w:t>, ki je v koordinaciji Ministrstva za okolje in prostor ter v sodelovanju s kabinetom predsednika vlade in drugimi potekal 1. junija 2015</w:t>
      </w:r>
      <w:r w:rsidRPr="005771BD">
        <w:rPr>
          <w:rFonts w:cs="Arial"/>
          <w:color w:val="000000"/>
          <w:szCs w:val="20"/>
          <w:vertAlign w:val="superscript"/>
          <w:lang w:val="sl-SI" w:eastAsia="sl-SI"/>
        </w:rPr>
        <w:footnoteReference w:id="9"/>
      </w:r>
      <w:r w:rsidRPr="005771BD">
        <w:rPr>
          <w:rFonts w:cs="Arial"/>
          <w:color w:val="000000"/>
          <w:szCs w:val="20"/>
          <w:lang w:val="sl-SI" w:eastAsia="sl-SI"/>
        </w:rPr>
        <w:t xml:space="preserve">. </w:t>
      </w:r>
    </w:p>
    <w:p w:rsidR="00427ED6" w:rsidRPr="005771BD" w:rsidRDefault="00427ED6" w:rsidP="00427ED6">
      <w:pPr>
        <w:autoSpaceDE w:val="0"/>
        <w:autoSpaceDN w:val="0"/>
        <w:adjustRightInd w:val="0"/>
        <w:spacing w:after="200" w:line="276" w:lineRule="auto"/>
        <w:jc w:val="both"/>
        <w:rPr>
          <w:rFonts w:cs="Arial"/>
          <w:color w:val="000000"/>
          <w:szCs w:val="20"/>
          <w:highlight w:val="yellow"/>
          <w:lang w:val="sl-SI" w:eastAsia="sl-SI"/>
        </w:rPr>
      </w:pPr>
      <w:r w:rsidRPr="005771BD">
        <w:rPr>
          <w:rFonts w:cs="Arial"/>
          <w:color w:val="000000"/>
          <w:szCs w:val="20"/>
          <w:lang w:val="sl-SI" w:eastAsia="sl-SI"/>
        </w:rPr>
        <w:t xml:space="preserve">Na posvetu so udeleženci govorili o novem, vključujočem in trajnostnem razvojnem modelu, ki bo enakovredno upošteval gospodarsko, okoljsko in socialno razsežnost razvoja ter gradil na temeljnih vrednotah evropske in slovenske kulturne dediščine s poudarkom na družbeni odgovornosti. Ugotavljali so, da imamo za tak razvojni model v Sloveniji odlične možnosti. Če upoštevamo temeljne vrednote družbene odgovornosti in našo bogato kulturno dediščino, jih lahko s pametnim vključevanjem ter njihovo učinkovitim uveljavljanjem izkoristimo za nov razvojni preboj. Posebej so poudarili pomembne možnosti za trajnostni razvoj v dobrih praksah, ki že udejanjajo trajnostno prihodnost in so navdih tudi pri konkretnih odločitvah za drugačno pot razvoja. Posvet je potrdil </w:t>
      </w:r>
      <w:r w:rsidRPr="005771BD">
        <w:rPr>
          <w:rFonts w:cs="Arial"/>
          <w:color w:val="000000"/>
          <w:szCs w:val="20"/>
          <w:u w:val="single"/>
          <w:lang w:val="sl-SI" w:eastAsia="sl-SI"/>
        </w:rPr>
        <w:t>obetavnost strategij in usmeritev za trajnostni razvoj</w:t>
      </w:r>
      <w:r w:rsidRPr="005771BD">
        <w:rPr>
          <w:rFonts w:cs="Arial"/>
          <w:color w:val="000000"/>
          <w:szCs w:val="20"/>
          <w:lang w:val="sl-SI" w:eastAsia="sl-SI"/>
        </w:rPr>
        <w:t xml:space="preserve">, ki jih v Sloveniji že izvajamo, in </w:t>
      </w:r>
      <w:r w:rsidRPr="005771BD">
        <w:rPr>
          <w:rFonts w:cs="Arial"/>
          <w:color w:val="000000"/>
          <w:szCs w:val="20"/>
          <w:u w:val="single"/>
          <w:lang w:val="sl-SI" w:eastAsia="sl-SI"/>
        </w:rPr>
        <w:t>številnih dobrih praks</w:t>
      </w:r>
      <w:r w:rsidRPr="005771BD">
        <w:rPr>
          <w:rFonts w:cs="Arial"/>
          <w:color w:val="000000"/>
          <w:szCs w:val="20"/>
          <w:lang w:val="sl-SI" w:eastAsia="sl-SI"/>
        </w:rPr>
        <w:t>, med katerimi omenjamo trajnostni razvoj občin Solčav</w:t>
      </w:r>
      <w:r w:rsidR="00A11C91">
        <w:rPr>
          <w:rFonts w:cs="Arial"/>
          <w:color w:val="000000"/>
          <w:szCs w:val="20"/>
          <w:lang w:val="sl-SI" w:eastAsia="sl-SI"/>
        </w:rPr>
        <w:t>a</w:t>
      </w:r>
      <w:r w:rsidRPr="005771BD">
        <w:rPr>
          <w:rFonts w:cs="Arial"/>
          <w:color w:val="000000"/>
          <w:szCs w:val="20"/>
          <w:lang w:val="sl-SI" w:eastAsia="sl-SI"/>
        </w:rPr>
        <w:t xml:space="preserve">, Šentrupert in Poljčane, model regionalnega razvoja srce Slovenije, aktivnosti Biotehniškega centra Naklo, vrtca Otona Župančiča v Slovenski Bistrici, visokotehnoloških podjetij Domel in Pipistrel, Inštituta Metron z Andrejem Pečjakom ter zeleno socialno podjetje Tekstilnica. Vsak po svoje izvirno prepletajo naravo in skupnost, kulturo in ozaveščenost, znanost in tehnologijo ter politiko in ekonomijo, ki jih povezujejo in navdihujejo vrednote, moralno jedro v središču. Ob tem pa so vpeti v evropske procese (s tem, da prispevke različnih politik EU pametno vključujejo za trajnostni razvoj) in izhajajo iz slovenske kulturne dediščine (kot so uspešni modeli preteklega obdobja, od katerih se lahko učimo še danes, npr. trajnostno gospodarjenje z gozdovi, agrarne skupnosti in klasične zadruge). </w:t>
      </w:r>
    </w:p>
    <w:p w:rsidR="00427ED6" w:rsidRPr="005771BD" w:rsidRDefault="00427ED6" w:rsidP="00427ED6">
      <w:pPr>
        <w:spacing w:after="200" w:line="276" w:lineRule="auto"/>
        <w:jc w:val="both"/>
        <w:rPr>
          <w:rFonts w:cs="Arial"/>
          <w:szCs w:val="20"/>
          <w:lang w:val="sl-SI" w:eastAsia="sl-SI"/>
        </w:rPr>
      </w:pPr>
      <w:r w:rsidRPr="005771BD">
        <w:rPr>
          <w:rFonts w:cs="Arial"/>
          <w:szCs w:val="20"/>
          <w:lang w:val="sl-SI" w:eastAsia="sl-SI"/>
        </w:rPr>
        <w:t xml:space="preserve">V tem poročilu iz bogate zakladnice slovenskih trajnostnih programov in praks predstavljamo novejšo zeleno shemo slovenskega turizma (ZSST), ki izhaja iz zmogljivosti Slovenije in procesov preteklega obdobja, hkrati pa je umeščena v evropski okvir politik za trajnostni razvoj. </w:t>
      </w:r>
    </w:p>
    <w:p w:rsidR="00427ED6" w:rsidRPr="005771BD" w:rsidRDefault="00427ED6" w:rsidP="00786EDB">
      <w:pPr>
        <w:spacing w:after="360" w:line="276" w:lineRule="auto"/>
        <w:jc w:val="both"/>
        <w:rPr>
          <w:rFonts w:cs="Arial"/>
          <w:szCs w:val="20"/>
          <w:lang w:val="sl-SI" w:eastAsia="sl-SI"/>
        </w:rPr>
      </w:pPr>
      <w:r w:rsidRPr="005771BD">
        <w:rPr>
          <w:rFonts w:cs="Arial"/>
          <w:szCs w:val="20"/>
          <w:lang w:val="sl-SI" w:eastAsia="sl-SI"/>
        </w:rPr>
        <w:t>Slovenija se je s sprejetjem Strategije razvoja slovenskega turizma 2012–2016 zavezala k trajnostnemu razvoju turizma in spoštovanju svoje zelene usmerjenosti. Slovenska turistična organizacija je v letu 2015 vzposta</w:t>
      </w:r>
      <w:r>
        <w:rPr>
          <w:rFonts w:cs="Arial"/>
          <w:szCs w:val="20"/>
          <w:lang w:val="sl-SI" w:eastAsia="sl-SI"/>
        </w:rPr>
        <w:t>v</w:t>
      </w:r>
      <w:r w:rsidRPr="005771BD">
        <w:rPr>
          <w:rFonts w:cs="Arial"/>
          <w:szCs w:val="20"/>
          <w:lang w:val="sl-SI" w:eastAsia="sl-SI"/>
        </w:rPr>
        <w:t xml:space="preserve">ila </w:t>
      </w:r>
      <w:r w:rsidRPr="005771BD">
        <w:rPr>
          <w:rFonts w:cs="Arial"/>
          <w:b/>
          <w:szCs w:val="20"/>
          <w:lang w:val="sl-SI" w:eastAsia="sl-SI"/>
        </w:rPr>
        <w:t>zeleno shemo slovenskega turizma (ZSST)</w:t>
      </w:r>
      <w:r w:rsidRPr="005771BD">
        <w:rPr>
          <w:rFonts w:cs="Arial"/>
          <w:szCs w:val="20"/>
          <w:lang w:val="sl-SI" w:eastAsia="sl-SI"/>
        </w:rPr>
        <w:t xml:space="preserve">, program za uvajanje trajnostnih modelov v turizmu in za ozaveščanje o skrbnem ravnanju z okoljem. V okviru ZSST je ustvarila znamko kakovosti Slovenia Green, ki temelji na svetovnem standardu za presojo trajnostnega poslovanja turističnih destinacij Green Destinations Standard. Prva dobitnica znaka zelene kakovosti Slovenia Green je bila Ljubljana, zelena prestolnica Evrope 2016. Do septembra 2016 je ta znak dobilo že 12 destinacij in 10 ponudnikov, v postopku ocenjevanja je bilo še 16 destinacij. 27. septembra 2016 je bila v okviru mednarodnega dogodka Global Green Destinations Day Slovenija razglašena za prvo zeleno destinacijo na svetu, kakor jo je ocenila mednarodna organizacija Green Destinations po novih standardih trajnostnega turizma za države. Med pomembnimi značilnosti lahko omenimo: Slovenija je zelena dežela, 58,4 </w:t>
      </w:r>
      <w:r w:rsidR="00E41458">
        <w:rPr>
          <w:rFonts w:cs="Arial"/>
          <w:szCs w:val="20"/>
          <w:lang w:val="sl-SI" w:eastAsia="sl-SI"/>
        </w:rPr>
        <w:t>%</w:t>
      </w:r>
      <w:r w:rsidRPr="005771BD">
        <w:rPr>
          <w:rFonts w:cs="Arial"/>
          <w:szCs w:val="20"/>
          <w:lang w:val="sl-SI" w:eastAsia="sl-SI"/>
        </w:rPr>
        <w:t xml:space="preserve"> njene površine pokrivajo gozdovi, kar jo umešča na tretje mesto po gozdnatosti v Evropi, </w:t>
      </w:r>
      <w:r w:rsidR="00E41458">
        <w:rPr>
          <w:rFonts w:cs="Arial"/>
          <w:szCs w:val="20"/>
          <w:lang w:val="sl-SI" w:eastAsia="sl-SI"/>
        </w:rPr>
        <w:t>37,1 %</w:t>
      </w:r>
      <w:r w:rsidRPr="005771BD">
        <w:rPr>
          <w:rFonts w:cs="Arial"/>
          <w:szCs w:val="20"/>
          <w:lang w:val="sl-SI" w:eastAsia="sl-SI"/>
        </w:rPr>
        <w:t xml:space="preserve"> pa je vključenih v omrežje Natura 2000. Petina obale spada pod zaščiteno območje, po količini rečne vode na prebivalca pa je Slovenija med najbogatejšimi evropskimi državami. </w:t>
      </w:r>
    </w:p>
    <w:p w:rsidR="00427ED6" w:rsidRPr="005771BD" w:rsidRDefault="00786EDB" w:rsidP="00427ED6">
      <w:pPr>
        <w:spacing w:after="200" w:line="276" w:lineRule="auto"/>
        <w:rPr>
          <w:rFonts w:cs="Arial"/>
          <w:b/>
          <w:szCs w:val="20"/>
          <w:u w:val="single"/>
          <w:lang w:val="sl-SI" w:eastAsia="sl-SI"/>
        </w:rPr>
      </w:pPr>
      <w:r>
        <w:rPr>
          <w:rFonts w:cs="Arial"/>
          <w:b/>
          <w:szCs w:val="20"/>
          <w:u w:val="single"/>
          <w:lang w:val="sl-SI" w:eastAsia="sl-SI"/>
        </w:rPr>
        <w:t>4</w:t>
      </w:r>
      <w:r w:rsidR="00427ED6" w:rsidRPr="005771BD">
        <w:rPr>
          <w:rFonts w:cs="Arial"/>
          <w:b/>
          <w:szCs w:val="20"/>
          <w:u w:val="single"/>
          <w:lang w:val="sl-SI" w:eastAsia="sl-SI"/>
        </w:rPr>
        <w:t>.3 Zeleno gospodarstvo za trajnostni razvoj</w:t>
      </w:r>
    </w:p>
    <w:p w:rsidR="00427ED6" w:rsidRPr="005771BD" w:rsidRDefault="00427ED6" w:rsidP="00427ED6">
      <w:pPr>
        <w:spacing w:after="200" w:line="276" w:lineRule="auto"/>
        <w:jc w:val="both"/>
        <w:rPr>
          <w:rFonts w:cs="Arial"/>
          <w:szCs w:val="20"/>
          <w:lang w:val="sl-SI" w:eastAsia="sl-SI"/>
        </w:rPr>
      </w:pPr>
      <w:r w:rsidRPr="005771BD">
        <w:rPr>
          <w:rFonts w:cs="Arial"/>
          <w:szCs w:val="20"/>
          <w:lang w:val="sl-SI" w:eastAsia="sl-SI"/>
        </w:rPr>
        <w:t xml:space="preserve">Kljub načelnim opredelitvam za trajnostni razvoj je tudi v Sloveniji pogosto stališče,  da naj bi bilo varovanje okolja ovira za razvoj, zlasti gospodarsko rast, kar lahko vodi do nadaljnjega uničevanja naravnega kapitala, to pa ogroža ne le blaginjo, ampak tudi obstoj sedanjih, ne le prihodnjih generacij. Zato je toliko bolj dobrodošla usmeritev v </w:t>
      </w:r>
      <w:r w:rsidRPr="005771BD">
        <w:rPr>
          <w:rFonts w:cs="Arial"/>
          <w:b/>
          <w:szCs w:val="20"/>
          <w:lang w:val="sl-SI" w:eastAsia="sl-SI"/>
        </w:rPr>
        <w:t>zeleno gospodarstvo</w:t>
      </w:r>
      <w:r w:rsidRPr="005771BD">
        <w:rPr>
          <w:rFonts w:cs="Arial"/>
          <w:szCs w:val="20"/>
          <w:lang w:val="sl-SI" w:eastAsia="sl-SI"/>
        </w:rPr>
        <w:t xml:space="preserve">, ki reševanje okoljskih problemov obravnava kot priložnost za razvoj. </w:t>
      </w:r>
      <w:r w:rsidRPr="005771BD">
        <w:rPr>
          <w:rFonts w:cs="Arial"/>
          <w:bCs/>
          <w:szCs w:val="20"/>
          <w:lang w:val="sl-SI" w:eastAsia="sl-SI"/>
        </w:rPr>
        <w:t xml:space="preserve">Program Združenih narodov za okolje na kratko opredeljuje </w:t>
      </w:r>
      <w:r w:rsidRPr="005771BD">
        <w:rPr>
          <w:rFonts w:cs="Arial"/>
          <w:bCs/>
          <w:szCs w:val="20"/>
          <w:u w:val="single"/>
          <w:lang w:val="sl-SI" w:eastAsia="sl-SI"/>
        </w:rPr>
        <w:t>zeleno gospodarstvo kot  nizkoogljično, učinkovito z viri in socialno vključujoče</w:t>
      </w:r>
      <w:r w:rsidRPr="005771BD">
        <w:rPr>
          <w:rFonts w:cs="Arial"/>
          <w:bCs/>
          <w:szCs w:val="20"/>
          <w:lang w:val="sl-SI" w:eastAsia="sl-SI"/>
        </w:rPr>
        <w:t xml:space="preserve"> (UNEP, 2011)</w:t>
      </w:r>
      <w:r w:rsidRPr="005771BD">
        <w:rPr>
          <w:rFonts w:cs="Arial"/>
          <w:bCs/>
          <w:szCs w:val="20"/>
          <w:vertAlign w:val="superscript"/>
          <w:lang w:val="sl-SI" w:eastAsia="sl-SI"/>
        </w:rPr>
        <w:footnoteReference w:id="10"/>
      </w:r>
      <w:r w:rsidRPr="005771BD">
        <w:rPr>
          <w:rFonts w:cs="Arial"/>
          <w:bCs/>
          <w:szCs w:val="20"/>
          <w:lang w:val="sl-SI" w:eastAsia="sl-SI"/>
        </w:rPr>
        <w:t>, torej gospodarstvo, ki hkrati z občutnim zmanjševanjem okoljskih tveganj in ekoloških primanjkljajev vodi tudi v večjo blaginjo ljudi in socialno pravičnost</w:t>
      </w:r>
      <w:r w:rsidRPr="005771BD">
        <w:rPr>
          <w:rFonts w:cs="Arial"/>
          <w:szCs w:val="20"/>
          <w:lang w:val="sl-SI" w:eastAsia="sl-SI"/>
        </w:rPr>
        <w:t xml:space="preserve">. </w:t>
      </w:r>
    </w:p>
    <w:p w:rsidR="00427ED6" w:rsidRPr="005771BD" w:rsidRDefault="00427ED6" w:rsidP="00427ED6">
      <w:pPr>
        <w:spacing w:after="200" w:line="276" w:lineRule="auto"/>
        <w:jc w:val="both"/>
        <w:rPr>
          <w:rFonts w:cs="Arial"/>
          <w:szCs w:val="20"/>
          <w:lang w:val="sl-SI" w:eastAsia="sl-SI"/>
        </w:rPr>
      </w:pPr>
      <w:r w:rsidRPr="005771BD">
        <w:rPr>
          <w:rFonts w:cs="Arial"/>
          <w:szCs w:val="20"/>
          <w:lang w:val="sl-SI" w:eastAsia="sl-SI"/>
        </w:rPr>
        <w:t xml:space="preserve">Koncept zelenega gospodarstva ne nadomešča trajnostnega razvoja, ampak izhaja iz čedalje bolj uveljavljenega spoznanja, da je za doseganje trajnosti nujno v celoti urediti gospodarstvo, za to pa je treba preusmeriti javna in zasebna vlaganja. </w:t>
      </w:r>
    </w:p>
    <w:p w:rsidR="00427ED6" w:rsidRPr="005771BD" w:rsidRDefault="00427ED6" w:rsidP="00427ED6">
      <w:pPr>
        <w:spacing w:after="200" w:line="276" w:lineRule="auto"/>
        <w:jc w:val="both"/>
        <w:rPr>
          <w:rFonts w:cs="Arial"/>
          <w:szCs w:val="20"/>
          <w:lang w:val="sl-SI" w:eastAsia="sl-SI"/>
        </w:rPr>
      </w:pPr>
      <w:r w:rsidRPr="005771BD">
        <w:rPr>
          <w:rFonts w:cs="Arial"/>
          <w:szCs w:val="20"/>
          <w:lang w:val="sl-SI" w:eastAsia="sl-SI"/>
        </w:rPr>
        <w:t xml:space="preserve">V letu 2015 smo se v Sloveniji zavzeli za prehod v zeleno gospodarstvo s sprejemom </w:t>
      </w:r>
      <w:r w:rsidRPr="005771BD">
        <w:rPr>
          <w:rFonts w:cs="Arial"/>
          <w:b/>
          <w:szCs w:val="20"/>
          <w:lang w:val="sl-SI" w:eastAsia="sl-SI"/>
        </w:rPr>
        <w:t>Okvirnega programa za prehod v zeleno gospodarstvo</w:t>
      </w:r>
      <w:r w:rsidRPr="005771BD">
        <w:rPr>
          <w:rFonts w:cs="Arial"/>
          <w:szCs w:val="20"/>
          <w:lang w:val="sl-SI" w:eastAsia="sl-SI"/>
        </w:rPr>
        <w:t xml:space="preserve"> (OPZG)</w:t>
      </w:r>
      <w:r w:rsidRPr="005771BD">
        <w:rPr>
          <w:rFonts w:cs="Arial"/>
          <w:szCs w:val="20"/>
          <w:vertAlign w:val="superscript"/>
          <w:lang w:val="sl-SI" w:eastAsia="sl-SI"/>
        </w:rPr>
        <w:footnoteReference w:id="11"/>
      </w:r>
      <w:r w:rsidRPr="005771BD">
        <w:rPr>
          <w:rFonts w:cs="Arial"/>
          <w:szCs w:val="20"/>
          <w:lang w:val="sl-SI" w:eastAsia="sl-SI"/>
        </w:rPr>
        <w:t xml:space="preserve">, ki temelji na ključnih področjih prehoda v zeleno gospodarstvo, od trajnostnega upravljanja virov do zelenih praks v kmetijstvu in gozdarstvu. Vključuje ekološke inovacije kot temeljni dejavnik za omogočanje zelenega gospodarstva, spodbuja odprto kroženje znanja o zelenih rešitvah, poudarja fiskalne reforme kot orodje politik za sistem določanja cen ob predhodnem ukinjanju okolju škodljivih subvencij in predpostavlja dostop do finančnih virov za vlaganja v zeleno gospodarstvo. Program predvideva nujno potrebne spremembe v politikah, obnašanju in upravljanju ter trajnostno upravljanje virov. Temelj njegove uspešnosti so strukturiran, aktiven in stalen dialog med deležniki, povezovanje dejavnosti in njihova nadgradnja, spodbujanje usmerjenih investicij, nova znanja in veščine ter njihov prenos v vsakodnevno prakso in delovanje. Zato je vzpostavitev </w:t>
      </w:r>
      <w:r w:rsidRPr="005771BD">
        <w:rPr>
          <w:rFonts w:cs="Arial"/>
          <w:b/>
          <w:szCs w:val="20"/>
          <w:lang w:val="sl-SI" w:eastAsia="sl-SI"/>
        </w:rPr>
        <w:t>partnerstva za zeleno gospodarstvo</w:t>
      </w:r>
      <w:r w:rsidRPr="005771BD">
        <w:rPr>
          <w:rFonts w:cs="Arial"/>
          <w:szCs w:val="20"/>
          <w:lang w:val="sl-SI" w:eastAsia="sl-SI"/>
        </w:rPr>
        <w:t xml:space="preserve"> eden ključnih ukrepov za izvajanje programa.  </w:t>
      </w:r>
    </w:p>
    <w:p w:rsidR="00427ED6" w:rsidRPr="005771BD" w:rsidRDefault="00427ED6" w:rsidP="00427ED6">
      <w:pPr>
        <w:spacing w:line="276" w:lineRule="auto"/>
        <w:jc w:val="both"/>
        <w:rPr>
          <w:rFonts w:cs="Arial"/>
          <w:szCs w:val="20"/>
          <w:lang w:val="sl-SI" w:eastAsia="sl-SI"/>
        </w:rPr>
      </w:pPr>
      <w:r w:rsidRPr="005771BD">
        <w:rPr>
          <w:rFonts w:cs="Arial"/>
          <w:bCs/>
          <w:szCs w:val="20"/>
          <w:lang w:val="sl-SI" w:eastAsia="sl-SI"/>
        </w:rPr>
        <w:t xml:space="preserve">OPZG temelji na zelenih politikah, ki se v Sloveniji že izvajajo, čeprav iz dostopnih podatkov in poročil izhaja, da je ponekod opaziti pomanjkanje njegovega izvajanja. Naslovi posameznih ključnih sklopov nakazujejo možnosti in politike za prehod v zeleno gospodarstvo: </w:t>
      </w:r>
    </w:p>
    <w:p w:rsidR="00427ED6" w:rsidRPr="005771BD" w:rsidRDefault="00427ED6" w:rsidP="00427ED6">
      <w:pPr>
        <w:numPr>
          <w:ilvl w:val="6"/>
          <w:numId w:val="18"/>
        </w:numPr>
        <w:tabs>
          <w:tab w:val="num" w:pos="0"/>
        </w:tabs>
        <w:spacing w:before="60" w:line="276" w:lineRule="auto"/>
        <w:ind w:left="425" w:hanging="425"/>
        <w:jc w:val="both"/>
        <w:rPr>
          <w:rFonts w:cs="Arial"/>
          <w:szCs w:val="20"/>
          <w:lang w:val="sl-SI" w:eastAsia="sl-SI"/>
        </w:rPr>
      </w:pPr>
      <w:r w:rsidRPr="005771BD">
        <w:rPr>
          <w:rFonts w:cs="Arial"/>
          <w:bCs/>
          <w:szCs w:val="20"/>
          <w:lang w:val="sl-SI" w:eastAsia="sl-SI"/>
        </w:rPr>
        <w:t>trajnostno upravljanje virov, ki obsega:</w:t>
      </w:r>
    </w:p>
    <w:p w:rsidR="00427ED6" w:rsidRPr="005771BD" w:rsidDel="00B92CD7" w:rsidRDefault="00427ED6" w:rsidP="00427ED6">
      <w:pPr>
        <w:numPr>
          <w:ilvl w:val="0"/>
          <w:numId w:val="27"/>
        </w:numPr>
        <w:spacing w:line="276" w:lineRule="auto"/>
        <w:ind w:left="851" w:hanging="284"/>
        <w:rPr>
          <w:rFonts w:cs="Arial"/>
          <w:szCs w:val="20"/>
          <w:lang w:val="sl-SI" w:eastAsia="sl-SI"/>
        </w:rPr>
      </w:pPr>
      <w:r w:rsidRPr="005771BD">
        <w:rPr>
          <w:rFonts w:cs="Arial"/>
          <w:bCs/>
          <w:szCs w:val="20"/>
          <w:lang w:val="sl-SI" w:eastAsia="sl-SI"/>
        </w:rPr>
        <w:t>s</w:t>
      </w:r>
      <w:r w:rsidRPr="005771BD" w:rsidDel="00B92CD7">
        <w:rPr>
          <w:rFonts w:cs="Arial"/>
          <w:bCs/>
          <w:szCs w:val="20"/>
          <w:lang w:val="sl-SI" w:eastAsia="sl-SI"/>
        </w:rPr>
        <w:t>podbujanje spreminjanja odpadkov v vir</w:t>
      </w:r>
      <w:r w:rsidRPr="005771BD">
        <w:rPr>
          <w:rFonts w:cs="Arial"/>
          <w:bCs/>
          <w:szCs w:val="20"/>
          <w:lang w:val="sl-SI" w:eastAsia="sl-SI"/>
        </w:rPr>
        <w:t>,</w:t>
      </w:r>
      <w:r w:rsidRPr="005771BD" w:rsidDel="00B92CD7">
        <w:rPr>
          <w:rFonts w:cs="Arial"/>
          <w:bCs/>
          <w:szCs w:val="20"/>
          <w:lang w:val="sl-SI" w:eastAsia="sl-SI"/>
        </w:rPr>
        <w:t xml:space="preserve"> </w:t>
      </w:r>
    </w:p>
    <w:p w:rsidR="00427ED6" w:rsidRPr="005771BD" w:rsidDel="00B92CD7" w:rsidRDefault="00427ED6" w:rsidP="00427ED6">
      <w:pPr>
        <w:numPr>
          <w:ilvl w:val="0"/>
          <w:numId w:val="27"/>
        </w:numPr>
        <w:spacing w:line="276" w:lineRule="auto"/>
        <w:ind w:left="851" w:hanging="284"/>
        <w:rPr>
          <w:rFonts w:cs="Arial"/>
          <w:szCs w:val="20"/>
          <w:lang w:val="sl-SI" w:eastAsia="sl-SI"/>
        </w:rPr>
      </w:pPr>
      <w:r w:rsidRPr="005771BD">
        <w:rPr>
          <w:rFonts w:cs="Arial"/>
          <w:bCs/>
          <w:szCs w:val="20"/>
          <w:lang w:val="sl-SI" w:eastAsia="sl-SI"/>
        </w:rPr>
        <w:t>p</w:t>
      </w:r>
      <w:r w:rsidRPr="005771BD" w:rsidDel="00B92CD7">
        <w:rPr>
          <w:rFonts w:cs="Arial"/>
          <w:bCs/>
          <w:szCs w:val="20"/>
          <w:lang w:val="sl-SI" w:eastAsia="sl-SI"/>
        </w:rPr>
        <w:t xml:space="preserve">rostor kot vir in </w:t>
      </w:r>
      <w:r w:rsidRPr="005771BD">
        <w:rPr>
          <w:rFonts w:cs="Arial"/>
          <w:bCs/>
          <w:szCs w:val="20"/>
          <w:lang w:val="sl-SI" w:eastAsia="sl-SI"/>
        </w:rPr>
        <w:t>možnost,</w:t>
      </w:r>
    </w:p>
    <w:p w:rsidR="00427ED6" w:rsidRPr="005771BD" w:rsidDel="00B92CD7" w:rsidRDefault="00427ED6" w:rsidP="00427ED6">
      <w:pPr>
        <w:numPr>
          <w:ilvl w:val="0"/>
          <w:numId w:val="27"/>
        </w:numPr>
        <w:spacing w:line="276" w:lineRule="auto"/>
        <w:ind w:left="851" w:hanging="284"/>
        <w:rPr>
          <w:rFonts w:cs="Arial"/>
          <w:szCs w:val="20"/>
          <w:lang w:val="sl-SI" w:eastAsia="sl-SI"/>
        </w:rPr>
      </w:pPr>
      <w:r w:rsidRPr="005771BD">
        <w:rPr>
          <w:rFonts w:cs="Arial"/>
          <w:bCs/>
          <w:szCs w:val="20"/>
          <w:lang w:val="sl-SI" w:eastAsia="sl-SI"/>
        </w:rPr>
        <w:t>u</w:t>
      </w:r>
      <w:r w:rsidRPr="005771BD" w:rsidDel="00B92CD7">
        <w:rPr>
          <w:rFonts w:cs="Arial"/>
          <w:bCs/>
          <w:szCs w:val="20"/>
          <w:lang w:val="sl-SI" w:eastAsia="sl-SI"/>
        </w:rPr>
        <w:t>pravljanje voda</w:t>
      </w:r>
      <w:r w:rsidRPr="005771BD">
        <w:rPr>
          <w:rFonts w:cs="Arial"/>
          <w:bCs/>
          <w:szCs w:val="20"/>
          <w:lang w:val="sl-SI" w:eastAsia="sl-SI"/>
        </w:rPr>
        <w:t>,</w:t>
      </w:r>
      <w:r w:rsidRPr="005771BD" w:rsidDel="00B92CD7">
        <w:rPr>
          <w:rFonts w:cs="Arial"/>
          <w:bCs/>
          <w:szCs w:val="20"/>
          <w:lang w:val="sl-SI" w:eastAsia="sl-SI"/>
        </w:rPr>
        <w:t xml:space="preserve"> </w:t>
      </w:r>
    </w:p>
    <w:p w:rsidR="00427ED6" w:rsidRPr="005771BD" w:rsidDel="00B92CD7" w:rsidRDefault="00427ED6" w:rsidP="00427ED6">
      <w:pPr>
        <w:numPr>
          <w:ilvl w:val="0"/>
          <w:numId w:val="27"/>
        </w:numPr>
        <w:spacing w:line="276" w:lineRule="auto"/>
        <w:ind w:left="851" w:hanging="284"/>
        <w:rPr>
          <w:rFonts w:cs="Arial"/>
          <w:szCs w:val="20"/>
          <w:lang w:val="sl-SI" w:eastAsia="sl-SI"/>
        </w:rPr>
      </w:pPr>
      <w:r w:rsidRPr="005771BD">
        <w:rPr>
          <w:rFonts w:cs="Arial"/>
          <w:bCs/>
          <w:szCs w:val="20"/>
          <w:lang w:val="sl-SI" w:eastAsia="sl-SI"/>
        </w:rPr>
        <w:t>u</w:t>
      </w:r>
      <w:r w:rsidRPr="005771BD" w:rsidDel="00B92CD7">
        <w:rPr>
          <w:rFonts w:cs="Arial"/>
          <w:bCs/>
          <w:szCs w:val="20"/>
          <w:lang w:val="sl-SI" w:eastAsia="sl-SI"/>
        </w:rPr>
        <w:t>pravljanje območ</w:t>
      </w:r>
      <w:r w:rsidRPr="005771BD">
        <w:rPr>
          <w:rFonts w:cs="Arial"/>
          <w:bCs/>
          <w:szCs w:val="20"/>
          <w:lang w:val="sl-SI" w:eastAsia="sl-SI"/>
        </w:rPr>
        <w:t>ij</w:t>
      </w:r>
      <w:r w:rsidRPr="005771BD" w:rsidDel="00B92CD7">
        <w:rPr>
          <w:rFonts w:cs="Arial"/>
          <w:bCs/>
          <w:szCs w:val="20"/>
          <w:lang w:val="sl-SI" w:eastAsia="sl-SI"/>
        </w:rPr>
        <w:t xml:space="preserve"> varstva narave</w:t>
      </w:r>
      <w:r w:rsidRPr="005771BD">
        <w:rPr>
          <w:rFonts w:cs="Arial"/>
          <w:bCs/>
          <w:szCs w:val="20"/>
          <w:lang w:val="sl-SI" w:eastAsia="sl-SI"/>
        </w:rPr>
        <w:t>,</w:t>
      </w:r>
      <w:r w:rsidRPr="005771BD" w:rsidDel="00B92CD7">
        <w:rPr>
          <w:rFonts w:cs="Arial"/>
          <w:bCs/>
          <w:szCs w:val="20"/>
          <w:lang w:val="sl-SI" w:eastAsia="sl-SI"/>
        </w:rPr>
        <w:t xml:space="preserve"> </w:t>
      </w:r>
    </w:p>
    <w:p w:rsidR="00427ED6" w:rsidRPr="005771BD" w:rsidDel="00B92CD7" w:rsidRDefault="00427ED6" w:rsidP="00427ED6">
      <w:pPr>
        <w:numPr>
          <w:ilvl w:val="0"/>
          <w:numId w:val="27"/>
        </w:numPr>
        <w:spacing w:line="276" w:lineRule="auto"/>
        <w:ind w:left="851" w:hanging="284"/>
        <w:rPr>
          <w:rFonts w:cs="Arial"/>
          <w:szCs w:val="20"/>
          <w:lang w:val="sl-SI" w:eastAsia="sl-SI"/>
        </w:rPr>
      </w:pPr>
      <w:r w:rsidRPr="005771BD">
        <w:rPr>
          <w:rFonts w:cs="Arial"/>
          <w:bCs/>
          <w:szCs w:val="20"/>
          <w:lang w:val="sl-SI" w:eastAsia="sl-SI"/>
        </w:rPr>
        <w:t>t</w:t>
      </w:r>
      <w:r w:rsidRPr="005771BD" w:rsidDel="00B92CD7">
        <w:rPr>
          <w:rFonts w:cs="Arial"/>
          <w:bCs/>
          <w:szCs w:val="20"/>
          <w:lang w:val="sl-SI" w:eastAsia="sl-SI"/>
        </w:rPr>
        <w:t>rajnostno upravljanje gozd</w:t>
      </w:r>
      <w:r w:rsidRPr="005771BD">
        <w:rPr>
          <w:rFonts w:cs="Arial"/>
          <w:bCs/>
          <w:szCs w:val="20"/>
          <w:lang w:val="sl-SI" w:eastAsia="sl-SI"/>
        </w:rPr>
        <w:t>a,</w:t>
      </w:r>
      <w:r w:rsidRPr="005771BD" w:rsidDel="00B92CD7">
        <w:rPr>
          <w:rFonts w:cs="Arial"/>
          <w:bCs/>
          <w:szCs w:val="20"/>
          <w:lang w:val="sl-SI" w:eastAsia="sl-SI"/>
        </w:rPr>
        <w:t xml:space="preserve"> </w:t>
      </w:r>
    </w:p>
    <w:p w:rsidR="00427ED6" w:rsidRPr="005771BD" w:rsidDel="00B92CD7" w:rsidRDefault="00427ED6" w:rsidP="00427ED6">
      <w:pPr>
        <w:numPr>
          <w:ilvl w:val="0"/>
          <w:numId w:val="27"/>
        </w:numPr>
        <w:spacing w:line="276" w:lineRule="auto"/>
        <w:ind w:left="851" w:hanging="284"/>
        <w:rPr>
          <w:rFonts w:cs="Arial"/>
          <w:szCs w:val="20"/>
          <w:lang w:val="sl-SI" w:eastAsia="sl-SI"/>
        </w:rPr>
      </w:pPr>
      <w:r w:rsidRPr="005771BD">
        <w:rPr>
          <w:rFonts w:cs="Arial"/>
          <w:bCs/>
          <w:szCs w:val="20"/>
          <w:lang w:val="sl-SI" w:eastAsia="sl-SI"/>
        </w:rPr>
        <w:t>l</w:t>
      </w:r>
      <w:r w:rsidRPr="005771BD" w:rsidDel="00B92CD7">
        <w:rPr>
          <w:rFonts w:cs="Arial"/>
          <w:bCs/>
          <w:szCs w:val="20"/>
          <w:lang w:val="sl-SI" w:eastAsia="sl-SI"/>
        </w:rPr>
        <w:t>es kot vir za trajnostni razvoj gospodarstva</w:t>
      </w:r>
      <w:r w:rsidRPr="005771BD">
        <w:rPr>
          <w:rFonts w:cs="Arial"/>
          <w:bCs/>
          <w:szCs w:val="20"/>
          <w:lang w:val="sl-SI" w:eastAsia="sl-SI"/>
        </w:rPr>
        <w:t>,</w:t>
      </w:r>
      <w:r w:rsidRPr="005771BD" w:rsidDel="00B92CD7">
        <w:rPr>
          <w:rFonts w:cs="Arial"/>
          <w:bCs/>
          <w:szCs w:val="20"/>
          <w:lang w:val="sl-SI" w:eastAsia="sl-SI"/>
        </w:rPr>
        <w:t xml:space="preserve"> </w:t>
      </w:r>
    </w:p>
    <w:p w:rsidR="00427ED6" w:rsidRPr="005771BD" w:rsidDel="00B92CD7" w:rsidRDefault="00427ED6" w:rsidP="00427ED6">
      <w:pPr>
        <w:numPr>
          <w:ilvl w:val="0"/>
          <w:numId w:val="27"/>
        </w:numPr>
        <w:spacing w:line="276" w:lineRule="auto"/>
        <w:ind w:left="851" w:hanging="284"/>
        <w:rPr>
          <w:rFonts w:cs="Arial"/>
          <w:szCs w:val="20"/>
          <w:lang w:val="sl-SI" w:eastAsia="sl-SI"/>
        </w:rPr>
      </w:pPr>
      <w:r w:rsidRPr="005771BD">
        <w:rPr>
          <w:rFonts w:cs="Arial"/>
          <w:bCs/>
          <w:szCs w:val="20"/>
          <w:lang w:val="sl-SI" w:eastAsia="sl-SI"/>
        </w:rPr>
        <w:t>t</w:t>
      </w:r>
      <w:r w:rsidRPr="005771BD" w:rsidDel="00B92CD7">
        <w:rPr>
          <w:rFonts w:cs="Arial"/>
          <w:bCs/>
          <w:szCs w:val="20"/>
          <w:lang w:val="sl-SI" w:eastAsia="sl-SI"/>
        </w:rPr>
        <w:t>rajnostno upravljanje vir</w:t>
      </w:r>
      <w:r w:rsidRPr="005771BD">
        <w:rPr>
          <w:rFonts w:cs="Arial"/>
          <w:bCs/>
          <w:szCs w:val="20"/>
          <w:lang w:val="sl-SI" w:eastAsia="sl-SI"/>
        </w:rPr>
        <w:t>ov</w:t>
      </w:r>
      <w:r w:rsidRPr="005771BD" w:rsidDel="00B92CD7">
        <w:rPr>
          <w:rFonts w:cs="Arial"/>
          <w:bCs/>
          <w:szCs w:val="20"/>
          <w:lang w:val="sl-SI" w:eastAsia="sl-SI"/>
        </w:rPr>
        <w:t xml:space="preserve"> kot priložnost za večjo socialno vključenost</w:t>
      </w:r>
      <w:r w:rsidRPr="005771BD">
        <w:rPr>
          <w:rFonts w:cs="Arial"/>
          <w:bCs/>
          <w:szCs w:val="20"/>
          <w:lang w:val="sl-SI" w:eastAsia="sl-SI"/>
        </w:rPr>
        <w:t>;</w:t>
      </w:r>
    </w:p>
    <w:p w:rsidR="00427ED6" w:rsidRPr="005771BD" w:rsidRDefault="00427ED6" w:rsidP="00427ED6">
      <w:pPr>
        <w:numPr>
          <w:ilvl w:val="6"/>
          <w:numId w:val="18"/>
        </w:numPr>
        <w:tabs>
          <w:tab w:val="num" w:pos="0"/>
        </w:tabs>
        <w:spacing w:before="60" w:line="276" w:lineRule="auto"/>
        <w:ind w:left="425" w:hanging="425"/>
        <w:jc w:val="both"/>
        <w:rPr>
          <w:rFonts w:cs="Arial"/>
          <w:szCs w:val="20"/>
          <w:lang w:val="sl-SI" w:eastAsia="sl-SI"/>
        </w:rPr>
      </w:pPr>
      <w:r w:rsidRPr="005771BD">
        <w:rPr>
          <w:rFonts w:cs="Arial"/>
          <w:bCs/>
          <w:szCs w:val="20"/>
          <w:lang w:val="sl-SI" w:eastAsia="sl-SI"/>
        </w:rPr>
        <w:t>zelena rast gospodarstva;</w:t>
      </w:r>
    </w:p>
    <w:p w:rsidR="00427ED6" w:rsidRPr="005771BD" w:rsidRDefault="00427ED6" w:rsidP="00427ED6">
      <w:pPr>
        <w:numPr>
          <w:ilvl w:val="6"/>
          <w:numId w:val="18"/>
        </w:numPr>
        <w:tabs>
          <w:tab w:val="num" w:pos="0"/>
          <w:tab w:val="left" w:pos="708"/>
          <w:tab w:val="left" w:pos="1416"/>
          <w:tab w:val="left" w:pos="2124"/>
          <w:tab w:val="left" w:pos="2832"/>
          <w:tab w:val="left" w:pos="3540"/>
          <w:tab w:val="left" w:pos="6461"/>
        </w:tabs>
        <w:spacing w:before="60" w:line="276" w:lineRule="auto"/>
        <w:ind w:left="425" w:hanging="425"/>
        <w:jc w:val="both"/>
        <w:rPr>
          <w:rFonts w:cs="Arial"/>
          <w:szCs w:val="20"/>
          <w:lang w:val="sl-SI" w:eastAsia="sl-SI"/>
        </w:rPr>
      </w:pPr>
      <w:r w:rsidRPr="005771BD">
        <w:rPr>
          <w:rFonts w:cs="Arial"/>
          <w:bCs/>
          <w:szCs w:val="20"/>
          <w:lang w:val="sl-SI" w:eastAsia="sl-SI"/>
        </w:rPr>
        <w:t>spodbujanje zaposlovanja na zelenih delovnih mestih in usposabljanje oseb na trgu dela za potrebe zelenega gospodarstva;</w:t>
      </w:r>
    </w:p>
    <w:p w:rsidR="00427ED6" w:rsidRPr="005771BD" w:rsidRDefault="00427ED6" w:rsidP="00427ED6">
      <w:pPr>
        <w:numPr>
          <w:ilvl w:val="6"/>
          <w:numId w:val="18"/>
        </w:numPr>
        <w:spacing w:before="60" w:line="276" w:lineRule="auto"/>
        <w:ind w:left="425" w:hanging="425"/>
        <w:jc w:val="both"/>
        <w:rPr>
          <w:rFonts w:cs="Arial"/>
          <w:szCs w:val="20"/>
          <w:lang w:val="sl-SI" w:eastAsia="sl-SI"/>
        </w:rPr>
      </w:pPr>
      <w:r w:rsidRPr="005771BD">
        <w:rPr>
          <w:rFonts w:cs="Arial"/>
          <w:bCs/>
          <w:szCs w:val="20"/>
          <w:lang w:val="sl-SI" w:eastAsia="sl-SI"/>
        </w:rPr>
        <w:t>spodbujanje povpraševanja po zelenih izdelkih, zeleno javno naročanje;</w:t>
      </w:r>
    </w:p>
    <w:p w:rsidR="00427ED6" w:rsidRPr="005771BD" w:rsidRDefault="00427ED6" w:rsidP="00427ED6">
      <w:pPr>
        <w:numPr>
          <w:ilvl w:val="6"/>
          <w:numId w:val="18"/>
        </w:numPr>
        <w:spacing w:before="60" w:line="276" w:lineRule="auto"/>
        <w:ind w:left="425" w:hanging="425"/>
        <w:jc w:val="both"/>
        <w:rPr>
          <w:rFonts w:cs="Arial"/>
          <w:szCs w:val="20"/>
          <w:lang w:val="sl-SI" w:eastAsia="sl-SI"/>
        </w:rPr>
      </w:pPr>
      <w:r w:rsidRPr="005771BD">
        <w:rPr>
          <w:rFonts w:cs="Arial"/>
          <w:bCs/>
          <w:szCs w:val="20"/>
          <w:lang w:val="sl-SI" w:eastAsia="sl-SI"/>
        </w:rPr>
        <w:t>zelena proračunska reforma;</w:t>
      </w:r>
    </w:p>
    <w:p w:rsidR="00427ED6" w:rsidRPr="005771BD" w:rsidRDefault="00427ED6" w:rsidP="00427ED6">
      <w:pPr>
        <w:numPr>
          <w:ilvl w:val="6"/>
          <w:numId w:val="18"/>
        </w:numPr>
        <w:spacing w:before="60" w:line="276" w:lineRule="auto"/>
        <w:ind w:left="425" w:hanging="425"/>
        <w:jc w:val="both"/>
        <w:rPr>
          <w:rFonts w:cs="Arial"/>
          <w:szCs w:val="20"/>
          <w:lang w:val="sl-SI" w:eastAsia="sl-SI"/>
        </w:rPr>
      </w:pPr>
      <w:r w:rsidRPr="005771BD">
        <w:rPr>
          <w:rFonts w:cs="Arial"/>
          <w:bCs/>
          <w:szCs w:val="20"/>
          <w:lang w:val="sl-SI" w:eastAsia="sl-SI"/>
        </w:rPr>
        <w:t>trajnostni urbani razvoj;</w:t>
      </w:r>
    </w:p>
    <w:p w:rsidR="00427ED6" w:rsidRPr="005771BD" w:rsidRDefault="00427ED6" w:rsidP="00427ED6">
      <w:pPr>
        <w:numPr>
          <w:ilvl w:val="6"/>
          <w:numId w:val="18"/>
        </w:numPr>
        <w:spacing w:before="60" w:line="276" w:lineRule="auto"/>
        <w:ind w:left="425" w:hanging="425"/>
        <w:jc w:val="both"/>
        <w:rPr>
          <w:rFonts w:cs="Arial"/>
          <w:szCs w:val="20"/>
          <w:lang w:val="sl-SI" w:eastAsia="sl-SI"/>
        </w:rPr>
      </w:pPr>
      <w:r w:rsidRPr="008E5737">
        <w:rPr>
          <w:rFonts w:cs="Arial"/>
          <w:bCs/>
          <w:szCs w:val="20"/>
          <w:lang w:val="sl-SI" w:eastAsia="sl-SI"/>
        </w:rPr>
        <w:t>dejavnosti javnega sektorja, ki so zgled;</w:t>
      </w:r>
    </w:p>
    <w:p w:rsidR="00427ED6" w:rsidRPr="005771BD" w:rsidRDefault="00427ED6" w:rsidP="00427ED6">
      <w:pPr>
        <w:numPr>
          <w:ilvl w:val="6"/>
          <w:numId w:val="18"/>
        </w:numPr>
        <w:spacing w:before="60" w:line="276" w:lineRule="auto"/>
        <w:ind w:left="425" w:hanging="425"/>
        <w:jc w:val="both"/>
        <w:rPr>
          <w:rFonts w:cs="Arial"/>
          <w:szCs w:val="20"/>
          <w:lang w:val="sl-SI" w:eastAsia="sl-SI"/>
        </w:rPr>
      </w:pPr>
      <w:r w:rsidRPr="008E5737">
        <w:rPr>
          <w:rFonts w:cs="Arial"/>
          <w:bCs/>
          <w:szCs w:val="20"/>
          <w:lang w:val="sl-SI" w:eastAsia="sl-SI"/>
        </w:rPr>
        <w:t>izobraževanje in usposabljanje za zeleno gospodarstvo;</w:t>
      </w:r>
    </w:p>
    <w:p w:rsidR="00427ED6" w:rsidRPr="005771BD" w:rsidRDefault="00427ED6" w:rsidP="00427ED6">
      <w:pPr>
        <w:numPr>
          <w:ilvl w:val="6"/>
          <w:numId w:val="18"/>
        </w:numPr>
        <w:spacing w:before="60" w:line="276" w:lineRule="auto"/>
        <w:ind w:left="425" w:hanging="425"/>
        <w:jc w:val="both"/>
        <w:rPr>
          <w:rFonts w:cs="Arial"/>
          <w:szCs w:val="20"/>
          <w:lang w:val="sl-SI" w:eastAsia="sl-SI"/>
        </w:rPr>
      </w:pPr>
      <w:r w:rsidRPr="005771BD">
        <w:rPr>
          <w:rFonts w:cs="Arial"/>
          <w:bCs/>
          <w:szCs w:val="20"/>
          <w:lang w:val="sl-SI" w:eastAsia="sl-SI"/>
        </w:rPr>
        <w:t xml:space="preserve">zelene prakse v kmetijstvu; </w:t>
      </w:r>
    </w:p>
    <w:p w:rsidR="00427ED6" w:rsidRPr="005771BD" w:rsidRDefault="00427ED6" w:rsidP="00427ED6">
      <w:pPr>
        <w:numPr>
          <w:ilvl w:val="6"/>
          <w:numId w:val="18"/>
        </w:numPr>
        <w:spacing w:before="60" w:after="200" w:line="276" w:lineRule="auto"/>
        <w:ind w:left="425" w:hanging="425"/>
        <w:rPr>
          <w:rFonts w:cs="Arial"/>
          <w:szCs w:val="20"/>
          <w:lang w:val="sl-SI" w:eastAsia="sl-SI"/>
        </w:rPr>
      </w:pPr>
      <w:r w:rsidRPr="005771BD">
        <w:rPr>
          <w:rFonts w:cs="Arial"/>
          <w:bCs/>
          <w:szCs w:val="20"/>
          <w:lang w:val="sl-SI" w:eastAsia="sl-SI"/>
        </w:rPr>
        <w:t>podporne dejavnosti.</w:t>
      </w:r>
    </w:p>
    <w:p w:rsidR="00427ED6" w:rsidRPr="005771BD" w:rsidRDefault="00427ED6" w:rsidP="00427ED6">
      <w:pPr>
        <w:spacing w:after="200" w:line="276" w:lineRule="auto"/>
        <w:jc w:val="both"/>
        <w:rPr>
          <w:rFonts w:cs="Arial"/>
          <w:szCs w:val="20"/>
          <w:lang w:val="sl-SI" w:eastAsia="sl-SI"/>
        </w:rPr>
      </w:pPr>
      <w:r w:rsidRPr="005771BD">
        <w:rPr>
          <w:rFonts w:cs="Arial"/>
          <w:bCs/>
          <w:szCs w:val="20"/>
          <w:lang w:val="sl-SI" w:eastAsia="sl-SI"/>
        </w:rPr>
        <w:t xml:space="preserve">Sklop </w:t>
      </w:r>
      <w:r w:rsidRPr="005771BD">
        <w:rPr>
          <w:rFonts w:cs="Arial"/>
          <w:b/>
          <w:bCs/>
          <w:szCs w:val="20"/>
          <w:lang w:val="sl-SI" w:eastAsia="sl-SI"/>
        </w:rPr>
        <w:t>zelena rast gospodarstva</w:t>
      </w:r>
      <w:r w:rsidRPr="005771BD">
        <w:rPr>
          <w:rFonts w:cs="Arial"/>
          <w:bCs/>
          <w:szCs w:val="20"/>
          <w:lang w:val="sl-SI" w:eastAsia="sl-SI"/>
        </w:rPr>
        <w:t xml:space="preserve"> podpira </w:t>
      </w:r>
      <w:r w:rsidRPr="005771BD">
        <w:rPr>
          <w:rFonts w:cs="Arial"/>
          <w:b/>
          <w:szCs w:val="20"/>
          <w:lang w:val="sl-SI" w:eastAsia="sl-SI"/>
        </w:rPr>
        <w:t>strategija pametne specializacije</w:t>
      </w:r>
      <w:r w:rsidRPr="005771BD">
        <w:rPr>
          <w:rFonts w:cs="Arial"/>
          <w:szCs w:val="20"/>
          <w:lang w:val="sl-SI" w:eastAsia="sl-SI"/>
        </w:rPr>
        <w:t xml:space="preserve"> (S4)</w:t>
      </w:r>
      <w:r w:rsidRPr="005771BD">
        <w:rPr>
          <w:rFonts w:cs="Arial"/>
          <w:szCs w:val="20"/>
          <w:vertAlign w:val="superscript"/>
          <w:lang w:val="sl-SI" w:eastAsia="sl-SI"/>
        </w:rPr>
        <w:footnoteReference w:id="12"/>
      </w:r>
      <w:r w:rsidRPr="005771BD">
        <w:rPr>
          <w:rFonts w:cs="Arial"/>
          <w:bCs/>
          <w:szCs w:val="20"/>
          <w:lang w:val="sl-SI" w:eastAsia="sl-SI"/>
        </w:rPr>
        <w:t>, ki je bila pripravljena kot eden od pogojev za črpanje evropskih sredstev</w:t>
      </w:r>
      <w:r>
        <w:rPr>
          <w:rFonts w:cs="Arial"/>
          <w:bCs/>
          <w:szCs w:val="20"/>
          <w:lang w:val="sl-SI" w:eastAsia="sl-SI"/>
        </w:rPr>
        <w:t xml:space="preserve"> in</w:t>
      </w:r>
      <w:r w:rsidRPr="005771BD">
        <w:rPr>
          <w:rFonts w:cs="Arial"/>
          <w:bCs/>
          <w:szCs w:val="20"/>
          <w:lang w:val="sl-SI" w:eastAsia="sl-SI"/>
        </w:rPr>
        <w:t xml:space="preserve"> temelji na več sektorskih dokumentih</w:t>
      </w:r>
      <w:r w:rsidRPr="005771BD">
        <w:rPr>
          <w:rFonts w:cs="Arial"/>
          <w:bCs/>
          <w:szCs w:val="20"/>
          <w:vertAlign w:val="superscript"/>
          <w:lang w:val="sl-SI" w:eastAsia="sl-SI"/>
        </w:rPr>
        <w:footnoteReference w:id="13"/>
      </w:r>
      <w:r w:rsidRPr="005771BD">
        <w:rPr>
          <w:rFonts w:cs="Arial"/>
          <w:bCs/>
          <w:szCs w:val="20"/>
          <w:lang w:val="sl-SI" w:eastAsia="sl-SI"/>
        </w:rPr>
        <w:t xml:space="preserve">. </w:t>
      </w:r>
      <w:r w:rsidRPr="005771BD">
        <w:rPr>
          <w:rFonts w:cs="Arial"/>
          <w:szCs w:val="20"/>
          <w:lang w:val="sl-SI" w:eastAsia="sl-SI"/>
        </w:rPr>
        <w:t xml:space="preserve">Strategija pametne specializacije je platforma za osredotočenje razvojnih vlaganj na področja, kjer ima Slovenija kritično maso znanja, zmogljivosti in kompetence in na katerih ima inovacijske možnosti za uvrstitev na svetovne trge ter s tem za krepitev svoje prepoznavnosti. Temelj na znanju in inovacijah temelječe družbe in konkurenčnosti gospodarstva so ljudje ter njihova ključna znanja in kompetence. </w:t>
      </w:r>
    </w:p>
    <w:p w:rsidR="00427ED6" w:rsidRPr="005771BD" w:rsidRDefault="00427ED6" w:rsidP="00427ED6">
      <w:pPr>
        <w:spacing w:line="276" w:lineRule="auto"/>
        <w:jc w:val="both"/>
        <w:rPr>
          <w:rFonts w:cs="Arial"/>
          <w:szCs w:val="20"/>
          <w:lang w:val="sl-SI" w:eastAsia="sl-SI"/>
        </w:rPr>
      </w:pPr>
      <w:r w:rsidRPr="005771BD">
        <w:rPr>
          <w:rFonts w:cs="Arial"/>
          <w:szCs w:val="20"/>
          <w:lang w:val="sl-SI" w:eastAsia="sl-SI"/>
        </w:rPr>
        <w:t>Poudarke zelenega gospodarstva je mogoče prepoznati že v uvodni viziji dokumenta: »S4 bo strateško usmerjena v TRAJNOSTNE TEHNOLOGIJE IN STORITVE ZA ZDRAVO ŽIVLJENJE, ki naj Slovenijo umestijo kot zeleno, aktivno, zdravo in digitalno regijo z vrhunskimi pogoji za ustvarjanje in inoviranje, usmerjeno v razvoj srednje in visoko tehnoloških rešitev na nišnih področjih. Na prednostnih nišnih področjih bo Slovenija prešla od sledilca v soustvarjalca globalnih trendov, kar je poslanstvo S4.« Podlaga za osredotočeno vlaganje sredstev v raziskave, razvoj in inovacije</w:t>
      </w:r>
      <w:r w:rsidRPr="005771BD">
        <w:rPr>
          <w:rFonts w:cs="Arial"/>
          <w:szCs w:val="20"/>
          <w:vertAlign w:val="superscript"/>
          <w:lang w:val="sl-SI" w:eastAsia="sl-SI"/>
        </w:rPr>
        <w:footnoteReference w:id="14"/>
      </w:r>
      <w:r w:rsidRPr="005771BD">
        <w:rPr>
          <w:rFonts w:cs="Arial"/>
          <w:szCs w:val="20"/>
          <w:lang w:val="sl-SI" w:eastAsia="sl-SI"/>
        </w:rPr>
        <w:t xml:space="preserve"> so prednostna področja uporabe S4, ki na operativni ravni usmerjajo v trajnostne tehnologije in storitve: </w:t>
      </w:r>
    </w:p>
    <w:p w:rsidR="00427ED6" w:rsidRPr="005771BD" w:rsidRDefault="00427ED6" w:rsidP="00427ED6">
      <w:pPr>
        <w:spacing w:before="60" w:line="276" w:lineRule="auto"/>
        <w:jc w:val="both"/>
        <w:rPr>
          <w:rFonts w:cs="Arial"/>
          <w:szCs w:val="20"/>
          <w:lang w:val="sl-SI" w:eastAsia="sl-SI"/>
        </w:rPr>
      </w:pPr>
      <w:r w:rsidRPr="005771BD">
        <w:rPr>
          <w:rFonts w:cs="Arial"/>
          <w:szCs w:val="20"/>
          <w:lang w:val="sl-SI" w:eastAsia="sl-SI"/>
        </w:rPr>
        <w:t xml:space="preserve">1. </w:t>
      </w:r>
      <w:r w:rsidRPr="005771BD">
        <w:rPr>
          <w:rFonts w:cs="Arial"/>
          <w:szCs w:val="20"/>
          <w:u w:val="single"/>
          <w:lang w:val="sl-SI" w:eastAsia="sl-SI"/>
        </w:rPr>
        <w:t>zdravo bivalno in delovno okolje</w:t>
      </w:r>
      <w:r w:rsidRPr="005771BD">
        <w:rPr>
          <w:rFonts w:cs="Arial"/>
          <w:szCs w:val="20"/>
          <w:lang w:val="sl-SI" w:eastAsia="sl-SI"/>
        </w:rPr>
        <w:t xml:space="preserve"> s koncepti »pametnih mest in skupnosti« ter »pametnih zgradb in domov z lesno verigo«,</w:t>
      </w:r>
    </w:p>
    <w:p w:rsidR="00427ED6" w:rsidRPr="005771BD" w:rsidRDefault="00427ED6" w:rsidP="00427ED6">
      <w:pPr>
        <w:spacing w:before="60" w:line="276" w:lineRule="auto"/>
        <w:jc w:val="both"/>
        <w:rPr>
          <w:rFonts w:cs="Arial"/>
          <w:szCs w:val="20"/>
          <w:lang w:val="sl-SI" w:eastAsia="sl-SI"/>
        </w:rPr>
      </w:pPr>
      <w:r w:rsidRPr="005771BD">
        <w:rPr>
          <w:rFonts w:cs="Arial"/>
          <w:szCs w:val="20"/>
          <w:lang w:val="sl-SI" w:eastAsia="sl-SI"/>
        </w:rPr>
        <w:t xml:space="preserve">2. </w:t>
      </w:r>
      <w:r w:rsidRPr="005771BD">
        <w:rPr>
          <w:rFonts w:cs="Arial"/>
          <w:szCs w:val="20"/>
          <w:u w:val="single"/>
          <w:lang w:val="sl-SI" w:eastAsia="sl-SI"/>
        </w:rPr>
        <w:t>naravni in tradicionalni viri za prihodnost</w:t>
      </w:r>
      <w:r w:rsidRPr="005771BD">
        <w:rPr>
          <w:rFonts w:cs="Arial"/>
          <w:szCs w:val="20"/>
          <w:lang w:val="sl-SI" w:eastAsia="sl-SI"/>
        </w:rPr>
        <w:t xml:space="preserve"> s trajnostno pridelavo hrane in trajnostnim turizmom ter mrežami za prehod v krožno gospodarstvo,</w:t>
      </w:r>
    </w:p>
    <w:p w:rsidR="00427ED6" w:rsidRPr="005771BD" w:rsidRDefault="00427ED6" w:rsidP="00427ED6">
      <w:pPr>
        <w:spacing w:before="60" w:line="276" w:lineRule="auto"/>
        <w:jc w:val="both"/>
        <w:rPr>
          <w:rFonts w:cs="Arial"/>
          <w:szCs w:val="20"/>
          <w:lang w:val="sl-SI" w:eastAsia="sl-SI"/>
        </w:rPr>
      </w:pPr>
      <w:r w:rsidRPr="005771BD">
        <w:rPr>
          <w:rFonts w:cs="Arial"/>
          <w:szCs w:val="20"/>
          <w:lang w:val="sl-SI" w:eastAsia="sl-SI"/>
        </w:rPr>
        <w:t xml:space="preserve">3. </w:t>
      </w:r>
      <w:r w:rsidRPr="005771BD">
        <w:rPr>
          <w:rFonts w:cs="Arial"/>
          <w:szCs w:val="20"/>
          <w:u w:val="single"/>
          <w:lang w:val="sl-SI" w:eastAsia="sl-SI"/>
        </w:rPr>
        <w:t>(s)industrija 4.0</w:t>
      </w:r>
      <w:r w:rsidRPr="005771BD">
        <w:rPr>
          <w:rFonts w:cs="Arial"/>
          <w:szCs w:val="20"/>
          <w:lang w:val="sl-SI" w:eastAsia="sl-SI"/>
        </w:rPr>
        <w:t xml:space="preserve"> z vlaganji v tovarne prihodnosti, zdravje – medicino, mobilnost in razvoj materialov kot končnih produktov.</w:t>
      </w:r>
    </w:p>
    <w:p w:rsidR="00427ED6" w:rsidRPr="005771BD" w:rsidRDefault="00427ED6" w:rsidP="00427ED6">
      <w:pPr>
        <w:spacing w:after="200" w:line="276" w:lineRule="auto"/>
        <w:rPr>
          <w:rFonts w:cs="Arial"/>
          <w:b/>
          <w:szCs w:val="20"/>
          <w:highlight w:val="green"/>
          <w:lang w:val="sl-SI" w:eastAsia="sl-SI"/>
        </w:rPr>
      </w:pPr>
    </w:p>
    <w:p w:rsidR="00427ED6" w:rsidRPr="005771BD" w:rsidRDefault="00786EDB" w:rsidP="00427ED6">
      <w:pPr>
        <w:autoSpaceDE w:val="0"/>
        <w:autoSpaceDN w:val="0"/>
        <w:adjustRightInd w:val="0"/>
        <w:spacing w:after="200" w:line="276" w:lineRule="auto"/>
        <w:jc w:val="both"/>
        <w:rPr>
          <w:rFonts w:cs="Arial"/>
          <w:b/>
          <w:szCs w:val="20"/>
          <w:u w:val="single"/>
          <w:lang w:val="sl-SI" w:eastAsia="sl-SI"/>
        </w:rPr>
      </w:pPr>
      <w:r>
        <w:rPr>
          <w:rFonts w:cs="Arial"/>
          <w:b/>
          <w:szCs w:val="20"/>
          <w:u w:val="single"/>
          <w:lang w:val="sl-SI" w:eastAsia="sl-SI"/>
        </w:rPr>
        <w:t>4</w:t>
      </w:r>
      <w:r w:rsidR="00427ED6" w:rsidRPr="005771BD">
        <w:rPr>
          <w:rFonts w:cs="Arial"/>
          <w:b/>
          <w:szCs w:val="20"/>
          <w:u w:val="single"/>
          <w:lang w:val="sl-SI" w:eastAsia="sl-SI"/>
        </w:rPr>
        <w:t xml:space="preserve">.4 Spremljanje trajnostnega razvoja in zelene rasti </w:t>
      </w:r>
    </w:p>
    <w:p w:rsidR="00427ED6" w:rsidRPr="005771BD" w:rsidRDefault="00427ED6" w:rsidP="00427ED6">
      <w:pPr>
        <w:spacing w:after="200" w:line="276" w:lineRule="auto"/>
        <w:jc w:val="both"/>
        <w:rPr>
          <w:rFonts w:cs="Arial"/>
          <w:szCs w:val="20"/>
          <w:lang w:val="sl-SI" w:eastAsia="sl-SI"/>
        </w:rPr>
      </w:pPr>
      <w:r w:rsidRPr="005771BD">
        <w:rPr>
          <w:rFonts w:cs="Arial"/>
          <w:szCs w:val="20"/>
          <w:lang w:val="sl-SI" w:eastAsia="sl-SI"/>
        </w:rPr>
        <w:t xml:space="preserve">Uresničevanje strategije razvoja oziroma napredek pri razvoju v Sloveniji letno s poročili o razvoju spremlja Urad Vlade RS za makroekonomske analize in razvoj (UMAR). Sestava poročil o razvoju upošteva razvojne cilje in prednostne naloge strategije razvoja Slovenije (SRS), njihovo uresničevanje pa je analizirano z izbranimi kazalniki razvoja Slovenje. </w:t>
      </w:r>
    </w:p>
    <w:p w:rsidR="00427ED6" w:rsidRPr="005771BD" w:rsidRDefault="00427ED6" w:rsidP="00427ED6">
      <w:pPr>
        <w:spacing w:after="200" w:line="276" w:lineRule="auto"/>
        <w:jc w:val="both"/>
        <w:rPr>
          <w:rFonts w:cs="Arial"/>
          <w:szCs w:val="20"/>
          <w:lang w:val="sl-SI" w:eastAsia="sl-SI"/>
        </w:rPr>
      </w:pPr>
      <w:r w:rsidRPr="005771BD">
        <w:rPr>
          <w:rFonts w:cs="Arial"/>
          <w:szCs w:val="20"/>
          <w:lang w:val="sl-SI" w:eastAsia="sl-SI"/>
        </w:rPr>
        <w:t xml:space="preserve">Kot izhaja iz zadnjega </w:t>
      </w:r>
      <w:r w:rsidRPr="005771BD">
        <w:rPr>
          <w:rFonts w:cs="Arial"/>
          <w:b/>
          <w:szCs w:val="20"/>
          <w:lang w:val="sl-SI" w:eastAsia="sl-SI"/>
        </w:rPr>
        <w:t>poročila o razvoju</w:t>
      </w:r>
      <w:r w:rsidRPr="005771BD">
        <w:rPr>
          <w:rFonts w:cs="Arial"/>
          <w:szCs w:val="20"/>
          <w:lang w:val="sl-SI" w:eastAsia="sl-SI"/>
        </w:rPr>
        <w:t xml:space="preserve">, ki je spremljalo uresničevanje SRS 20015–2013 (PoR 2014), je leto 2013 zaznamovala izvedba nekaterih dolgo odlašanih strukturnih reform, do pozitivnih sprememb je prišlo pri konkurenčnosti, pokazali pa so se tudi prvi znaki gospodarskega okrevanja. Kljub premikom v tem letu je zaostanek na ključnih področjih razvoja za predkriznim obdobjem ostajal visok. Razmeroma dolgo obdobje krize je tudi vse bolj negativno vplivalo na blaginjo prebivalstva. Pod vplivom slabih gospodarskih razmer se je </w:t>
      </w:r>
      <w:r w:rsidRPr="005771BD">
        <w:rPr>
          <w:rFonts w:cs="Arial"/>
          <w:b/>
          <w:szCs w:val="20"/>
          <w:lang w:val="sl-SI" w:eastAsia="sl-SI"/>
        </w:rPr>
        <w:t>obremenjevanje okolja</w:t>
      </w:r>
      <w:r w:rsidRPr="005771BD">
        <w:rPr>
          <w:rFonts w:cs="Arial"/>
          <w:szCs w:val="20"/>
          <w:lang w:val="sl-SI" w:eastAsia="sl-SI"/>
        </w:rPr>
        <w:t xml:space="preserve"> zmanjševalo, zaznati pa je bilo tudi nekatere premike v smeri trajnejšega zmanjšanja </w:t>
      </w:r>
      <w:r>
        <w:rPr>
          <w:rFonts w:cs="Arial"/>
          <w:szCs w:val="20"/>
          <w:lang w:val="sl-SI" w:eastAsia="sl-SI"/>
        </w:rPr>
        <w:t>obremenitev</w:t>
      </w:r>
      <w:r w:rsidRPr="005771BD">
        <w:rPr>
          <w:rFonts w:cs="Arial"/>
          <w:szCs w:val="20"/>
          <w:lang w:val="sl-SI" w:eastAsia="sl-SI"/>
        </w:rPr>
        <w:t xml:space="preserve"> okolj</w:t>
      </w:r>
      <w:r>
        <w:rPr>
          <w:rFonts w:cs="Arial"/>
          <w:szCs w:val="20"/>
          <w:lang w:val="sl-SI" w:eastAsia="sl-SI"/>
        </w:rPr>
        <w:t>a</w:t>
      </w:r>
      <w:r w:rsidRPr="005771BD">
        <w:rPr>
          <w:rFonts w:cs="Arial"/>
          <w:szCs w:val="20"/>
          <w:lang w:val="sl-SI" w:eastAsia="sl-SI"/>
        </w:rPr>
        <w:t>. Izpusti toplogrednih plinov so se tudi v letu 2012 znižali predvsem zaradi manjše gospodarske aktivnosti, nadaljevalo pa se je povečevanje že sicer visokih izpustov zaradi prometa. Ob nizkem povpraševanju po energentih se je vse od začetka krize kazalo nadomeščanje fosilnih virov z obnovljivimi. Ob predvideni ponovni oživitvi gospodarske aktivnosti in s tem večjim povpraševanjem po energentih je v poročilu ugotovitev, da bosta nadaljevanje teh gibanj ter zajezitev stroškov gradnje novih zmogljivosti močno odvisna od učinkovitejše rabe energije. Prihranek energije med krizo je bil namreč predvsem posledica manjše gospodarske aktivnosti, na kar so kazala neugodna gibanja na področju energetske intenzivnosti gospodarstva (poraba energije na enoto BDP). Ta je bila v mednarodnem merilu visoka zlasti zaradi obsežne rabe goriv v prometu. Pri tem pa je bilo spodbudno, da se je v predelovalnih dejavnostih, kjer stroški energije vplivajo na izvozno konkurenčnost, energetska intenzivnost zniževala celo hitreje kot v povprečju EU. Pomemben vidik povezave med okoljskim in gospodarskim razvojem je bilo tudi izkoriščanje trga okoljskih tehnologij, vendar smo na tem področju še precej zaostajali za EU. Vpliv okoljskih davkov na konkurenčnost gospodarstva je ostajal razmeroma majhen, večina okoljskih davkov je bremenila gospodinjstva. Vendar pa se je v prometu zagotavljanje konkurenčnih pogojev s trošarinsko politiko kazalo v manjši energijski in okoljski učinkovitosti teh davčnih instrumentov. Pri ravnanju s komunalnimi odpadki je bilo v predhodnih letih zaznati precejšnje izboljšanje v smeri njihovega manjšega odlaganja. Nadaljevalo se je tudi zmanjševanje količine nastalih odpadkov, ki je bilo delno povezano z nižjo ravnjo gospodarske razvitosti. Snovna produktivnost gospodarstva se je še izboljšala, na kar je močno vplival</w:t>
      </w:r>
      <w:r>
        <w:rPr>
          <w:rFonts w:cs="Arial"/>
          <w:szCs w:val="20"/>
          <w:lang w:val="sl-SI" w:eastAsia="sl-SI"/>
        </w:rPr>
        <w:t>o</w:t>
      </w:r>
      <w:r w:rsidRPr="005771BD">
        <w:rPr>
          <w:rFonts w:cs="Arial"/>
          <w:szCs w:val="20"/>
          <w:lang w:val="sl-SI" w:eastAsia="sl-SI"/>
        </w:rPr>
        <w:t xml:space="preserve"> nadpovprečno zmanjševanje v dejavnosti gradbeništva, ki je intenzivni porabnik naravnih virov. </w:t>
      </w:r>
    </w:p>
    <w:p w:rsidR="00427ED6" w:rsidRPr="005771BD" w:rsidRDefault="00427ED6" w:rsidP="00427ED6">
      <w:pPr>
        <w:spacing w:line="276" w:lineRule="auto"/>
        <w:jc w:val="both"/>
        <w:rPr>
          <w:rFonts w:cs="Arial"/>
          <w:szCs w:val="20"/>
          <w:lang w:val="sl-SI"/>
        </w:rPr>
      </w:pPr>
      <w:r w:rsidRPr="005771BD">
        <w:rPr>
          <w:rFonts w:eastAsiaTheme="minorHAnsi" w:cs="Arial"/>
          <w:szCs w:val="20"/>
          <w:lang w:val="sl-SI"/>
        </w:rPr>
        <w:t>Najbolj celovit nabor kazalnikov za spremljanje okoljskih učinkov razvoja je bil vzpostavljen v okviru Organizacije za gospodarsko sodelovanje in razvoj (</w:t>
      </w:r>
      <w:r w:rsidRPr="005771BD">
        <w:rPr>
          <w:rFonts w:eastAsiaTheme="minorHAnsi" w:cs="Arial"/>
          <w:b/>
          <w:szCs w:val="20"/>
          <w:lang w:val="sl-SI"/>
        </w:rPr>
        <w:t>OECD</w:t>
      </w:r>
      <w:r w:rsidRPr="005771BD">
        <w:rPr>
          <w:rFonts w:eastAsiaTheme="minorHAnsi" w:cs="Arial"/>
          <w:szCs w:val="20"/>
          <w:lang w:val="sl-SI"/>
        </w:rPr>
        <w:t xml:space="preserve">) na podlagi </w:t>
      </w:r>
      <w:r w:rsidRPr="005771BD">
        <w:rPr>
          <w:rFonts w:eastAsiaTheme="minorHAnsi" w:cs="Arial"/>
          <w:b/>
          <w:szCs w:val="20"/>
          <w:lang w:val="sl-SI"/>
        </w:rPr>
        <w:t>Strategije zelene rasti</w:t>
      </w:r>
      <w:r w:rsidRPr="005771BD">
        <w:rPr>
          <w:rFonts w:eastAsiaTheme="minorHAnsi" w:cs="Arial"/>
          <w:szCs w:val="20"/>
          <w:lang w:val="sl-SI"/>
        </w:rPr>
        <w:t xml:space="preserve">, sprejete leta 2011 kot odgovor na </w:t>
      </w:r>
      <w:r w:rsidRPr="005771BD">
        <w:rPr>
          <w:rFonts w:cs="Arial"/>
          <w:szCs w:val="20"/>
          <w:lang w:val="sl-SI"/>
        </w:rPr>
        <w:t>izzive omejene produktivnosti biosfere, podnebnih sprememb, izgube biotske raznovrstnosti in nasprotij med lokalnimi in svetovnimi okoljskimi in ekonomskimi prednostnimi nalogami. Ključna orodja politik za izvedbo te strategije so:</w:t>
      </w:r>
    </w:p>
    <w:p w:rsidR="00427ED6" w:rsidRPr="005771BD" w:rsidRDefault="00427ED6" w:rsidP="00427ED6">
      <w:pPr>
        <w:numPr>
          <w:ilvl w:val="0"/>
          <w:numId w:val="34"/>
        </w:numPr>
        <w:autoSpaceDE w:val="0"/>
        <w:autoSpaceDN w:val="0"/>
        <w:adjustRightInd w:val="0"/>
        <w:spacing w:before="60" w:after="200" w:line="276" w:lineRule="auto"/>
        <w:ind w:left="284" w:hanging="284"/>
        <w:contextualSpacing/>
        <w:jc w:val="both"/>
        <w:rPr>
          <w:rFonts w:cs="Arial"/>
          <w:szCs w:val="20"/>
          <w:lang w:val="sl-SI"/>
        </w:rPr>
      </w:pPr>
      <w:r w:rsidRPr="005771BD">
        <w:rPr>
          <w:rFonts w:cs="Arial"/>
          <w:szCs w:val="20"/>
          <w:lang w:val="sl-SI"/>
        </w:rPr>
        <w:t>ustrezno vrednotenje naravnih virov v okviru tržnih mehanizmov,</w:t>
      </w:r>
    </w:p>
    <w:p w:rsidR="00427ED6" w:rsidRPr="005771BD" w:rsidRDefault="00427ED6" w:rsidP="00427ED6">
      <w:pPr>
        <w:numPr>
          <w:ilvl w:val="0"/>
          <w:numId w:val="34"/>
        </w:numPr>
        <w:autoSpaceDE w:val="0"/>
        <w:autoSpaceDN w:val="0"/>
        <w:adjustRightInd w:val="0"/>
        <w:spacing w:before="60" w:after="200" w:line="276" w:lineRule="auto"/>
        <w:ind w:left="284" w:hanging="284"/>
        <w:contextualSpacing/>
        <w:jc w:val="both"/>
        <w:rPr>
          <w:rFonts w:cs="Arial"/>
          <w:szCs w:val="20"/>
          <w:lang w:val="sl-SI"/>
        </w:rPr>
      </w:pPr>
      <w:r w:rsidRPr="005771BD">
        <w:rPr>
          <w:rFonts w:cs="Arial"/>
          <w:szCs w:val="20"/>
          <w:lang w:val="sl-SI"/>
        </w:rPr>
        <w:t>ukinjanje ali reforma škodljivih subvencij,</w:t>
      </w:r>
    </w:p>
    <w:p w:rsidR="00427ED6" w:rsidRPr="005771BD" w:rsidRDefault="00427ED6" w:rsidP="00427ED6">
      <w:pPr>
        <w:numPr>
          <w:ilvl w:val="0"/>
          <w:numId w:val="34"/>
        </w:numPr>
        <w:autoSpaceDE w:val="0"/>
        <w:autoSpaceDN w:val="0"/>
        <w:adjustRightInd w:val="0"/>
        <w:spacing w:before="60" w:after="200" w:line="276" w:lineRule="auto"/>
        <w:ind w:left="284" w:hanging="284"/>
        <w:contextualSpacing/>
        <w:jc w:val="both"/>
        <w:rPr>
          <w:rFonts w:cs="Arial"/>
          <w:szCs w:val="20"/>
          <w:lang w:val="sl-SI"/>
        </w:rPr>
      </w:pPr>
      <w:r w:rsidRPr="005771BD">
        <w:rPr>
          <w:rFonts w:cs="Arial"/>
          <w:szCs w:val="20"/>
          <w:lang w:val="sl-SI"/>
        </w:rPr>
        <w:t>standardi in prostovoljni pristopi,</w:t>
      </w:r>
    </w:p>
    <w:p w:rsidR="00427ED6" w:rsidRPr="005771BD" w:rsidRDefault="00427ED6" w:rsidP="00427ED6">
      <w:pPr>
        <w:numPr>
          <w:ilvl w:val="0"/>
          <w:numId w:val="34"/>
        </w:numPr>
        <w:autoSpaceDE w:val="0"/>
        <w:autoSpaceDN w:val="0"/>
        <w:adjustRightInd w:val="0"/>
        <w:spacing w:before="60" w:after="200" w:line="276" w:lineRule="auto"/>
        <w:ind w:left="284" w:hanging="284"/>
        <w:contextualSpacing/>
        <w:jc w:val="both"/>
        <w:rPr>
          <w:rFonts w:cs="Arial"/>
          <w:szCs w:val="20"/>
          <w:lang w:val="sl-SI"/>
        </w:rPr>
      </w:pPr>
      <w:r w:rsidRPr="005771BD">
        <w:rPr>
          <w:rFonts w:cs="Arial"/>
          <w:szCs w:val="20"/>
          <w:lang w:val="sl-SI"/>
        </w:rPr>
        <w:t>izboljšanje</w:t>
      </w:r>
      <w:r>
        <w:rPr>
          <w:rFonts w:cs="Arial"/>
          <w:szCs w:val="20"/>
          <w:lang w:val="sl-SI"/>
        </w:rPr>
        <w:t xml:space="preserve"> področja urejanja</w:t>
      </w:r>
      <w:r w:rsidRPr="005771BD">
        <w:rPr>
          <w:rFonts w:cs="Arial"/>
          <w:szCs w:val="20"/>
          <w:lang w:val="sl-SI"/>
        </w:rPr>
        <w:t xml:space="preserve"> okolja,</w:t>
      </w:r>
    </w:p>
    <w:p w:rsidR="00427ED6" w:rsidRPr="005771BD" w:rsidRDefault="00427ED6" w:rsidP="00427ED6">
      <w:pPr>
        <w:numPr>
          <w:ilvl w:val="0"/>
          <w:numId w:val="34"/>
        </w:numPr>
        <w:autoSpaceDE w:val="0"/>
        <w:autoSpaceDN w:val="0"/>
        <w:adjustRightInd w:val="0"/>
        <w:spacing w:before="60" w:after="200" w:line="276" w:lineRule="auto"/>
        <w:ind w:left="284" w:hanging="284"/>
        <w:contextualSpacing/>
        <w:jc w:val="both"/>
        <w:rPr>
          <w:rFonts w:cs="Arial"/>
          <w:szCs w:val="20"/>
          <w:lang w:val="sl-SI"/>
        </w:rPr>
      </w:pPr>
      <w:r w:rsidRPr="005771BD">
        <w:rPr>
          <w:rFonts w:cs="Arial"/>
          <w:szCs w:val="20"/>
          <w:lang w:val="sl-SI"/>
        </w:rPr>
        <w:t>okrepitev energetske infrastrukture,</w:t>
      </w:r>
    </w:p>
    <w:p w:rsidR="00427ED6" w:rsidRPr="005771BD" w:rsidRDefault="00427ED6" w:rsidP="00427ED6">
      <w:pPr>
        <w:numPr>
          <w:ilvl w:val="0"/>
          <w:numId w:val="34"/>
        </w:numPr>
        <w:autoSpaceDE w:val="0"/>
        <w:autoSpaceDN w:val="0"/>
        <w:adjustRightInd w:val="0"/>
        <w:spacing w:before="60" w:after="200" w:line="276" w:lineRule="auto"/>
        <w:ind w:left="284" w:hanging="284"/>
        <w:contextualSpacing/>
        <w:jc w:val="both"/>
        <w:rPr>
          <w:rFonts w:cs="Arial"/>
          <w:szCs w:val="20"/>
          <w:lang w:val="sl-SI"/>
        </w:rPr>
      </w:pPr>
      <w:r w:rsidRPr="005771BD">
        <w:rPr>
          <w:rFonts w:cs="Arial"/>
          <w:szCs w:val="20"/>
          <w:lang w:val="sl-SI"/>
        </w:rPr>
        <w:t>financiranje infrastrukture in</w:t>
      </w:r>
    </w:p>
    <w:p w:rsidR="00427ED6" w:rsidRPr="005771BD" w:rsidRDefault="00427ED6" w:rsidP="00427ED6">
      <w:pPr>
        <w:numPr>
          <w:ilvl w:val="0"/>
          <w:numId w:val="34"/>
        </w:numPr>
        <w:autoSpaceDE w:val="0"/>
        <w:autoSpaceDN w:val="0"/>
        <w:adjustRightInd w:val="0"/>
        <w:spacing w:before="60" w:after="200" w:line="276" w:lineRule="auto"/>
        <w:ind w:left="284" w:hanging="284"/>
        <w:jc w:val="both"/>
        <w:rPr>
          <w:rFonts w:cs="Arial"/>
          <w:szCs w:val="20"/>
          <w:lang w:val="sl-SI"/>
        </w:rPr>
      </w:pPr>
      <w:r w:rsidRPr="005771BD">
        <w:rPr>
          <w:rFonts w:cs="Arial"/>
          <w:szCs w:val="20"/>
          <w:lang w:val="sl-SI"/>
        </w:rPr>
        <w:t>inovacije.</w:t>
      </w:r>
    </w:p>
    <w:p w:rsidR="00427ED6" w:rsidRPr="005771BD" w:rsidRDefault="00427ED6" w:rsidP="00427ED6">
      <w:pPr>
        <w:spacing w:after="200" w:line="276" w:lineRule="auto"/>
        <w:jc w:val="both"/>
        <w:rPr>
          <w:rFonts w:eastAsiaTheme="minorHAnsi" w:cs="Arial"/>
          <w:szCs w:val="20"/>
          <w:lang w:val="sl-SI"/>
        </w:rPr>
      </w:pPr>
      <w:r w:rsidRPr="005771BD">
        <w:rPr>
          <w:rFonts w:eastAsiaTheme="minorHAnsi" w:cs="Arial"/>
          <w:szCs w:val="20"/>
          <w:lang w:val="sl-SI"/>
        </w:rPr>
        <w:t xml:space="preserve">Izbranih je bilo 30 kazalnikov zelene rasti, razdeljenih v štiri skupine glede na področja, na katera se nanašajo spremembe, ki jih ti kazalniki spremljajo in opisujejo: kazalniki produktivnosti uporabe okoljskih sredstev in naravnih virov, kazalniki temeljnih naravnih dobrin, kazalniki okoljskih  razsežnosti kakovosti življenja ter kazalniki političnih odzivov in gospodarskih priložnosti. </w:t>
      </w:r>
    </w:p>
    <w:p w:rsidR="00427ED6" w:rsidRPr="005771BD" w:rsidRDefault="00427ED6" w:rsidP="00427ED6">
      <w:pPr>
        <w:spacing w:after="200" w:line="276" w:lineRule="auto"/>
        <w:jc w:val="both"/>
        <w:rPr>
          <w:rFonts w:eastAsiaTheme="minorHAnsi" w:cs="Arial"/>
          <w:szCs w:val="20"/>
          <w:lang w:val="sl-SI"/>
        </w:rPr>
      </w:pPr>
      <w:r w:rsidRPr="005771BD">
        <w:rPr>
          <w:rFonts w:eastAsiaTheme="minorHAnsi" w:cs="Arial"/>
          <w:szCs w:val="20"/>
          <w:lang w:val="sl-SI"/>
        </w:rPr>
        <w:t xml:space="preserve">Statistični urad RS je 2014 v publikaciji </w:t>
      </w:r>
      <w:r w:rsidRPr="005771BD">
        <w:rPr>
          <w:rFonts w:eastAsiaTheme="minorHAnsi" w:cs="Arial"/>
          <w:b/>
          <w:szCs w:val="20"/>
          <w:lang w:val="sl-SI"/>
        </w:rPr>
        <w:t>Kazalniki zelene rasti</w:t>
      </w:r>
      <w:r w:rsidRPr="005771BD">
        <w:rPr>
          <w:rFonts w:eastAsiaTheme="minorHAnsi" w:cs="Arial"/>
          <w:szCs w:val="20"/>
          <w:lang w:val="sl-SI"/>
        </w:rPr>
        <w:t xml:space="preserve"> prikazal 14 kazalnikov iz tega nabora, med temi predvsem tiste, za katere so bili že pridobljeni ustrezni in kakovostni podatki. K tem je dodal še pet kazalnikov, ki prispevajo k bolj celovitemu pregledu pomembnih trendov v Sloveniji.</w:t>
      </w:r>
    </w:p>
    <w:p w:rsidR="00427ED6" w:rsidRDefault="00427ED6" w:rsidP="00427ED6">
      <w:pPr>
        <w:spacing w:after="200" w:line="276" w:lineRule="auto"/>
        <w:jc w:val="both"/>
        <w:rPr>
          <w:rFonts w:eastAsiaTheme="minorHAnsi" w:cs="Arial"/>
          <w:szCs w:val="20"/>
          <w:lang w:val="sl-SI"/>
        </w:rPr>
      </w:pPr>
      <w:r w:rsidRPr="005771BD">
        <w:rPr>
          <w:rFonts w:eastAsiaTheme="minorHAnsi" w:cs="Arial"/>
          <w:szCs w:val="20"/>
          <w:lang w:val="sl-SI"/>
        </w:rPr>
        <w:t>V tem poročilu prikazujemo vrednosti izbranih kazalnikov zelene rasti za leta 2000, 2005, 2010 in 2014.</w:t>
      </w:r>
    </w:p>
    <w:p w:rsidR="00E41458" w:rsidRDefault="00E41458" w:rsidP="00427ED6">
      <w:pPr>
        <w:spacing w:after="200" w:line="276" w:lineRule="auto"/>
        <w:jc w:val="both"/>
        <w:rPr>
          <w:rFonts w:eastAsiaTheme="minorHAnsi" w:cs="Arial"/>
          <w:b/>
          <w:szCs w:val="20"/>
          <w:lang w:val="sl-SI"/>
        </w:rPr>
      </w:pPr>
    </w:p>
    <w:p w:rsidR="00427ED6" w:rsidRPr="005771BD" w:rsidRDefault="00786EDB" w:rsidP="00427ED6">
      <w:pPr>
        <w:spacing w:after="200" w:line="276" w:lineRule="auto"/>
        <w:jc w:val="both"/>
        <w:rPr>
          <w:rFonts w:eastAsiaTheme="minorHAnsi" w:cs="Arial"/>
          <w:b/>
          <w:szCs w:val="20"/>
          <w:lang w:val="sl-SI"/>
        </w:rPr>
      </w:pPr>
      <w:r>
        <w:rPr>
          <w:rFonts w:eastAsiaTheme="minorHAnsi" w:cs="Arial"/>
          <w:b/>
          <w:szCs w:val="20"/>
          <w:lang w:val="sl-SI"/>
        </w:rPr>
        <w:t>4</w:t>
      </w:r>
      <w:r w:rsidR="00427ED6" w:rsidRPr="005771BD">
        <w:rPr>
          <w:rFonts w:eastAsiaTheme="minorHAnsi" w:cs="Arial"/>
          <w:b/>
          <w:szCs w:val="20"/>
          <w:lang w:val="sl-SI"/>
        </w:rPr>
        <w:t>.4.1 Kazalniki produktivnosti pri uporabi okoljskih sredstev in naravnih virov</w:t>
      </w:r>
    </w:p>
    <w:p w:rsidR="00427ED6" w:rsidRPr="005771BD" w:rsidRDefault="00427ED6" w:rsidP="00427ED6">
      <w:pPr>
        <w:spacing w:after="200" w:line="276" w:lineRule="auto"/>
        <w:jc w:val="both"/>
        <w:rPr>
          <w:rFonts w:eastAsiaTheme="minorHAnsi" w:cs="Arial"/>
          <w:szCs w:val="20"/>
          <w:lang w:val="sl-SI"/>
        </w:rPr>
      </w:pPr>
      <w:r w:rsidRPr="005771BD">
        <w:rPr>
          <w:rFonts w:eastAsiaTheme="minorHAnsi" w:cs="Arial"/>
          <w:szCs w:val="20"/>
          <w:lang w:val="sl-SI"/>
        </w:rPr>
        <w:t>Bistvena pri zeleni rasti kot podlagi za trajnostni razvoj sta učinkovitost pri uporabi okoljskih sredstev in naravnih virov ter njen razvoj v času in prostoru ter v različnih sektorjih. Izbrani kazalniki v tej skupini zato spremljajo uporabo okoljskih storitev v proizvodnji (uporabo naravnih virov in surovin, vključno z energijo, nastajanjem onesnaževal in drugih ostankov) in jo primerjajo z ustvarjenim proizvodom.</w:t>
      </w:r>
    </w:p>
    <w:p w:rsidR="00427ED6" w:rsidRDefault="00427ED6" w:rsidP="00427ED6">
      <w:pPr>
        <w:spacing w:after="200" w:line="276" w:lineRule="auto"/>
        <w:jc w:val="both"/>
        <w:rPr>
          <w:rFonts w:eastAsiaTheme="minorHAnsi" w:cs="Arial"/>
          <w:szCs w:val="20"/>
          <w:lang w:val="sl-SI"/>
        </w:rPr>
      </w:pPr>
    </w:p>
    <w:p w:rsidR="00E41458" w:rsidRDefault="00E41458" w:rsidP="00427ED6">
      <w:pPr>
        <w:spacing w:after="200" w:line="276" w:lineRule="auto"/>
        <w:jc w:val="both"/>
        <w:rPr>
          <w:rFonts w:eastAsiaTheme="minorHAnsi" w:cs="Arial"/>
          <w:szCs w:val="20"/>
          <w:lang w:val="sl-SI"/>
        </w:rPr>
      </w:pPr>
      <w:r w:rsidRPr="007F272F">
        <w:rPr>
          <w:rFonts w:eastAsiaTheme="minorHAnsi" w:cs="Arial"/>
          <w:b/>
          <w:noProof/>
          <w:szCs w:val="20"/>
          <w:lang w:val="sl-SI" w:eastAsia="sl-SI"/>
        </w:rPr>
        <w:drawing>
          <wp:anchor distT="0" distB="0" distL="114300" distR="114300" simplePos="0" relativeHeight="251695104" behindDoc="0" locked="0" layoutInCell="1" allowOverlap="1" wp14:anchorId="5B2BE316" wp14:editId="3DB3BBC7">
            <wp:simplePos x="0" y="0"/>
            <wp:positionH relativeFrom="column">
              <wp:posOffset>52070</wp:posOffset>
            </wp:positionH>
            <wp:positionV relativeFrom="paragraph">
              <wp:posOffset>85090</wp:posOffset>
            </wp:positionV>
            <wp:extent cx="2783840" cy="2783840"/>
            <wp:effectExtent l="0" t="0" r="0" b="0"/>
            <wp:wrapSquare wrapText="bothSides"/>
            <wp:docPr id="282" name="Slika 282" descr="C:\Users\UROS~1.VAJ\AppData\Local\Temp\notesF8C0DE\1 kazaln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ROS~1.VAJ\AppData\Local\Temp\notesF8C0DE\1 kazalnik.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83840" cy="27838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27ED6" w:rsidRPr="005771BD" w:rsidRDefault="00427ED6" w:rsidP="00427ED6">
      <w:pPr>
        <w:spacing w:after="200" w:line="276" w:lineRule="auto"/>
        <w:jc w:val="both"/>
        <w:rPr>
          <w:rFonts w:eastAsiaTheme="minorHAnsi" w:cs="Arial"/>
          <w:szCs w:val="20"/>
          <w:lang w:val="sl-SI"/>
        </w:rPr>
      </w:pPr>
      <w:r w:rsidRPr="005771BD">
        <w:rPr>
          <w:rFonts w:eastAsiaTheme="minorHAnsi" w:cs="Arial"/>
          <w:szCs w:val="20"/>
          <w:lang w:val="sl-SI"/>
        </w:rPr>
        <w:t>Kazalniki kažejo na večanje produktivnosti zlasti glede energetske in snovne produktivnosti. Emisijska produktivnost se od leta 1995 počasi, a vztrajno povečuje, prav tako tudi energetska produktivnost, ki pa je bila med leti 2007 in 2012 bolj enakomerna in se ni bistveno spreminjala. Snovna produktivnost se je po letu 2007 strmo povečevala, v zadnjih letih pa se spreminja manj. Bruto zaloga dušika na hektar kmetijskih zemljišč se precej spreminja in je odvisna od sušnih obdobij.</w:t>
      </w:r>
    </w:p>
    <w:p w:rsidR="00427ED6" w:rsidRPr="005771BD" w:rsidRDefault="00427ED6" w:rsidP="00427ED6">
      <w:pPr>
        <w:spacing w:after="200" w:line="276" w:lineRule="auto"/>
        <w:jc w:val="both"/>
        <w:rPr>
          <w:rFonts w:eastAsiaTheme="minorHAnsi" w:cs="Arial"/>
          <w:szCs w:val="20"/>
          <w:lang w:val="sl-SI"/>
        </w:rPr>
      </w:pPr>
    </w:p>
    <w:p w:rsidR="00E41458" w:rsidRDefault="00E41458" w:rsidP="00427ED6">
      <w:pPr>
        <w:spacing w:before="60" w:line="276" w:lineRule="auto"/>
        <w:rPr>
          <w:rFonts w:eastAsiaTheme="minorHAnsi" w:cs="Arial"/>
          <w:i/>
          <w:szCs w:val="20"/>
          <w:lang w:val="sl-SI"/>
        </w:rPr>
      </w:pPr>
    </w:p>
    <w:p w:rsidR="00E41458" w:rsidRDefault="00E41458" w:rsidP="00427ED6">
      <w:pPr>
        <w:spacing w:before="60" w:line="276" w:lineRule="auto"/>
        <w:rPr>
          <w:rFonts w:eastAsiaTheme="minorHAnsi" w:cs="Arial"/>
          <w:i/>
          <w:szCs w:val="20"/>
          <w:lang w:val="sl-SI"/>
        </w:rPr>
      </w:pPr>
    </w:p>
    <w:p w:rsidR="00427ED6" w:rsidRPr="005771BD" w:rsidRDefault="00427ED6" w:rsidP="00427ED6">
      <w:pPr>
        <w:spacing w:before="60" w:line="276" w:lineRule="auto"/>
        <w:rPr>
          <w:rFonts w:eastAsiaTheme="minorHAnsi" w:cs="Arial"/>
          <w:i/>
          <w:szCs w:val="20"/>
          <w:lang w:val="sl-SI"/>
        </w:rPr>
      </w:pPr>
      <w:r w:rsidRPr="005771BD">
        <w:rPr>
          <w:rFonts w:eastAsiaTheme="minorHAnsi" w:cs="Arial"/>
          <w:i/>
          <w:szCs w:val="20"/>
          <w:lang w:val="sl-SI"/>
        </w:rPr>
        <w:t xml:space="preserve">Preglednica </w:t>
      </w:r>
      <w:r w:rsidR="00E41458">
        <w:rPr>
          <w:rFonts w:eastAsiaTheme="minorHAnsi" w:cs="Arial"/>
          <w:i/>
          <w:szCs w:val="20"/>
          <w:lang w:val="sl-SI"/>
        </w:rPr>
        <w:t>4</w:t>
      </w:r>
      <w:r w:rsidRPr="005771BD">
        <w:rPr>
          <w:rFonts w:eastAsiaTheme="minorHAnsi" w:cs="Arial"/>
          <w:i/>
          <w:szCs w:val="20"/>
          <w:lang w:val="sl-SI"/>
        </w:rPr>
        <w:t>.1: Kazalniki produktivnosti pri uporabi okoljskih sredstev in naravnih virov</w:t>
      </w:r>
    </w:p>
    <w:p w:rsidR="00427ED6" w:rsidRPr="005771BD" w:rsidRDefault="00427ED6" w:rsidP="00E41458">
      <w:pPr>
        <w:spacing w:before="60" w:line="276" w:lineRule="auto"/>
        <w:rPr>
          <w:rFonts w:eastAsiaTheme="minorHAnsi" w:cs="Arial"/>
          <w:sz w:val="18"/>
          <w:szCs w:val="18"/>
          <w:lang w:val="sl-SI"/>
        </w:rPr>
      </w:pPr>
      <w:r w:rsidRPr="005771BD">
        <w:rPr>
          <w:rFonts w:eastAsiaTheme="minorHAnsi" w:cs="Arial"/>
          <w:i/>
          <w:sz w:val="18"/>
          <w:szCs w:val="18"/>
          <w:lang w:val="sl-SI"/>
        </w:rPr>
        <w:t>Vir: Statistični urad Republike Slovenije</w:t>
      </w:r>
    </w:p>
    <w:tbl>
      <w:tblPr>
        <w:tblW w:w="47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570"/>
        <w:gridCol w:w="823"/>
        <w:gridCol w:w="686"/>
        <w:gridCol w:w="686"/>
        <w:gridCol w:w="684"/>
      </w:tblGrid>
      <w:tr w:rsidR="00427ED6" w:rsidRPr="005771BD" w:rsidTr="00225F01">
        <w:trPr>
          <w:trHeight w:val="288"/>
        </w:trPr>
        <w:tc>
          <w:tcPr>
            <w:tcW w:w="3296" w:type="pct"/>
            <w:shd w:val="clear" w:color="auto" w:fill="auto"/>
            <w:noWrap/>
            <w:vAlign w:val="bottom"/>
            <w:hideMark/>
          </w:tcPr>
          <w:p w:rsidR="00427ED6" w:rsidRPr="005771BD" w:rsidRDefault="00427ED6" w:rsidP="00225F01">
            <w:pPr>
              <w:spacing w:before="60" w:line="276" w:lineRule="auto"/>
              <w:rPr>
                <w:rFonts w:cs="Arial"/>
                <w:b/>
                <w:color w:val="000000"/>
                <w:szCs w:val="20"/>
                <w:lang w:val="sl-SI" w:eastAsia="sl-SI"/>
              </w:rPr>
            </w:pPr>
            <w:r w:rsidRPr="005771BD">
              <w:rPr>
                <w:rFonts w:cs="Arial"/>
                <w:b/>
                <w:color w:val="000000"/>
                <w:szCs w:val="20"/>
                <w:lang w:val="sl-SI" w:eastAsia="sl-SI"/>
              </w:rPr>
              <w:t>Kazalniki produktivnosti pri uporabi okoljskih sredstev in naravnih virov</w:t>
            </w:r>
          </w:p>
        </w:tc>
        <w:tc>
          <w:tcPr>
            <w:tcW w:w="487" w:type="pct"/>
            <w:shd w:val="clear" w:color="auto" w:fill="auto"/>
            <w:noWrap/>
            <w:vAlign w:val="bottom"/>
            <w:hideMark/>
          </w:tcPr>
          <w:p w:rsidR="00427ED6" w:rsidRPr="005771BD" w:rsidRDefault="00427ED6" w:rsidP="00225F01">
            <w:pPr>
              <w:spacing w:before="60" w:line="276" w:lineRule="auto"/>
              <w:jc w:val="right"/>
              <w:rPr>
                <w:rFonts w:cs="Arial"/>
                <w:b/>
                <w:color w:val="000000"/>
                <w:szCs w:val="20"/>
                <w:lang w:val="sl-SI" w:eastAsia="sl-SI"/>
              </w:rPr>
            </w:pPr>
            <w:r w:rsidRPr="005771BD">
              <w:rPr>
                <w:rFonts w:cs="Arial"/>
                <w:b/>
                <w:color w:val="000000"/>
                <w:szCs w:val="20"/>
                <w:lang w:val="sl-SI" w:eastAsia="sl-SI"/>
              </w:rPr>
              <w:t>2000</w:t>
            </w:r>
          </w:p>
        </w:tc>
        <w:tc>
          <w:tcPr>
            <w:tcW w:w="406" w:type="pct"/>
            <w:shd w:val="clear" w:color="auto" w:fill="auto"/>
            <w:noWrap/>
            <w:vAlign w:val="bottom"/>
            <w:hideMark/>
          </w:tcPr>
          <w:p w:rsidR="00427ED6" w:rsidRPr="005771BD" w:rsidRDefault="00427ED6" w:rsidP="00225F01">
            <w:pPr>
              <w:spacing w:before="60" w:line="276" w:lineRule="auto"/>
              <w:jc w:val="right"/>
              <w:rPr>
                <w:rFonts w:cs="Arial"/>
                <w:b/>
                <w:color w:val="000000"/>
                <w:szCs w:val="20"/>
                <w:lang w:val="sl-SI" w:eastAsia="sl-SI"/>
              </w:rPr>
            </w:pPr>
            <w:r w:rsidRPr="005771BD">
              <w:rPr>
                <w:rFonts w:cs="Arial"/>
                <w:b/>
                <w:color w:val="000000"/>
                <w:szCs w:val="20"/>
                <w:lang w:val="sl-SI" w:eastAsia="sl-SI"/>
              </w:rPr>
              <w:t>2005</w:t>
            </w:r>
          </w:p>
        </w:tc>
        <w:tc>
          <w:tcPr>
            <w:tcW w:w="406" w:type="pct"/>
            <w:shd w:val="clear" w:color="auto" w:fill="auto"/>
            <w:noWrap/>
            <w:vAlign w:val="bottom"/>
            <w:hideMark/>
          </w:tcPr>
          <w:p w:rsidR="00427ED6" w:rsidRPr="005771BD" w:rsidRDefault="00427ED6" w:rsidP="00225F01">
            <w:pPr>
              <w:spacing w:before="60" w:line="276" w:lineRule="auto"/>
              <w:jc w:val="right"/>
              <w:rPr>
                <w:rFonts w:cs="Arial"/>
                <w:b/>
                <w:color w:val="000000"/>
                <w:szCs w:val="20"/>
                <w:lang w:val="sl-SI" w:eastAsia="sl-SI"/>
              </w:rPr>
            </w:pPr>
            <w:r w:rsidRPr="005771BD">
              <w:rPr>
                <w:rFonts w:cs="Arial"/>
                <w:b/>
                <w:color w:val="000000"/>
                <w:szCs w:val="20"/>
                <w:lang w:val="sl-SI" w:eastAsia="sl-SI"/>
              </w:rPr>
              <w:t>2010</w:t>
            </w:r>
          </w:p>
        </w:tc>
        <w:tc>
          <w:tcPr>
            <w:tcW w:w="406" w:type="pct"/>
            <w:shd w:val="clear" w:color="auto" w:fill="auto"/>
            <w:noWrap/>
            <w:vAlign w:val="bottom"/>
            <w:hideMark/>
          </w:tcPr>
          <w:p w:rsidR="00427ED6" w:rsidRPr="005771BD" w:rsidRDefault="00427ED6" w:rsidP="00225F01">
            <w:pPr>
              <w:spacing w:before="60" w:line="276" w:lineRule="auto"/>
              <w:jc w:val="right"/>
              <w:rPr>
                <w:rFonts w:cs="Arial"/>
                <w:b/>
                <w:color w:val="000000"/>
                <w:szCs w:val="20"/>
                <w:lang w:val="sl-SI" w:eastAsia="sl-SI"/>
              </w:rPr>
            </w:pPr>
            <w:r w:rsidRPr="005771BD">
              <w:rPr>
                <w:rFonts w:cs="Arial"/>
                <w:b/>
                <w:color w:val="000000"/>
                <w:szCs w:val="20"/>
                <w:lang w:val="sl-SI" w:eastAsia="sl-SI"/>
              </w:rPr>
              <w:t>2014</w:t>
            </w:r>
          </w:p>
        </w:tc>
      </w:tr>
      <w:tr w:rsidR="00427ED6" w:rsidRPr="005771BD" w:rsidTr="00225F01">
        <w:trPr>
          <w:trHeight w:val="288"/>
        </w:trPr>
        <w:tc>
          <w:tcPr>
            <w:tcW w:w="3296" w:type="pct"/>
            <w:shd w:val="clear" w:color="auto" w:fill="auto"/>
            <w:noWrap/>
            <w:vAlign w:val="bottom"/>
            <w:hideMark/>
          </w:tcPr>
          <w:p w:rsidR="00427ED6" w:rsidRPr="005771BD" w:rsidRDefault="00427ED6" w:rsidP="00225F01">
            <w:pPr>
              <w:spacing w:before="60" w:line="276" w:lineRule="auto"/>
              <w:rPr>
                <w:rFonts w:cs="Arial"/>
                <w:color w:val="000000"/>
                <w:szCs w:val="20"/>
                <w:lang w:val="sl-SI" w:eastAsia="sl-SI"/>
              </w:rPr>
            </w:pPr>
            <w:r w:rsidRPr="005771BD">
              <w:rPr>
                <w:rFonts w:cs="Arial"/>
                <w:color w:val="000000"/>
                <w:szCs w:val="20"/>
                <w:lang w:val="sl-SI" w:eastAsia="sl-SI"/>
              </w:rPr>
              <w:t>Emisijska produktivnost (EUR 2000/kg ekv. CO</w:t>
            </w:r>
            <w:r w:rsidRPr="005771BD">
              <w:rPr>
                <w:rFonts w:cs="Arial"/>
                <w:color w:val="000000"/>
                <w:szCs w:val="20"/>
                <w:vertAlign w:val="subscript"/>
                <w:lang w:val="sl-SI" w:eastAsia="sl-SI"/>
              </w:rPr>
              <w:t>2</w:t>
            </w:r>
            <w:r w:rsidRPr="005771BD">
              <w:rPr>
                <w:rFonts w:cs="Arial"/>
                <w:color w:val="000000"/>
                <w:szCs w:val="20"/>
                <w:lang w:val="sl-SI" w:eastAsia="sl-SI"/>
              </w:rPr>
              <w:t>)</w:t>
            </w:r>
          </w:p>
        </w:tc>
        <w:tc>
          <w:tcPr>
            <w:tcW w:w="487"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1,46</w:t>
            </w:r>
          </w:p>
        </w:tc>
        <w:tc>
          <w:tcPr>
            <w:tcW w:w="406"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1,63</w:t>
            </w:r>
          </w:p>
        </w:tc>
        <w:tc>
          <w:tcPr>
            <w:tcW w:w="406"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1,86</w:t>
            </w:r>
          </w:p>
        </w:tc>
        <w:tc>
          <w:tcPr>
            <w:tcW w:w="406"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w:t>
            </w:r>
          </w:p>
        </w:tc>
      </w:tr>
      <w:tr w:rsidR="00427ED6" w:rsidRPr="005771BD" w:rsidTr="00225F01">
        <w:trPr>
          <w:trHeight w:val="288"/>
        </w:trPr>
        <w:tc>
          <w:tcPr>
            <w:tcW w:w="3296" w:type="pct"/>
            <w:shd w:val="clear" w:color="auto" w:fill="auto"/>
            <w:noWrap/>
            <w:vAlign w:val="bottom"/>
            <w:hideMark/>
          </w:tcPr>
          <w:p w:rsidR="00427ED6" w:rsidRPr="005771BD" w:rsidRDefault="00427ED6" w:rsidP="00225F01">
            <w:pPr>
              <w:spacing w:before="60" w:line="276" w:lineRule="auto"/>
              <w:rPr>
                <w:rFonts w:cs="Arial"/>
                <w:color w:val="000000"/>
                <w:szCs w:val="20"/>
                <w:lang w:val="sl-SI" w:eastAsia="sl-SI"/>
              </w:rPr>
            </w:pPr>
            <w:r w:rsidRPr="005771BD">
              <w:rPr>
                <w:rFonts w:cs="Arial"/>
                <w:color w:val="000000"/>
                <w:szCs w:val="20"/>
                <w:lang w:val="sl-SI" w:eastAsia="sl-SI"/>
              </w:rPr>
              <w:t>Energetska produktivnost (mio. EUR 2000/ktoe)</w:t>
            </w:r>
          </w:p>
        </w:tc>
        <w:tc>
          <w:tcPr>
            <w:tcW w:w="487"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4,36</w:t>
            </w:r>
          </w:p>
        </w:tc>
        <w:tc>
          <w:tcPr>
            <w:tcW w:w="406"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4,62</w:t>
            </w:r>
          </w:p>
        </w:tc>
        <w:tc>
          <w:tcPr>
            <w:tcW w:w="406"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5,02</w:t>
            </w:r>
          </w:p>
        </w:tc>
        <w:tc>
          <w:tcPr>
            <w:tcW w:w="406"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5,49</w:t>
            </w:r>
          </w:p>
        </w:tc>
      </w:tr>
      <w:tr w:rsidR="00427ED6" w:rsidRPr="005771BD" w:rsidTr="00225F01">
        <w:trPr>
          <w:trHeight w:val="288"/>
        </w:trPr>
        <w:tc>
          <w:tcPr>
            <w:tcW w:w="3296" w:type="pct"/>
            <w:shd w:val="clear" w:color="auto" w:fill="auto"/>
            <w:noWrap/>
            <w:vAlign w:val="bottom"/>
            <w:hideMark/>
          </w:tcPr>
          <w:p w:rsidR="00427ED6" w:rsidRPr="005771BD" w:rsidRDefault="00427ED6" w:rsidP="00225F01">
            <w:pPr>
              <w:spacing w:before="60" w:line="276" w:lineRule="auto"/>
              <w:rPr>
                <w:rFonts w:cs="Arial"/>
                <w:color w:val="000000"/>
                <w:szCs w:val="20"/>
                <w:lang w:val="sl-SI" w:eastAsia="sl-SI"/>
              </w:rPr>
            </w:pPr>
            <w:r w:rsidRPr="005771BD">
              <w:rPr>
                <w:rFonts w:cs="Arial"/>
                <w:color w:val="000000"/>
                <w:szCs w:val="20"/>
                <w:lang w:val="sl-SI" w:eastAsia="sl-SI"/>
              </w:rPr>
              <w:t>Snovna produktivnost (EUR 2000/kg)</w:t>
            </w:r>
          </w:p>
        </w:tc>
        <w:tc>
          <w:tcPr>
            <w:tcW w:w="487"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0,82</w:t>
            </w:r>
          </w:p>
        </w:tc>
        <w:tc>
          <w:tcPr>
            <w:tcW w:w="406"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0,9</w:t>
            </w:r>
          </w:p>
        </w:tc>
        <w:tc>
          <w:tcPr>
            <w:tcW w:w="406"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1,1</w:t>
            </w:r>
          </w:p>
        </w:tc>
        <w:tc>
          <w:tcPr>
            <w:tcW w:w="406"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1,34</w:t>
            </w:r>
          </w:p>
        </w:tc>
      </w:tr>
      <w:tr w:rsidR="00427ED6" w:rsidRPr="005771BD" w:rsidTr="00225F01">
        <w:trPr>
          <w:trHeight w:val="288"/>
        </w:trPr>
        <w:tc>
          <w:tcPr>
            <w:tcW w:w="3296" w:type="pct"/>
            <w:shd w:val="clear" w:color="auto" w:fill="auto"/>
            <w:noWrap/>
            <w:vAlign w:val="bottom"/>
            <w:hideMark/>
          </w:tcPr>
          <w:p w:rsidR="00427ED6" w:rsidRPr="005771BD" w:rsidRDefault="00427ED6" w:rsidP="00225F01">
            <w:pPr>
              <w:spacing w:before="60" w:line="276" w:lineRule="auto"/>
              <w:rPr>
                <w:rFonts w:cs="Arial"/>
                <w:color w:val="000000"/>
                <w:szCs w:val="20"/>
                <w:lang w:val="sl-SI" w:eastAsia="sl-SI"/>
              </w:rPr>
            </w:pPr>
            <w:r w:rsidRPr="005771BD">
              <w:rPr>
                <w:rFonts w:cs="Arial"/>
                <w:color w:val="000000"/>
                <w:szCs w:val="20"/>
                <w:lang w:val="sl-SI" w:eastAsia="sl-SI"/>
              </w:rPr>
              <w:t>Vodna produktivnost (EUR 2000/m3)</w:t>
            </w:r>
          </w:p>
        </w:tc>
        <w:tc>
          <w:tcPr>
            <w:tcW w:w="487"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w:t>
            </w:r>
          </w:p>
        </w:tc>
        <w:tc>
          <w:tcPr>
            <w:tcW w:w="406"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201,4</w:t>
            </w:r>
          </w:p>
        </w:tc>
        <w:tc>
          <w:tcPr>
            <w:tcW w:w="406"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218,8</w:t>
            </w:r>
          </w:p>
        </w:tc>
        <w:tc>
          <w:tcPr>
            <w:tcW w:w="406"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221,9</w:t>
            </w:r>
          </w:p>
        </w:tc>
      </w:tr>
      <w:tr w:rsidR="00427ED6" w:rsidRPr="005771BD" w:rsidTr="00225F01">
        <w:trPr>
          <w:trHeight w:val="288"/>
        </w:trPr>
        <w:tc>
          <w:tcPr>
            <w:tcW w:w="3296" w:type="pct"/>
            <w:shd w:val="clear" w:color="auto" w:fill="auto"/>
            <w:noWrap/>
            <w:vAlign w:val="bottom"/>
            <w:hideMark/>
          </w:tcPr>
          <w:p w:rsidR="00427ED6" w:rsidRPr="005771BD" w:rsidRDefault="00427ED6" w:rsidP="00225F01">
            <w:pPr>
              <w:spacing w:before="60" w:line="276" w:lineRule="auto"/>
              <w:rPr>
                <w:rFonts w:cs="Arial"/>
                <w:color w:val="000000"/>
                <w:szCs w:val="20"/>
                <w:lang w:val="sl-SI" w:eastAsia="sl-SI"/>
              </w:rPr>
            </w:pPr>
            <w:r w:rsidRPr="005771BD">
              <w:rPr>
                <w:rFonts w:cs="Arial"/>
                <w:color w:val="000000"/>
                <w:szCs w:val="20"/>
                <w:lang w:val="sl-SI" w:eastAsia="sl-SI"/>
              </w:rPr>
              <w:t>Bruto zaloga dušika (kg/ha)</w:t>
            </w:r>
          </w:p>
        </w:tc>
        <w:tc>
          <w:tcPr>
            <w:tcW w:w="487"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86</w:t>
            </w:r>
          </w:p>
        </w:tc>
        <w:tc>
          <w:tcPr>
            <w:tcW w:w="406"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44</w:t>
            </w:r>
          </w:p>
        </w:tc>
        <w:tc>
          <w:tcPr>
            <w:tcW w:w="406"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46</w:t>
            </w:r>
          </w:p>
        </w:tc>
        <w:tc>
          <w:tcPr>
            <w:tcW w:w="406"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43</w:t>
            </w:r>
          </w:p>
        </w:tc>
      </w:tr>
    </w:tbl>
    <w:p w:rsidR="00427ED6" w:rsidRPr="005771BD" w:rsidRDefault="00427ED6" w:rsidP="00427ED6">
      <w:pPr>
        <w:spacing w:after="200" w:line="276" w:lineRule="auto"/>
        <w:rPr>
          <w:rFonts w:eastAsiaTheme="minorHAnsi" w:cs="Arial"/>
          <w:b/>
          <w:szCs w:val="20"/>
          <w:lang w:val="sl-SI"/>
        </w:rPr>
      </w:pPr>
    </w:p>
    <w:p w:rsidR="00427ED6" w:rsidRPr="005771BD" w:rsidRDefault="00E41458" w:rsidP="00427ED6">
      <w:pPr>
        <w:spacing w:after="200" w:line="276" w:lineRule="auto"/>
        <w:rPr>
          <w:rFonts w:eastAsiaTheme="minorHAnsi" w:cs="Arial"/>
          <w:b/>
          <w:szCs w:val="20"/>
          <w:lang w:val="sl-SI"/>
        </w:rPr>
      </w:pPr>
      <w:r>
        <w:rPr>
          <w:rFonts w:eastAsiaTheme="minorHAnsi" w:cs="Arial"/>
          <w:b/>
          <w:szCs w:val="20"/>
          <w:lang w:val="sl-SI"/>
        </w:rPr>
        <w:t>4</w:t>
      </w:r>
      <w:r w:rsidR="00427ED6" w:rsidRPr="005771BD">
        <w:rPr>
          <w:rFonts w:eastAsiaTheme="minorHAnsi" w:cs="Arial"/>
          <w:b/>
          <w:szCs w:val="20"/>
          <w:lang w:val="sl-SI"/>
        </w:rPr>
        <w:t>.4.2 Kazalniki temeljnih naravnih dobrin</w:t>
      </w:r>
    </w:p>
    <w:p w:rsidR="00427ED6" w:rsidRPr="005771BD" w:rsidRDefault="00E41458" w:rsidP="00427ED6">
      <w:pPr>
        <w:spacing w:after="200" w:line="276" w:lineRule="auto"/>
        <w:jc w:val="both"/>
        <w:rPr>
          <w:rFonts w:eastAsiaTheme="minorHAnsi" w:cs="Arial"/>
          <w:szCs w:val="20"/>
          <w:lang w:val="sl-SI"/>
        </w:rPr>
      </w:pPr>
      <w:r w:rsidRPr="007F272F">
        <w:rPr>
          <w:rFonts w:eastAsiaTheme="minorHAnsi" w:cs="Arial"/>
          <w:b/>
          <w:noProof/>
          <w:szCs w:val="20"/>
          <w:lang w:val="sl-SI" w:eastAsia="sl-SI"/>
        </w:rPr>
        <w:drawing>
          <wp:anchor distT="0" distB="0" distL="114300" distR="114300" simplePos="0" relativeHeight="251696128" behindDoc="0" locked="0" layoutInCell="1" allowOverlap="1" wp14:anchorId="1D7B457D" wp14:editId="1D2591DF">
            <wp:simplePos x="0" y="0"/>
            <wp:positionH relativeFrom="column">
              <wp:posOffset>-122555</wp:posOffset>
            </wp:positionH>
            <wp:positionV relativeFrom="paragraph">
              <wp:posOffset>179070</wp:posOffset>
            </wp:positionV>
            <wp:extent cx="2647315" cy="2650490"/>
            <wp:effectExtent l="0" t="0" r="635" b="0"/>
            <wp:wrapSquare wrapText="bothSides"/>
            <wp:docPr id="283" name="Slika 283" descr="C:\Users\UROS~1.VAJ\AppData\Local\Temp\notesF8C0DE\2 kazaln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ROS~1.VAJ\AppData\Local\Temp\notesF8C0DE\2 kazalnik.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47315" cy="2650490"/>
                    </a:xfrm>
                    <a:prstGeom prst="rect">
                      <a:avLst/>
                    </a:prstGeom>
                    <a:noFill/>
                    <a:ln>
                      <a:noFill/>
                    </a:ln>
                  </pic:spPr>
                </pic:pic>
              </a:graphicData>
            </a:graphic>
            <wp14:sizeRelH relativeFrom="page">
              <wp14:pctWidth>0</wp14:pctWidth>
            </wp14:sizeRelH>
            <wp14:sizeRelV relativeFrom="page">
              <wp14:pctHeight>0</wp14:pctHeight>
            </wp14:sizeRelV>
          </wp:anchor>
        </w:drawing>
      </w:r>
      <w:r w:rsidR="00427ED6" w:rsidRPr="005771BD">
        <w:rPr>
          <w:rFonts w:eastAsiaTheme="minorHAnsi" w:cs="Arial"/>
          <w:szCs w:val="20"/>
          <w:lang w:val="sl-SI"/>
        </w:rPr>
        <w:t xml:space="preserve">Naravni viri dobrin so pomemben temelj za izvajanje gospodarskih dejavnosti in blaginjo ljudi. Njihove zaloge so del naravnega kapitala in zagotavljajo surovine, energijo, vodo, zrak, zemljišča in prst. Pridobivanje in uporaba teh virov vplivata na kakovost življenja in blaginjo sedanjih in prihodnjih generacij. Učinkovito upravljanje naravnih virov in njihova trajnostna raba sta ključ do gospodarske rasti in okoljske kakovosti. </w:t>
      </w:r>
    </w:p>
    <w:p w:rsidR="00427ED6" w:rsidRPr="005771BD" w:rsidRDefault="00427ED6" w:rsidP="00427ED6">
      <w:pPr>
        <w:spacing w:after="200" w:line="276" w:lineRule="auto"/>
        <w:jc w:val="both"/>
        <w:rPr>
          <w:rFonts w:eastAsiaTheme="minorHAnsi" w:cs="Arial"/>
          <w:szCs w:val="20"/>
          <w:lang w:val="sl-SI"/>
        </w:rPr>
      </w:pPr>
      <w:r w:rsidRPr="005771BD">
        <w:rPr>
          <w:rFonts w:eastAsiaTheme="minorHAnsi" w:cs="Arial"/>
          <w:szCs w:val="20"/>
          <w:lang w:val="sl-SI"/>
        </w:rPr>
        <w:t>Napredek je mogoče meriti s spremljanjem zalog naravnih virov, s tokovi okoljskih storitev in kazalniki, ki odražajo raven, do katere se naravni viri vzdržujejo, glede količine, kakovosti ali vrednosti.</w:t>
      </w:r>
    </w:p>
    <w:p w:rsidR="00427ED6" w:rsidRPr="005771BD" w:rsidRDefault="00427ED6" w:rsidP="00427ED6">
      <w:pPr>
        <w:spacing w:after="200" w:line="276" w:lineRule="auto"/>
        <w:jc w:val="both"/>
        <w:rPr>
          <w:rFonts w:eastAsiaTheme="minorHAnsi" w:cs="Arial"/>
          <w:szCs w:val="20"/>
          <w:lang w:val="sl-SI"/>
        </w:rPr>
      </w:pPr>
      <w:r w:rsidRPr="005771BD">
        <w:rPr>
          <w:rFonts w:eastAsiaTheme="minorHAnsi" w:cs="Arial"/>
          <w:szCs w:val="20"/>
          <w:lang w:val="sl-SI"/>
        </w:rPr>
        <w:t xml:space="preserve">Razpoložljivi sladkovodni viri na prebivalca se precej spreminjajo. Najnižji so bili v sušnih letih 2003, 2006 in 2011. Izkoriščeni domači viri so viri snovi domačega izvora, tj. snovi, ki jih črpamo iz svojega okolja, npr. mineralne surovine, energetske surovine, biomasa itd., njihova poraba na prebivalca pa se od leta 2007 postopoma znižuje. Ob tem se je v celotnem opazovanem obdobju (od 1953) povečevala lesna zaloga. Delež kmetijskih zemljišč se v zadnjih 15 letih skoraj ni spremenil, delež akvakulture v celotni ribiški proizvodnji pa se je v zadnjih nekaj letih precej povečal. </w:t>
      </w:r>
    </w:p>
    <w:p w:rsidR="00427ED6" w:rsidRPr="005771BD" w:rsidRDefault="00427ED6" w:rsidP="00427ED6">
      <w:pPr>
        <w:spacing w:before="60" w:line="276" w:lineRule="auto"/>
        <w:rPr>
          <w:rFonts w:eastAsiaTheme="minorHAnsi" w:cs="Arial"/>
          <w:i/>
          <w:szCs w:val="20"/>
          <w:lang w:val="sl-SI"/>
        </w:rPr>
      </w:pPr>
      <w:r w:rsidRPr="005771BD">
        <w:rPr>
          <w:rFonts w:eastAsiaTheme="minorHAnsi" w:cs="Arial"/>
          <w:i/>
          <w:szCs w:val="20"/>
          <w:lang w:val="sl-SI"/>
        </w:rPr>
        <w:t xml:space="preserve">Preglednica </w:t>
      </w:r>
      <w:r w:rsidR="00E41458">
        <w:rPr>
          <w:rFonts w:eastAsiaTheme="minorHAnsi" w:cs="Arial"/>
          <w:i/>
          <w:szCs w:val="20"/>
          <w:lang w:val="sl-SI"/>
        </w:rPr>
        <w:t>4</w:t>
      </w:r>
      <w:r w:rsidRPr="005771BD">
        <w:rPr>
          <w:rFonts w:eastAsiaTheme="minorHAnsi" w:cs="Arial"/>
          <w:i/>
          <w:szCs w:val="20"/>
          <w:lang w:val="sl-SI"/>
        </w:rPr>
        <w:t>.2: Kazalniki temeljnih naravnih dobrin</w:t>
      </w:r>
    </w:p>
    <w:p w:rsidR="00427ED6" w:rsidRPr="005771BD" w:rsidRDefault="00427ED6" w:rsidP="00E41458">
      <w:pPr>
        <w:spacing w:before="60" w:line="276" w:lineRule="auto"/>
        <w:rPr>
          <w:rFonts w:eastAsiaTheme="minorHAnsi" w:cs="Arial"/>
          <w:i/>
          <w:sz w:val="18"/>
          <w:szCs w:val="18"/>
          <w:lang w:val="sl-SI"/>
        </w:rPr>
      </w:pPr>
      <w:r w:rsidRPr="005771BD">
        <w:rPr>
          <w:rFonts w:eastAsiaTheme="minorHAnsi" w:cs="Arial"/>
          <w:i/>
          <w:sz w:val="18"/>
          <w:szCs w:val="18"/>
          <w:lang w:val="sl-SI"/>
        </w:rPr>
        <w:t>Vir: Statistični urad Republike Slovenije, Zavod za gozdove, Agencija RS za okolje, Eurostat</w:t>
      </w:r>
    </w:p>
    <w:tbl>
      <w:tblPr>
        <w:tblW w:w="486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202"/>
        <w:gridCol w:w="872"/>
        <w:gridCol w:w="870"/>
        <w:gridCol w:w="872"/>
        <w:gridCol w:w="867"/>
      </w:tblGrid>
      <w:tr w:rsidR="00427ED6" w:rsidRPr="005771BD" w:rsidTr="00225F01">
        <w:trPr>
          <w:trHeight w:val="288"/>
        </w:trPr>
        <w:tc>
          <w:tcPr>
            <w:tcW w:w="2996" w:type="pct"/>
            <w:shd w:val="clear" w:color="auto" w:fill="auto"/>
            <w:noWrap/>
            <w:vAlign w:val="bottom"/>
            <w:hideMark/>
          </w:tcPr>
          <w:p w:rsidR="00427ED6" w:rsidRPr="005771BD" w:rsidRDefault="00427ED6" w:rsidP="00225F01">
            <w:pPr>
              <w:spacing w:before="60" w:line="276" w:lineRule="auto"/>
              <w:rPr>
                <w:rFonts w:cs="Arial"/>
                <w:b/>
                <w:color w:val="000000"/>
                <w:szCs w:val="20"/>
                <w:lang w:val="sl-SI" w:eastAsia="sl-SI"/>
              </w:rPr>
            </w:pPr>
            <w:r w:rsidRPr="005771BD">
              <w:rPr>
                <w:rFonts w:cs="Arial"/>
                <w:b/>
                <w:color w:val="000000"/>
                <w:szCs w:val="20"/>
                <w:lang w:val="sl-SI" w:eastAsia="sl-SI"/>
              </w:rPr>
              <w:t>Kazalniki temeljnih naravnih dobrin</w:t>
            </w:r>
          </w:p>
        </w:tc>
        <w:tc>
          <w:tcPr>
            <w:tcW w:w="502" w:type="pct"/>
            <w:shd w:val="clear" w:color="auto" w:fill="auto"/>
            <w:noWrap/>
            <w:vAlign w:val="bottom"/>
            <w:hideMark/>
          </w:tcPr>
          <w:p w:rsidR="00427ED6" w:rsidRPr="005771BD" w:rsidRDefault="00427ED6" w:rsidP="00225F01">
            <w:pPr>
              <w:spacing w:before="60" w:line="276" w:lineRule="auto"/>
              <w:jc w:val="right"/>
              <w:rPr>
                <w:rFonts w:cs="Arial"/>
                <w:b/>
                <w:color w:val="000000"/>
                <w:szCs w:val="20"/>
                <w:lang w:val="sl-SI" w:eastAsia="sl-SI"/>
              </w:rPr>
            </w:pPr>
            <w:r w:rsidRPr="005771BD">
              <w:rPr>
                <w:rFonts w:cs="Arial"/>
                <w:b/>
                <w:color w:val="000000"/>
                <w:szCs w:val="20"/>
                <w:lang w:val="sl-SI" w:eastAsia="sl-SI"/>
              </w:rPr>
              <w:t>2000</w:t>
            </w:r>
          </w:p>
        </w:tc>
        <w:tc>
          <w:tcPr>
            <w:tcW w:w="501" w:type="pct"/>
            <w:shd w:val="clear" w:color="auto" w:fill="auto"/>
            <w:noWrap/>
            <w:vAlign w:val="bottom"/>
            <w:hideMark/>
          </w:tcPr>
          <w:p w:rsidR="00427ED6" w:rsidRPr="005771BD" w:rsidRDefault="00427ED6" w:rsidP="00225F01">
            <w:pPr>
              <w:spacing w:before="60" w:line="276" w:lineRule="auto"/>
              <w:jc w:val="right"/>
              <w:rPr>
                <w:rFonts w:cs="Arial"/>
                <w:b/>
                <w:color w:val="000000"/>
                <w:szCs w:val="20"/>
                <w:lang w:val="sl-SI" w:eastAsia="sl-SI"/>
              </w:rPr>
            </w:pPr>
            <w:r w:rsidRPr="005771BD">
              <w:rPr>
                <w:rFonts w:cs="Arial"/>
                <w:b/>
                <w:color w:val="000000"/>
                <w:szCs w:val="20"/>
                <w:lang w:val="sl-SI" w:eastAsia="sl-SI"/>
              </w:rPr>
              <w:t>2005</w:t>
            </w:r>
          </w:p>
        </w:tc>
        <w:tc>
          <w:tcPr>
            <w:tcW w:w="502" w:type="pct"/>
            <w:shd w:val="clear" w:color="auto" w:fill="auto"/>
            <w:noWrap/>
            <w:vAlign w:val="bottom"/>
            <w:hideMark/>
          </w:tcPr>
          <w:p w:rsidR="00427ED6" w:rsidRPr="005771BD" w:rsidRDefault="00427ED6" w:rsidP="00225F01">
            <w:pPr>
              <w:spacing w:before="60" w:line="276" w:lineRule="auto"/>
              <w:jc w:val="right"/>
              <w:rPr>
                <w:rFonts w:cs="Arial"/>
                <w:b/>
                <w:color w:val="000000"/>
                <w:szCs w:val="20"/>
                <w:lang w:val="sl-SI" w:eastAsia="sl-SI"/>
              </w:rPr>
            </w:pPr>
            <w:r w:rsidRPr="005771BD">
              <w:rPr>
                <w:rFonts w:cs="Arial"/>
                <w:b/>
                <w:color w:val="000000"/>
                <w:szCs w:val="20"/>
                <w:lang w:val="sl-SI" w:eastAsia="sl-SI"/>
              </w:rPr>
              <w:t>2010</w:t>
            </w:r>
          </w:p>
        </w:tc>
        <w:tc>
          <w:tcPr>
            <w:tcW w:w="500" w:type="pct"/>
            <w:shd w:val="clear" w:color="auto" w:fill="auto"/>
            <w:noWrap/>
            <w:vAlign w:val="bottom"/>
            <w:hideMark/>
          </w:tcPr>
          <w:p w:rsidR="00427ED6" w:rsidRPr="005771BD" w:rsidRDefault="00427ED6" w:rsidP="00225F01">
            <w:pPr>
              <w:spacing w:before="60" w:line="276" w:lineRule="auto"/>
              <w:jc w:val="right"/>
              <w:rPr>
                <w:rFonts w:cs="Arial"/>
                <w:b/>
                <w:color w:val="000000"/>
                <w:szCs w:val="20"/>
                <w:lang w:val="sl-SI" w:eastAsia="sl-SI"/>
              </w:rPr>
            </w:pPr>
            <w:r w:rsidRPr="005771BD">
              <w:rPr>
                <w:rFonts w:cs="Arial"/>
                <w:b/>
                <w:color w:val="000000"/>
                <w:szCs w:val="20"/>
                <w:lang w:val="sl-SI" w:eastAsia="sl-SI"/>
              </w:rPr>
              <w:t>2014</w:t>
            </w:r>
          </w:p>
        </w:tc>
      </w:tr>
      <w:tr w:rsidR="00427ED6" w:rsidRPr="005771BD" w:rsidTr="00225F01">
        <w:trPr>
          <w:trHeight w:val="288"/>
        </w:trPr>
        <w:tc>
          <w:tcPr>
            <w:tcW w:w="2996" w:type="pct"/>
            <w:shd w:val="clear" w:color="auto" w:fill="auto"/>
            <w:noWrap/>
            <w:vAlign w:val="bottom"/>
            <w:hideMark/>
          </w:tcPr>
          <w:p w:rsidR="00427ED6" w:rsidRPr="005771BD" w:rsidRDefault="00427ED6" w:rsidP="00225F01">
            <w:pPr>
              <w:spacing w:before="60" w:line="276" w:lineRule="auto"/>
              <w:rPr>
                <w:rFonts w:cs="Arial"/>
                <w:color w:val="000000"/>
                <w:szCs w:val="20"/>
                <w:lang w:val="sl-SI" w:eastAsia="sl-SI"/>
              </w:rPr>
            </w:pPr>
            <w:r w:rsidRPr="005771BD">
              <w:rPr>
                <w:rFonts w:cs="Arial"/>
                <w:color w:val="000000"/>
                <w:szCs w:val="20"/>
                <w:lang w:val="sl-SI" w:eastAsia="sl-SI"/>
              </w:rPr>
              <w:t xml:space="preserve">Skupna količina razpoložljivih sladkovodnih virov </w:t>
            </w:r>
          </w:p>
          <w:p w:rsidR="00427ED6" w:rsidRPr="005771BD" w:rsidRDefault="00427ED6" w:rsidP="00225F01">
            <w:pPr>
              <w:spacing w:line="276" w:lineRule="auto"/>
              <w:rPr>
                <w:rFonts w:cs="Arial"/>
                <w:color w:val="000000"/>
                <w:szCs w:val="20"/>
                <w:lang w:val="sl-SI" w:eastAsia="sl-SI"/>
              </w:rPr>
            </w:pPr>
            <w:r w:rsidRPr="005771BD">
              <w:rPr>
                <w:rFonts w:cs="Arial"/>
                <w:color w:val="000000"/>
                <w:szCs w:val="20"/>
                <w:lang w:val="sl-SI" w:eastAsia="sl-SI"/>
              </w:rPr>
              <w:t>(m</w:t>
            </w:r>
            <w:r w:rsidRPr="005771BD">
              <w:rPr>
                <w:rFonts w:cs="Arial"/>
                <w:color w:val="000000"/>
                <w:szCs w:val="20"/>
                <w:vertAlign w:val="superscript"/>
                <w:lang w:val="sl-SI" w:eastAsia="sl-SI"/>
              </w:rPr>
              <w:t>3</w:t>
            </w:r>
            <w:r w:rsidRPr="005771BD">
              <w:rPr>
                <w:rFonts w:cs="Arial"/>
                <w:color w:val="000000"/>
                <w:szCs w:val="20"/>
                <w:lang w:val="sl-SI" w:eastAsia="sl-SI"/>
              </w:rPr>
              <w:t>/prebivalca)</w:t>
            </w:r>
          </w:p>
        </w:tc>
        <w:tc>
          <w:tcPr>
            <w:tcW w:w="502"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15988</w:t>
            </w:r>
          </w:p>
        </w:tc>
        <w:tc>
          <w:tcPr>
            <w:tcW w:w="501"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14262</w:t>
            </w:r>
          </w:p>
        </w:tc>
        <w:tc>
          <w:tcPr>
            <w:tcW w:w="502"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18097</w:t>
            </w:r>
          </w:p>
        </w:tc>
        <w:tc>
          <w:tcPr>
            <w:tcW w:w="500"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22731</w:t>
            </w:r>
          </w:p>
        </w:tc>
      </w:tr>
      <w:tr w:rsidR="00427ED6" w:rsidRPr="005771BD" w:rsidTr="00225F01">
        <w:trPr>
          <w:trHeight w:val="288"/>
        </w:trPr>
        <w:tc>
          <w:tcPr>
            <w:tcW w:w="2996" w:type="pct"/>
            <w:shd w:val="clear" w:color="auto" w:fill="auto"/>
            <w:noWrap/>
            <w:vAlign w:val="bottom"/>
            <w:hideMark/>
          </w:tcPr>
          <w:p w:rsidR="00427ED6" w:rsidRPr="005771BD" w:rsidRDefault="00427ED6" w:rsidP="00225F01">
            <w:pPr>
              <w:spacing w:before="60" w:line="276" w:lineRule="auto"/>
              <w:rPr>
                <w:rFonts w:cs="Arial"/>
                <w:color w:val="000000"/>
                <w:szCs w:val="20"/>
                <w:lang w:val="sl-SI" w:eastAsia="sl-SI"/>
              </w:rPr>
            </w:pPr>
            <w:r w:rsidRPr="005771BD">
              <w:rPr>
                <w:rFonts w:cs="Arial"/>
                <w:color w:val="000000"/>
                <w:szCs w:val="20"/>
                <w:lang w:val="sl-SI" w:eastAsia="sl-SI"/>
              </w:rPr>
              <w:t>Izkoriščanje domačih virov (t/osebo)</w:t>
            </w:r>
          </w:p>
        </w:tc>
        <w:tc>
          <w:tcPr>
            <w:tcW w:w="502"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15,1</w:t>
            </w:r>
          </w:p>
        </w:tc>
        <w:tc>
          <w:tcPr>
            <w:tcW w:w="501"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15,5</w:t>
            </w:r>
          </w:p>
        </w:tc>
        <w:tc>
          <w:tcPr>
            <w:tcW w:w="502"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13,7</w:t>
            </w:r>
          </w:p>
        </w:tc>
        <w:tc>
          <w:tcPr>
            <w:tcW w:w="500"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11,9</w:t>
            </w:r>
          </w:p>
        </w:tc>
      </w:tr>
      <w:tr w:rsidR="00427ED6" w:rsidRPr="005771BD" w:rsidTr="00225F01">
        <w:trPr>
          <w:trHeight w:val="288"/>
        </w:trPr>
        <w:tc>
          <w:tcPr>
            <w:tcW w:w="2996" w:type="pct"/>
            <w:shd w:val="clear" w:color="auto" w:fill="auto"/>
            <w:noWrap/>
            <w:vAlign w:val="bottom"/>
            <w:hideMark/>
          </w:tcPr>
          <w:p w:rsidR="00427ED6" w:rsidRPr="005771BD" w:rsidRDefault="00427ED6" w:rsidP="00225F01">
            <w:pPr>
              <w:spacing w:before="60" w:line="276" w:lineRule="auto"/>
              <w:rPr>
                <w:rFonts w:cs="Arial"/>
                <w:color w:val="000000"/>
                <w:szCs w:val="20"/>
                <w:lang w:val="sl-SI" w:eastAsia="sl-SI"/>
              </w:rPr>
            </w:pPr>
            <w:r w:rsidRPr="005771BD">
              <w:rPr>
                <w:rFonts w:cs="Arial"/>
                <w:color w:val="000000"/>
                <w:szCs w:val="20"/>
                <w:lang w:val="sl-SI" w:eastAsia="sl-SI"/>
              </w:rPr>
              <w:t>Lesna zaloga (m</w:t>
            </w:r>
            <w:r w:rsidRPr="005771BD">
              <w:rPr>
                <w:rFonts w:cs="Arial"/>
                <w:color w:val="000000"/>
                <w:szCs w:val="20"/>
                <w:vertAlign w:val="superscript"/>
                <w:lang w:val="sl-SI" w:eastAsia="sl-SI"/>
              </w:rPr>
              <w:t>3</w:t>
            </w:r>
            <w:r w:rsidRPr="005771BD">
              <w:rPr>
                <w:rFonts w:cs="Arial"/>
                <w:color w:val="000000"/>
                <w:szCs w:val="20"/>
                <w:lang w:val="sl-SI" w:eastAsia="sl-SI"/>
              </w:rPr>
              <w:t>/ha)</w:t>
            </w:r>
          </w:p>
        </w:tc>
        <w:tc>
          <w:tcPr>
            <w:tcW w:w="502"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232</w:t>
            </w:r>
          </w:p>
        </w:tc>
        <w:tc>
          <w:tcPr>
            <w:tcW w:w="501"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257</w:t>
            </w:r>
          </w:p>
        </w:tc>
        <w:tc>
          <w:tcPr>
            <w:tcW w:w="502"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279</w:t>
            </w:r>
          </w:p>
        </w:tc>
        <w:tc>
          <w:tcPr>
            <w:tcW w:w="500"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293</w:t>
            </w:r>
          </w:p>
        </w:tc>
      </w:tr>
      <w:tr w:rsidR="00427ED6" w:rsidRPr="005771BD" w:rsidTr="00225F01">
        <w:trPr>
          <w:trHeight w:val="288"/>
        </w:trPr>
        <w:tc>
          <w:tcPr>
            <w:tcW w:w="2996" w:type="pct"/>
            <w:shd w:val="clear" w:color="auto" w:fill="auto"/>
            <w:noWrap/>
            <w:vAlign w:val="bottom"/>
            <w:hideMark/>
          </w:tcPr>
          <w:p w:rsidR="00427ED6" w:rsidRPr="005771BD" w:rsidRDefault="00427ED6" w:rsidP="00225F01">
            <w:pPr>
              <w:spacing w:before="60" w:line="276" w:lineRule="auto"/>
              <w:rPr>
                <w:rFonts w:cs="Arial"/>
                <w:color w:val="000000"/>
                <w:szCs w:val="20"/>
                <w:lang w:val="sl-SI" w:eastAsia="sl-SI"/>
              </w:rPr>
            </w:pPr>
            <w:r w:rsidRPr="005771BD">
              <w:rPr>
                <w:rFonts w:cs="Arial"/>
                <w:color w:val="000000"/>
                <w:szCs w:val="20"/>
                <w:lang w:val="sl-SI" w:eastAsia="sl-SI"/>
              </w:rPr>
              <w:t>Kmetijska zemljišča v uporabi (%)</w:t>
            </w:r>
          </w:p>
        </w:tc>
        <w:tc>
          <w:tcPr>
            <w:tcW w:w="502"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25,1</w:t>
            </w:r>
          </w:p>
        </w:tc>
        <w:tc>
          <w:tcPr>
            <w:tcW w:w="501"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25,1</w:t>
            </w:r>
          </w:p>
        </w:tc>
        <w:tc>
          <w:tcPr>
            <w:tcW w:w="502"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23,8</w:t>
            </w:r>
          </w:p>
        </w:tc>
        <w:tc>
          <w:tcPr>
            <w:tcW w:w="500"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23,8</w:t>
            </w:r>
          </w:p>
        </w:tc>
      </w:tr>
      <w:tr w:rsidR="00427ED6" w:rsidRPr="005771BD" w:rsidTr="00225F01">
        <w:trPr>
          <w:trHeight w:val="288"/>
        </w:trPr>
        <w:tc>
          <w:tcPr>
            <w:tcW w:w="2996" w:type="pct"/>
            <w:shd w:val="clear" w:color="auto" w:fill="auto"/>
            <w:noWrap/>
            <w:vAlign w:val="bottom"/>
            <w:hideMark/>
          </w:tcPr>
          <w:p w:rsidR="00427ED6" w:rsidRPr="005771BD" w:rsidRDefault="00427ED6" w:rsidP="00225F01">
            <w:pPr>
              <w:spacing w:before="60" w:line="276" w:lineRule="auto"/>
              <w:rPr>
                <w:rFonts w:cs="Arial"/>
                <w:color w:val="000000"/>
                <w:szCs w:val="20"/>
                <w:lang w:val="sl-SI" w:eastAsia="sl-SI"/>
              </w:rPr>
            </w:pPr>
            <w:r w:rsidRPr="005771BD">
              <w:rPr>
                <w:rFonts w:cs="Arial"/>
                <w:color w:val="000000"/>
                <w:szCs w:val="20"/>
                <w:lang w:val="sl-SI" w:eastAsia="sl-SI"/>
              </w:rPr>
              <w:t>Delež akvakulture v celotni ribiški proizvodnji</w:t>
            </w:r>
            <w:r w:rsidRPr="005771BD" w:rsidDel="00ED407B">
              <w:rPr>
                <w:rFonts w:cs="Arial"/>
                <w:color w:val="000000"/>
                <w:szCs w:val="20"/>
                <w:lang w:val="sl-SI" w:eastAsia="sl-SI"/>
              </w:rPr>
              <w:t xml:space="preserve"> </w:t>
            </w:r>
            <w:r w:rsidRPr="005771BD">
              <w:rPr>
                <w:rFonts w:cs="Arial"/>
                <w:color w:val="000000"/>
                <w:szCs w:val="20"/>
                <w:lang w:val="sl-SI" w:eastAsia="sl-SI"/>
              </w:rPr>
              <w:t>(%)</w:t>
            </w:r>
          </w:p>
        </w:tc>
        <w:tc>
          <w:tcPr>
            <w:tcW w:w="502"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42,4</w:t>
            </w:r>
          </w:p>
        </w:tc>
        <w:tc>
          <w:tcPr>
            <w:tcW w:w="501"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56,9</w:t>
            </w:r>
          </w:p>
        </w:tc>
        <w:tc>
          <w:tcPr>
            <w:tcW w:w="502"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50,5</w:t>
            </w:r>
          </w:p>
        </w:tc>
        <w:tc>
          <w:tcPr>
            <w:tcW w:w="500"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85</w:t>
            </w:r>
          </w:p>
        </w:tc>
      </w:tr>
    </w:tbl>
    <w:p w:rsidR="00E41458" w:rsidRDefault="00E41458" w:rsidP="00427ED6">
      <w:pPr>
        <w:spacing w:after="200" w:line="276" w:lineRule="auto"/>
        <w:jc w:val="both"/>
        <w:rPr>
          <w:rFonts w:eastAsiaTheme="minorHAnsi" w:cs="Arial"/>
          <w:b/>
          <w:szCs w:val="20"/>
          <w:lang w:val="sl-SI"/>
        </w:rPr>
      </w:pPr>
    </w:p>
    <w:p w:rsidR="00427ED6" w:rsidRPr="005771BD" w:rsidRDefault="00E41458" w:rsidP="00427ED6">
      <w:pPr>
        <w:spacing w:after="200" w:line="276" w:lineRule="auto"/>
        <w:jc w:val="both"/>
        <w:rPr>
          <w:rFonts w:eastAsiaTheme="minorHAnsi" w:cs="Arial"/>
          <w:b/>
          <w:szCs w:val="20"/>
          <w:lang w:val="sl-SI"/>
        </w:rPr>
      </w:pPr>
      <w:r>
        <w:rPr>
          <w:rFonts w:eastAsiaTheme="minorHAnsi" w:cs="Arial"/>
          <w:b/>
          <w:szCs w:val="20"/>
          <w:lang w:val="sl-SI"/>
        </w:rPr>
        <w:t>4</w:t>
      </w:r>
      <w:r w:rsidR="00427ED6" w:rsidRPr="005771BD">
        <w:rPr>
          <w:rFonts w:eastAsiaTheme="minorHAnsi" w:cs="Arial"/>
          <w:b/>
          <w:szCs w:val="20"/>
          <w:lang w:val="sl-SI"/>
        </w:rPr>
        <w:t>.4.3 Kazalniki okoljskih razsežnosti kakovosti življenja</w:t>
      </w:r>
    </w:p>
    <w:p w:rsidR="00427ED6" w:rsidRPr="005771BD" w:rsidRDefault="00427ED6" w:rsidP="00427ED6">
      <w:pPr>
        <w:spacing w:after="200" w:line="276" w:lineRule="auto"/>
        <w:jc w:val="both"/>
        <w:rPr>
          <w:rFonts w:eastAsiaTheme="minorHAnsi" w:cs="Arial"/>
          <w:szCs w:val="20"/>
          <w:lang w:val="sl-SI"/>
        </w:rPr>
      </w:pPr>
      <w:r w:rsidRPr="007F272F">
        <w:rPr>
          <w:rFonts w:eastAsiaTheme="minorHAnsi" w:cs="Arial"/>
          <w:b/>
          <w:noProof/>
          <w:szCs w:val="20"/>
          <w:lang w:val="sl-SI" w:eastAsia="sl-SI"/>
        </w:rPr>
        <w:drawing>
          <wp:anchor distT="0" distB="0" distL="114300" distR="114300" simplePos="0" relativeHeight="251697152" behindDoc="0" locked="0" layoutInCell="1" allowOverlap="1" wp14:anchorId="3F551996" wp14:editId="3EC358B3">
            <wp:simplePos x="0" y="0"/>
            <wp:positionH relativeFrom="column">
              <wp:posOffset>-70485</wp:posOffset>
            </wp:positionH>
            <wp:positionV relativeFrom="paragraph">
              <wp:posOffset>120650</wp:posOffset>
            </wp:positionV>
            <wp:extent cx="2933700" cy="2933700"/>
            <wp:effectExtent l="0" t="0" r="0" b="0"/>
            <wp:wrapSquare wrapText="bothSides"/>
            <wp:docPr id="284" name="Slika 284" descr="C:\Users\UROS~1.VAJ\AppData\Local\Temp\notesF8C0DE\3 kazaln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ROS~1.VAJ\AppData\Local\Temp\notesF8C0DE\3 kazalnik.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33700" cy="2933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7ED6" w:rsidRPr="005771BD" w:rsidRDefault="00427ED6" w:rsidP="00427ED6">
      <w:pPr>
        <w:spacing w:after="200" w:line="276" w:lineRule="auto"/>
        <w:jc w:val="both"/>
        <w:rPr>
          <w:rFonts w:eastAsiaTheme="minorHAnsi" w:cs="Arial"/>
          <w:szCs w:val="20"/>
          <w:lang w:val="sl-SI"/>
        </w:rPr>
      </w:pPr>
    </w:p>
    <w:p w:rsidR="00427ED6" w:rsidRPr="005771BD" w:rsidRDefault="00427ED6" w:rsidP="00427ED6">
      <w:pPr>
        <w:spacing w:after="200" w:line="276" w:lineRule="auto"/>
        <w:jc w:val="both"/>
        <w:rPr>
          <w:rFonts w:eastAsiaTheme="minorHAnsi" w:cs="Arial"/>
          <w:szCs w:val="20"/>
          <w:lang w:val="sl-SI"/>
        </w:rPr>
      </w:pPr>
      <w:r w:rsidRPr="005771BD">
        <w:rPr>
          <w:rFonts w:eastAsiaTheme="minorHAnsi" w:cs="Arial"/>
          <w:szCs w:val="20"/>
          <w:lang w:val="sl-SI"/>
        </w:rPr>
        <w:t>Okoljski vplivi so pomemben dejavnik za zdravstveno stanje in blaginjo ljudi. Kažejo, da rast proizvodnje in dohodka ni nujno povezana z rastjo blaginje. Poslabšanje kakovosti okolja je lahko posledica ali vzrok netrajnostnih razvojnih vzorcev, posledice pa se lahko kažejo na gospodarskem in družbenem področju: v zmanjšanju kmetijske proizvodnje, oslabljenem</w:t>
      </w:r>
      <w:r>
        <w:rPr>
          <w:rFonts w:eastAsiaTheme="minorHAnsi" w:cs="Arial"/>
          <w:szCs w:val="20"/>
          <w:lang w:val="sl-SI"/>
        </w:rPr>
        <w:t xml:space="preserve"> </w:t>
      </w:r>
      <w:r w:rsidRPr="005771BD">
        <w:rPr>
          <w:rFonts w:eastAsiaTheme="minorHAnsi" w:cs="Arial"/>
          <w:szCs w:val="20"/>
          <w:lang w:val="sl-SI"/>
        </w:rPr>
        <w:t xml:space="preserve">delovanju ekosistemov, zdravstvenih stroških in na splošno z nižjo kakovostjo življenja. </w:t>
      </w:r>
    </w:p>
    <w:p w:rsidR="00427ED6" w:rsidRPr="005771BD" w:rsidRDefault="00427ED6" w:rsidP="00427ED6">
      <w:pPr>
        <w:spacing w:after="200" w:line="276" w:lineRule="auto"/>
        <w:jc w:val="both"/>
        <w:rPr>
          <w:rFonts w:eastAsiaTheme="minorHAnsi" w:cs="Arial"/>
          <w:szCs w:val="20"/>
          <w:lang w:val="sl-SI"/>
        </w:rPr>
      </w:pPr>
    </w:p>
    <w:p w:rsidR="00427ED6" w:rsidRPr="005771BD" w:rsidRDefault="00427ED6" w:rsidP="00427ED6">
      <w:pPr>
        <w:spacing w:after="200" w:line="276" w:lineRule="auto"/>
        <w:jc w:val="both"/>
        <w:rPr>
          <w:rFonts w:eastAsiaTheme="minorHAnsi" w:cs="Arial"/>
          <w:szCs w:val="20"/>
          <w:lang w:val="sl-SI"/>
        </w:rPr>
      </w:pPr>
    </w:p>
    <w:p w:rsidR="00427ED6" w:rsidRPr="005771BD" w:rsidRDefault="00427ED6" w:rsidP="00427ED6">
      <w:pPr>
        <w:spacing w:after="200" w:line="276" w:lineRule="auto"/>
        <w:jc w:val="both"/>
        <w:rPr>
          <w:rFonts w:eastAsiaTheme="minorHAnsi" w:cs="Arial"/>
          <w:szCs w:val="20"/>
          <w:lang w:val="sl-SI"/>
        </w:rPr>
      </w:pPr>
      <w:r w:rsidRPr="005771BD">
        <w:rPr>
          <w:rFonts w:eastAsiaTheme="minorHAnsi" w:cs="Arial"/>
          <w:szCs w:val="20"/>
          <w:lang w:val="sl-SI"/>
        </w:rPr>
        <w:t>Glavna vsebina, na katero se nanaša ta skupina kazalnikov zelene rasti, zato prikazuje izpostavljenost ljudi onesnaženosti okolja in okoljskim tveganjem.</w:t>
      </w:r>
    </w:p>
    <w:p w:rsidR="00427ED6" w:rsidRPr="005771BD" w:rsidRDefault="00427ED6" w:rsidP="00427ED6">
      <w:pPr>
        <w:spacing w:after="200" w:line="276" w:lineRule="auto"/>
        <w:jc w:val="both"/>
        <w:rPr>
          <w:rFonts w:eastAsiaTheme="minorHAnsi" w:cs="Arial"/>
          <w:szCs w:val="20"/>
          <w:lang w:val="sl-SI"/>
        </w:rPr>
      </w:pPr>
      <w:r w:rsidRPr="005771BD">
        <w:rPr>
          <w:rFonts w:eastAsiaTheme="minorHAnsi" w:cs="Arial"/>
          <w:szCs w:val="20"/>
          <w:lang w:val="sl-SI"/>
        </w:rPr>
        <w:t>Izpostavljenost urbanega prebivalstva škodljivim prašnim delcem PM</w:t>
      </w:r>
      <w:r w:rsidRPr="005771BD">
        <w:rPr>
          <w:rFonts w:eastAsiaTheme="minorHAnsi" w:cs="Arial"/>
          <w:szCs w:val="20"/>
          <w:vertAlign w:val="subscript"/>
          <w:lang w:val="sl-SI"/>
        </w:rPr>
        <w:t>10</w:t>
      </w:r>
      <w:r w:rsidRPr="005771BD">
        <w:rPr>
          <w:rFonts w:eastAsiaTheme="minorHAnsi" w:cs="Arial"/>
          <w:szCs w:val="20"/>
          <w:lang w:val="sl-SI"/>
        </w:rPr>
        <w:t xml:space="preserve"> v zunanjem zraku </w:t>
      </w:r>
      <w:r>
        <w:rPr>
          <w:rFonts w:eastAsiaTheme="minorHAnsi" w:cs="Arial"/>
          <w:szCs w:val="20"/>
          <w:lang w:val="sl-SI"/>
        </w:rPr>
        <w:t xml:space="preserve">se </w:t>
      </w:r>
      <w:r w:rsidRPr="005771BD">
        <w:rPr>
          <w:rFonts w:eastAsiaTheme="minorHAnsi" w:cs="Arial"/>
          <w:szCs w:val="20"/>
          <w:lang w:val="sl-SI"/>
        </w:rPr>
        <w:t xml:space="preserve">od leta 2004 </w:t>
      </w:r>
      <w:r>
        <w:rPr>
          <w:rFonts w:eastAsiaTheme="minorHAnsi" w:cs="Arial"/>
          <w:szCs w:val="20"/>
          <w:lang w:val="sl-SI"/>
        </w:rPr>
        <w:t>zmanjšuje</w:t>
      </w:r>
      <w:r w:rsidRPr="005771BD">
        <w:rPr>
          <w:rFonts w:eastAsiaTheme="minorHAnsi" w:cs="Arial"/>
          <w:szCs w:val="20"/>
          <w:lang w:val="sl-SI"/>
        </w:rPr>
        <w:t xml:space="preserve">. Delež ločeno zbranih komunalnih odpadkov se je v zadnjih štirih letih povečal za 40 odstotnih točk. Delež neskladnih vzorcev zaradi onesnaženosti pitne vode z E.coli </w:t>
      </w:r>
      <w:r>
        <w:rPr>
          <w:rFonts w:eastAsiaTheme="minorHAnsi" w:cs="Arial"/>
          <w:szCs w:val="20"/>
          <w:lang w:val="sl-SI"/>
        </w:rPr>
        <w:t xml:space="preserve">se </w:t>
      </w:r>
      <w:r w:rsidRPr="005771BD">
        <w:rPr>
          <w:rFonts w:eastAsiaTheme="minorHAnsi" w:cs="Arial"/>
          <w:szCs w:val="20"/>
          <w:lang w:val="sl-SI"/>
        </w:rPr>
        <w:t xml:space="preserve">z leti </w:t>
      </w:r>
      <w:r>
        <w:rPr>
          <w:rFonts w:eastAsiaTheme="minorHAnsi" w:cs="Arial"/>
          <w:szCs w:val="20"/>
          <w:lang w:val="sl-SI"/>
        </w:rPr>
        <w:t>manjša</w:t>
      </w:r>
      <w:r w:rsidRPr="005771BD">
        <w:rPr>
          <w:rFonts w:eastAsiaTheme="minorHAnsi" w:cs="Arial"/>
          <w:szCs w:val="20"/>
          <w:lang w:val="sl-SI"/>
        </w:rPr>
        <w:t>, delež kmetijskih zemljišč v uporabi z ekološko pridelavo pa se z leti povečuje, a počasi.</w:t>
      </w:r>
    </w:p>
    <w:p w:rsidR="00427ED6" w:rsidRDefault="00427ED6" w:rsidP="00427ED6">
      <w:pPr>
        <w:spacing w:before="60" w:after="120" w:line="276" w:lineRule="auto"/>
        <w:rPr>
          <w:rFonts w:eastAsiaTheme="minorHAnsi" w:cs="Arial"/>
          <w:i/>
          <w:szCs w:val="20"/>
          <w:lang w:val="sl-SI"/>
        </w:rPr>
      </w:pPr>
    </w:p>
    <w:p w:rsidR="00E41458" w:rsidRDefault="00E41458" w:rsidP="00427ED6">
      <w:pPr>
        <w:spacing w:before="60" w:after="120" w:line="276" w:lineRule="auto"/>
        <w:rPr>
          <w:rFonts w:eastAsiaTheme="minorHAnsi" w:cs="Arial"/>
          <w:i/>
          <w:szCs w:val="20"/>
          <w:lang w:val="sl-SI"/>
        </w:rPr>
      </w:pPr>
    </w:p>
    <w:p w:rsidR="00E41458" w:rsidRDefault="00E41458" w:rsidP="00427ED6">
      <w:pPr>
        <w:spacing w:before="60" w:after="120" w:line="276" w:lineRule="auto"/>
        <w:rPr>
          <w:rFonts w:eastAsiaTheme="minorHAnsi" w:cs="Arial"/>
          <w:i/>
          <w:szCs w:val="20"/>
          <w:lang w:val="sl-SI"/>
        </w:rPr>
      </w:pPr>
    </w:p>
    <w:p w:rsidR="00E41458" w:rsidRPr="005771BD" w:rsidRDefault="00E41458" w:rsidP="00427ED6">
      <w:pPr>
        <w:spacing w:before="60" w:after="120" w:line="276" w:lineRule="auto"/>
        <w:rPr>
          <w:rFonts w:eastAsiaTheme="minorHAnsi" w:cs="Arial"/>
          <w:i/>
          <w:szCs w:val="20"/>
          <w:lang w:val="sl-SI"/>
        </w:rPr>
      </w:pPr>
    </w:p>
    <w:p w:rsidR="00427ED6" w:rsidRPr="005771BD" w:rsidRDefault="00427ED6" w:rsidP="00427ED6">
      <w:pPr>
        <w:spacing w:before="60" w:line="276" w:lineRule="auto"/>
        <w:rPr>
          <w:rFonts w:eastAsiaTheme="minorHAnsi" w:cs="Arial"/>
          <w:i/>
          <w:szCs w:val="20"/>
          <w:lang w:val="sl-SI"/>
        </w:rPr>
      </w:pPr>
      <w:r w:rsidRPr="005771BD">
        <w:rPr>
          <w:rFonts w:eastAsiaTheme="minorHAnsi" w:cs="Arial"/>
          <w:i/>
          <w:szCs w:val="20"/>
          <w:lang w:val="sl-SI"/>
        </w:rPr>
        <w:t xml:space="preserve">Preglednica </w:t>
      </w:r>
      <w:r w:rsidR="00E41458">
        <w:rPr>
          <w:rFonts w:eastAsiaTheme="minorHAnsi" w:cs="Arial"/>
          <w:i/>
          <w:szCs w:val="20"/>
          <w:lang w:val="sl-SI"/>
        </w:rPr>
        <w:t>4</w:t>
      </w:r>
      <w:r w:rsidRPr="005771BD">
        <w:rPr>
          <w:rFonts w:eastAsiaTheme="minorHAnsi" w:cs="Arial"/>
          <w:i/>
          <w:szCs w:val="20"/>
          <w:lang w:val="sl-SI"/>
        </w:rPr>
        <w:t xml:space="preserve">.3: Kazalniki okoljskih razsežnosti kakovosti življenja </w:t>
      </w:r>
    </w:p>
    <w:p w:rsidR="00427ED6" w:rsidRPr="005771BD" w:rsidRDefault="00427ED6" w:rsidP="00E41458">
      <w:pPr>
        <w:spacing w:before="60" w:line="276" w:lineRule="auto"/>
        <w:rPr>
          <w:rFonts w:eastAsiaTheme="minorHAnsi" w:cs="Arial"/>
          <w:sz w:val="18"/>
          <w:szCs w:val="18"/>
          <w:lang w:val="sl-SI"/>
        </w:rPr>
      </w:pPr>
      <w:r w:rsidRPr="005771BD">
        <w:rPr>
          <w:rFonts w:eastAsiaTheme="minorHAnsi" w:cs="Arial"/>
          <w:i/>
          <w:sz w:val="18"/>
          <w:szCs w:val="18"/>
          <w:lang w:val="sl-SI"/>
        </w:rPr>
        <w:t>Vir: Statistični urad Republike Slovenije, Agencija RS za okolje, Eurostat</w:t>
      </w:r>
    </w:p>
    <w:tbl>
      <w:tblPr>
        <w:tblW w:w="9436"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592"/>
        <w:gridCol w:w="711"/>
        <w:gridCol w:w="711"/>
        <w:gridCol w:w="711"/>
        <w:gridCol w:w="711"/>
      </w:tblGrid>
      <w:tr w:rsidR="00427ED6" w:rsidRPr="005771BD" w:rsidTr="00225F01">
        <w:trPr>
          <w:trHeight w:val="288"/>
        </w:trPr>
        <w:tc>
          <w:tcPr>
            <w:tcW w:w="6592" w:type="dxa"/>
            <w:shd w:val="clear" w:color="auto" w:fill="auto"/>
            <w:noWrap/>
            <w:vAlign w:val="bottom"/>
            <w:hideMark/>
          </w:tcPr>
          <w:p w:rsidR="00427ED6" w:rsidRPr="005771BD" w:rsidRDefault="00427ED6" w:rsidP="00225F01">
            <w:pPr>
              <w:spacing w:before="60" w:line="276" w:lineRule="auto"/>
              <w:rPr>
                <w:rFonts w:cs="Arial"/>
                <w:b/>
                <w:color w:val="000000"/>
                <w:szCs w:val="20"/>
                <w:lang w:val="sl-SI" w:eastAsia="sl-SI"/>
              </w:rPr>
            </w:pPr>
            <w:r w:rsidRPr="005771BD">
              <w:rPr>
                <w:rFonts w:cs="Arial"/>
                <w:b/>
                <w:color w:val="000000"/>
                <w:szCs w:val="20"/>
                <w:lang w:val="sl-SI" w:eastAsia="sl-SI"/>
              </w:rPr>
              <w:t>Kazalniki okoljskih razsežnosti kakovosti življenja</w:t>
            </w:r>
          </w:p>
        </w:tc>
        <w:tc>
          <w:tcPr>
            <w:tcW w:w="711" w:type="dxa"/>
            <w:shd w:val="clear" w:color="auto" w:fill="auto"/>
            <w:noWrap/>
            <w:hideMark/>
          </w:tcPr>
          <w:p w:rsidR="00427ED6" w:rsidRPr="005771BD" w:rsidRDefault="00427ED6" w:rsidP="00225F01">
            <w:pPr>
              <w:spacing w:before="60" w:line="276" w:lineRule="auto"/>
              <w:jc w:val="right"/>
              <w:rPr>
                <w:rFonts w:cs="Arial"/>
                <w:b/>
                <w:color w:val="000000"/>
                <w:szCs w:val="20"/>
                <w:lang w:val="sl-SI" w:eastAsia="sl-SI"/>
              </w:rPr>
            </w:pPr>
            <w:r w:rsidRPr="005771BD">
              <w:rPr>
                <w:rFonts w:cs="Arial"/>
                <w:b/>
                <w:color w:val="000000"/>
                <w:szCs w:val="20"/>
                <w:lang w:val="sl-SI" w:eastAsia="sl-SI"/>
              </w:rPr>
              <w:t>2000</w:t>
            </w:r>
          </w:p>
        </w:tc>
        <w:tc>
          <w:tcPr>
            <w:tcW w:w="711" w:type="dxa"/>
            <w:shd w:val="clear" w:color="auto" w:fill="auto"/>
            <w:noWrap/>
            <w:hideMark/>
          </w:tcPr>
          <w:p w:rsidR="00427ED6" w:rsidRPr="005771BD" w:rsidRDefault="00427ED6" w:rsidP="00225F01">
            <w:pPr>
              <w:spacing w:before="60" w:line="276" w:lineRule="auto"/>
              <w:jc w:val="right"/>
              <w:rPr>
                <w:rFonts w:cs="Arial"/>
                <w:b/>
                <w:color w:val="000000"/>
                <w:szCs w:val="20"/>
                <w:lang w:val="sl-SI" w:eastAsia="sl-SI"/>
              </w:rPr>
            </w:pPr>
            <w:r w:rsidRPr="005771BD">
              <w:rPr>
                <w:rFonts w:cs="Arial"/>
                <w:b/>
                <w:color w:val="000000"/>
                <w:szCs w:val="20"/>
                <w:lang w:val="sl-SI" w:eastAsia="sl-SI"/>
              </w:rPr>
              <w:t>2005</w:t>
            </w:r>
          </w:p>
        </w:tc>
        <w:tc>
          <w:tcPr>
            <w:tcW w:w="711" w:type="dxa"/>
            <w:shd w:val="clear" w:color="auto" w:fill="auto"/>
            <w:noWrap/>
            <w:hideMark/>
          </w:tcPr>
          <w:p w:rsidR="00427ED6" w:rsidRPr="005771BD" w:rsidRDefault="00427ED6" w:rsidP="00225F01">
            <w:pPr>
              <w:spacing w:before="60" w:line="276" w:lineRule="auto"/>
              <w:jc w:val="right"/>
              <w:rPr>
                <w:rFonts w:cs="Arial"/>
                <w:b/>
                <w:color w:val="000000"/>
                <w:szCs w:val="20"/>
                <w:lang w:val="sl-SI" w:eastAsia="sl-SI"/>
              </w:rPr>
            </w:pPr>
            <w:r w:rsidRPr="005771BD">
              <w:rPr>
                <w:rFonts w:cs="Arial"/>
                <w:b/>
                <w:color w:val="000000"/>
                <w:szCs w:val="20"/>
                <w:lang w:val="sl-SI" w:eastAsia="sl-SI"/>
              </w:rPr>
              <w:t>2010</w:t>
            </w:r>
          </w:p>
        </w:tc>
        <w:tc>
          <w:tcPr>
            <w:tcW w:w="711" w:type="dxa"/>
            <w:shd w:val="clear" w:color="auto" w:fill="auto"/>
            <w:noWrap/>
            <w:hideMark/>
          </w:tcPr>
          <w:p w:rsidR="00427ED6" w:rsidRPr="005771BD" w:rsidRDefault="00427ED6" w:rsidP="00225F01">
            <w:pPr>
              <w:spacing w:before="60" w:line="276" w:lineRule="auto"/>
              <w:jc w:val="right"/>
              <w:rPr>
                <w:rFonts w:eastAsiaTheme="minorHAnsi" w:cs="Arial"/>
                <w:b/>
                <w:color w:val="000000"/>
                <w:szCs w:val="20"/>
                <w:lang w:val="sl-SI"/>
              </w:rPr>
            </w:pPr>
            <w:r w:rsidRPr="005771BD">
              <w:rPr>
                <w:rFonts w:eastAsiaTheme="minorHAnsi" w:cs="Arial"/>
                <w:b/>
                <w:color w:val="000000"/>
                <w:szCs w:val="20"/>
                <w:lang w:val="sl-SI"/>
              </w:rPr>
              <w:t>2013</w:t>
            </w:r>
          </w:p>
        </w:tc>
      </w:tr>
      <w:tr w:rsidR="00427ED6" w:rsidRPr="005771BD" w:rsidTr="00225F01">
        <w:trPr>
          <w:trHeight w:val="288"/>
        </w:trPr>
        <w:tc>
          <w:tcPr>
            <w:tcW w:w="6592" w:type="dxa"/>
            <w:shd w:val="clear" w:color="auto" w:fill="auto"/>
            <w:noWrap/>
            <w:vAlign w:val="bottom"/>
            <w:hideMark/>
          </w:tcPr>
          <w:p w:rsidR="00427ED6" w:rsidRPr="005771BD" w:rsidRDefault="00427ED6" w:rsidP="00225F01">
            <w:pPr>
              <w:spacing w:before="60" w:line="276" w:lineRule="auto"/>
              <w:rPr>
                <w:rFonts w:cs="Arial"/>
                <w:color w:val="000000"/>
                <w:szCs w:val="20"/>
                <w:lang w:val="sl-SI" w:eastAsia="sl-SI"/>
              </w:rPr>
            </w:pPr>
            <w:r w:rsidRPr="005771BD">
              <w:rPr>
                <w:rFonts w:cs="Arial"/>
                <w:color w:val="000000"/>
                <w:szCs w:val="20"/>
                <w:lang w:val="sl-SI" w:eastAsia="sl-SI"/>
              </w:rPr>
              <w:t>Izpostavljenost urbanega prebivalstva delcem PM</w:t>
            </w:r>
            <w:r w:rsidRPr="005771BD">
              <w:rPr>
                <w:rFonts w:cs="Arial"/>
                <w:color w:val="000000"/>
                <w:szCs w:val="20"/>
                <w:vertAlign w:val="subscript"/>
                <w:lang w:val="sl-SI" w:eastAsia="sl-SI"/>
              </w:rPr>
              <w:t>10</w:t>
            </w:r>
            <w:r w:rsidRPr="005771BD">
              <w:rPr>
                <w:rFonts w:cs="Arial"/>
                <w:color w:val="000000"/>
                <w:szCs w:val="20"/>
                <w:lang w:val="sl-SI" w:eastAsia="sl-SI"/>
              </w:rPr>
              <w:t xml:space="preserve"> (µg/m</w:t>
            </w:r>
            <w:r w:rsidRPr="005771BD">
              <w:rPr>
                <w:rFonts w:cs="Arial"/>
                <w:color w:val="000000"/>
                <w:szCs w:val="20"/>
                <w:vertAlign w:val="superscript"/>
                <w:lang w:val="sl-SI" w:eastAsia="sl-SI"/>
              </w:rPr>
              <w:t>3</w:t>
            </w:r>
            <w:r w:rsidRPr="005771BD">
              <w:rPr>
                <w:rFonts w:cs="Arial"/>
                <w:color w:val="000000"/>
                <w:szCs w:val="20"/>
                <w:lang w:val="sl-SI" w:eastAsia="sl-SI"/>
              </w:rPr>
              <w:t>)</w:t>
            </w:r>
          </w:p>
        </w:tc>
        <w:tc>
          <w:tcPr>
            <w:tcW w:w="711" w:type="dxa"/>
            <w:shd w:val="clear" w:color="auto" w:fill="auto"/>
            <w:noWrap/>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w:t>
            </w:r>
          </w:p>
        </w:tc>
        <w:tc>
          <w:tcPr>
            <w:tcW w:w="711" w:type="dxa"/>
            <w:shd w:val="clear" w:color="auto" w:fill="auto"/>
            <w:noWrap/>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36,8</w:t>
            </w:r>
          </w:p>
        </w:tc>
        <w:tc>
          <w:tcPr>
            <w:tcW w:w="711" w:type="dxa"/>
            <w:shd w:val="clear" w:color="auto" w:fill="auto"/>
            <w:noWrap/>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28,2</w:t>
            </w:r>
          </w:p>
        </w:tc>
        <w:tc>
          <w:tcPr>
            <w:tcW w:w="711" w:type="dxa"/>
            <w:shd w:val="clear" w:color="auto" w:fill="auto"/>
            <w:noWrap/>
            <w:hideMark/>
          </w:tcPr>
          <w:p w:rsidR="00427ED6" w:rsidRPr="005771BD" w:rsidRDefault="00427ED6" w:rsidP="00225F01">
            <w:pPr>
              <w:spacing w:before="60" w:line="276" w:lineRule="auto"/>
              <w:jc w:val="right"/>
              <w:rPr>
                <w:rFonts w:eastAsiaTheme="minorHAnsi" w:cs="Arial"/>
                <w:color w:val="000000"/>
                <w:szCs w:val="20"/>
                <w:lang w:val="sl-SI"/>
              </w:rPr>
            </w:pPr>
            <w:r w:rsidRPr="005771BD">
              <w:rPr>
                <w:rFonts w:eastAsiaTheme="minorHAnsi" w:cs="Arial"/>
                <w:color w:val="000000"/>
                <w:szCs w:val="20"/>
                <w:lang w:val="sl-SI"/>
              </w:rPr>
              <w:t>24,9</w:t>
            </w:r>
          </w:p>
        </w:tc>
      </w:tr>
      <w:tr w:rsidR="00427ED6" w:rsidRPr="005771BD" w:rsidTr="00225F01">
        <w:trPr>
          <w:trHeight w:val="288"/>
        </w:trPr>
        <w:tc>
          <w:tcPr>
            <w:tcW w:w="6592" w:type="dxa"/>
            <w:shd w:val="clear" w:color="auto" w:fill="auto"/>
            <w:noWrap/>
            <w:vAlign w:val="bottom"/>
            <w:hideMark/>
          </w:tcPr>
          <w:p w:rsidR="00427ED6" w:rsidRPr="005771BD" w:rsidRDefault="00427ED6" w:rsidP="00225F01">
            <w:pPr>
              <w:spacing w:before="60" w:line="276" w:lineRule="auto"/>
              <w:rPr>
                <w:rFonts w:cs="Arial"/>
                <w:color w:val="000000"/>
                <w:szCs w:val="20"/>
                <w:lang w:val="sl-SI" w:eastAsia="sl-SI"/>
              </w:rPr>
            </w:pPr>
            <w:r w:rsidRPr="005771BD">
              <w:rPr>
                <w:rFonts w:cs="Arial"/>
                <w:color w:val="000000"/>
                <w:szCs w:val="20"/>
                <w:lang w:val="sl-SI" w:eastAsia="sl-SI"/>
              </w:rPr>
              <w:t>Prebivalstvo, priključeno na čistilne naprave z vsaj sekundarno stopnjo čiščenja (%)</w:t>
            </w:r>
          </w:p>
        </w:tc>
        <w:tc>
          <w:tcPr>
            <w:tcW w:w="711" w:type="dxa"/>
            <w:shd w:val="clear" w:color="auto" w:fill="auto"/>
            <w:noWrap/>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12,5</w:t>
            </w:r>
          </w:p>
        </w:tc>
        <w:tc>
          <w:tcPr>
            <w:tcW w:w="711" w:type="dxa"/>
            <w:shd w:val="clear" w:color="auto" w:fill="auto"/>
            <w:noWrap/>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31,9</w:t>
            </w:r>
          </w:p>
        </w:tc>
        <w:tc>
          <w:tcPr>
            <w:tcW w:w="711" w:type="dxa"/>
            <w:shd w:val="clear" w:color="auto" w:fill="auto"/>
            <w:noWrap/>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52,5</w:t>
            </w:r>
          </w:p>
        </w:tc>
        <w:tc>
          <w:tcPr>
            <w:tcW w:w="711" w:type="dxa"/>
            <w:shd w:val="clear" w:color="auto" w:fill="auto"/>
            <w:noWrap/>
            <w:hideMark/>
          </w:tcPr>
          <w:p w:rsidR="00427ED6" w:rsidRPr="005771BD" w:rsidRDefault="00427ED6" w:rsidP="00225F01">
            <w:pPr>
              <w:spacing w:before="60" w:line="276" w:lineRule="auto"/>
              <w:jc w:val="right"/>
              <w:rPr>
                <w:rFonts w:eastAsiaTheme="minorHAnsi" w:cs="Arial"/>
                <w:color w:val="000000"/>
                <w:szCs w:val="20"/>
                <w:lang w:val="sl-SI"/>
              </w:rPr>
            </w:pPr>
            <w:r w:rsidRPr="005771BD">
              <w:rPr>
                <w:rFonts w:eastAsiaTheme="minorHAnsi" w:cs="Arial"/>
                <w:color w:val="000000"/>
                <w:szCs w:val="20"/>
                <w:lang w:val="sl-SI"/>
              </w:rPr>
              <w:t>54,9</w:t>
            </w:r>
          </w:p>
        </w:tc>
      </w:tr>
      <w:tr w:rsidR="00427ED6" w:rsidRPr="005771BD" w:rsidTr="00225F01">
        <w:trPr>
          <w:trHeight w:val="288"/>
        </w:trPr>
        <w:tc>
          <w:tcPr>
            <w:tcW w:w="6592" w:type="dxa"/>
            <w:shd w:val="clear" w:color="auto" w:fill="auto"/>
            <w:noWrap/>
            <w:vAlign w:val="bottom"/>
            <w:hideMark/>
          </w:tcPr>
          <w:p w:rsidR="00427ED6" w:rsidRPr="005771BD" w:rsidRDefault="00427ED6" w:rsidP="00225F01">
            <w:pPr>
              <w:spacing w:before="60" w:line="276" w:lineRule="auto"/>
              <w:rPr>
                <w:rFonts w:cs="Arial"/>
                <w:color w:val="000000"/>
                <w:szCs w:val="20"/>
                <w:lang w:val="sl-SI" w:eastAsia="sl-SI"/>
              </w:rPr>
            </w:pPr>
            <w:r w:rsidRPr="005771BD">
              <w:rPr>
                <w:rFonts w:cs="Arial"/>
                <w:color w:val="000000"/>
                <w:szCs w:val="20"/>
                <w:lang w:val="sl-SI" w:eastAsia="sl-SI"/>
              </w:rPr>
              <w:t>Ločeno zbrani komunalni odpadki (% od vseh zbranih)</w:t>
            </w:r>
          </w:p>
        </w:tc>
        <w:tc>
          <w:tcPr>
            <w:tcW w:w="711" w:type="dxa"/>
            <w:shd w:val="clear" w:color="auto" w:fill="auto"/>
            <w:noWrap/>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w:t>
            </w:r>
          </w:p>
        </w:tc>
        <w:tc>
          <w:tcPr>
            <w:tcW w:w="711" w:type="dxa"/>
            <w:shd w:val="clear" w:color="auto" w:fill="auto"/>
            <w:noWrap/>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11,1</w:t>
            </w:r>
          </w:p>
        </w:tc>
        <w:tc>
          <w:tcPr>
            <w:tcW w:w="711" w:type="dxa"/>
            <w:shd w:val="clear" w:color="auto" w:fill="auto"/>
            <w:noWrap/>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22,4</w:t>
            </w:r>
          </w:p>
        </w:tc>
        <w:tc>
          <w:tcPr>
            <w:tcW w:w="711" w:type="dxa"/>
            <w:shd w:val="clear" w:color="auto" w:fill="auto"/>
            <w:noWrap/>
            <w:hideMark/>
          </w:tcPr>
          <w:p w:rsidR="00427ED6" w:rsidRPr="005771BD" w:rsidRDefault="00427ED6" w:rsidP="00225F01">
            <w:pPr>
              <w:spacing w:before="60" w:line="276" w:lineRule="auto"/>
              <w:jc w:val="right"/>
              <w:rPr>
                <w:rFonts w:eastAsiaTheme="minorHAnsi" w:cs="Arial"/>
                <w:color w:val="000000"/>
                <w:szCs w:val="20"/>
                <w:lang w:val="sl-SI"/>
              </w:rPr>
            </w:pPr>
            <w:r w:rsidRPr="005771BD">
              <w:rPr>
                <w:rFonts w:eastAsiaTheme="minorHAnsi" w:cs="Arial"/>
                <w:color w:val="000000"/>
                <w:szCs w:val="20"/>
                <w:lang w:val="sl-SI"/>
              </w:rPr>
              <w:t>62,7</w:t>
            </w:r>
          </w:p>
        </w:tc>
      </w:tr>
      <w:tr w:rsidR="00427ED6" w:rsidRPr="005771BD" w:rsidTr="00225F01">
        <w:trPr>
          <w:trHeight w:val="288"/>
        </w:trPr>
        <w:tc>
          <w:tcPr>
            <w:tcW w:w="6592" w:type="dxa"/>
            <w:shd w:val="clear" w:color="auto" w:fill="auto"/>
            <w:noWrap/>
            <w:vAlign w:val="bottom"/>
            <w:hideMark/>
          </w:tcPr>
          <w:p w:rsidR="00427ED6" w:rsidRPr="005771BD" w:rsidRDefault="00427ED6" w:rsidP="00225F01">
            <w:pPr>
              <w:spacing w:before="60" w:line="276" w:lineRule="auto"/>
              <w:rPr>
                <w:rFonts w:cs="Arial"/>
                <w:color w:val="000000"/>
                <w:szCs w:val="20"/>
                <w:lang w:val="sl-SI" w:eastAsia="sl-SI"/>
              </w:rPr>
            </w:pPr>
            <w:r w:rsidRPr="005771BD">
              <w:rPr>
                <w:rFonts w:cs="Arial"/>
                <w:color w:val="000000"/>
                <w:szCs w:val="20"/>
                <w:lang w:val="sl-SI" w:eastAsia="sl-SI"/>
              </w:rPr>
              <w:t>Neskladni vzorci zaradi onesnaženosti pitne vode z E.coli v manjših oskrbovalnih območjih (%)</w:t>
            </w:r>
          </w:p>
        </w:tc>
        <w:tc>
          <w:tcPr>
            <w:tcW w:w="711" w:type="dxa"/>
            <w:shd w:val="clear" w:color="auto" w:fill="auto"/>
            <w:noWrap/>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w:t>
            </w:r>
          </w:p>
        </w:tc>
        <w:tc>
          <w:tcPr>
            <w:tcW w:w="711" w:type="dxa"/>
            <w:shd w:val="clear" w:color="auto" w:fill="auto"/>
            <w:noWrap/>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28</w:t>
            </w:r>
          </w:p>
        </w:tc>
        <w:tc>
          <w:tcPr>
            <w:tcW w:w="711" w:type="dxa"/>
            <w:shd w:val="clear" w:color="auto" w:fill="auto"/>
            <w:noWrap/>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18,9</w:t>
            </w:r>
          </w:p>
        </w:tc>
        <w:tc>
          <w:tcPr>
            <w:tcW w:w="711" w:type="dxa"/>
            <w:shd w:val="clear" w:color="auto" w:fill="auto"/>
            <w:noWrap/>
            <w:hideMark/>
          </w:tcPr>
          <w:p w:rsidR="00427ED6" w:rsidRPr="005771BD" w:rsidRDefault="00427ED6" w:rsidP="00225F01">
            <w:pPr>
              <w:spacing w:before="60" w:line="276" w:lineRule="auto"/>
              <w:jc w:val="right"/>
              <w:rPr>
                <w:rFonts w:eastAsiaTheme="minorHAnsi" w:cs="Arial"/>
                <w:color w:val="000000"/>
                <w:szCs w:val="20"/>
                <w:lang w:val="sl-SI"/>
              </w:rPr>
            </w:pPr>
            <w:r w:rsidRPr="005771BD">
              <w:rPr>
                <w:rFonts w:eastAsiaTheme="minorHAnsi" w:cs="Arial"/>
                <w:color w:val="000000"/>
                <w:szCs w:val="20"/>
                <w:lang w:val="sl-SI"/>
              </w:rPr>
              <w:t>8,6</w:t>
            </w:r>
          </w:p>
        </w:tc>
      </w:tr>
      <w:tr w:rsidR="00427ED6" w:rsidRPr="005771BD" w:rsidTr="00225F01">
        <w:trPr>
          <w:trHeight w:val="288"/>
        </w:trPr>
        <w:tc>
          <w:tcPr>
            <w:tcW w:w="6592" w:type="dxa"/>
            <w:shd w:val="clear" w:color="auto" w:fill="auto"/>
            <w:noWrap/>
            <w:vAlign w:val="bottom"/>
            <w:hideMark/>
          </w:tcPr>
          <w:p w:rsidR="00427ED6" w:rsidRPr="005771BD" w:rsidRDefault="00427ED6" w:rsidP="00225F01">
            <w:pPr>
              <w:spacing w:before="60" w:line="276" w:lineRule="auto"/>
              <w:rPr>
                <w:rFonts w:cs="Arial"/>
                <w:color w:val="000000"/>
                <w:szCs w:val="20"/>
                <w:lang w:val="sl-SI" w:eastAsia="sl-SI"/>
              </w:rPr>
            </w:pPr>
            <w:r w:rsidRPr="005771BD">
              <w:rPr>
                <w:rFonts w:cs="Arial"/>
                <w:color w:val="000000"/>
                <w:szCs w:val="20"/>
                <w:lang w:val="sl-SI" w:eastAsia="sl-SI"/>
              </w:rPr>
              <w:t>Neskladni vzorci zaradi onesnaženosti pitne vode z E.coli v srednje velikih oskrbovalnih območjih (%)</w:t>
            </w:r>
          </w:p>
        </w:tc>
        <w:tc>
          <w:tcPr>
            <w:tcW w:w="711" w:type="dxa"/>
            <w:shd w:val="clear" w:color="auto" w:fill="auto"/>
            <w:noWrap/>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w:t>
            </w:r>
          </w:p>
        </w:tc>
        <w:tc>
          <w:tcPr>
            <w:tcW w:w="711" w:type="dxa"/>
            <w:shd w:val="clear" w:color="auto" w:fill="auto"/>
            <w:noWrap/>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5,8</w:t>
            </w:r>
          </w:p>
        </w:tc>
        <w:tc>
          <w:tcPr>
            <w:tcW w:w="711" w:type="dxa"/>
            <w:shd w:val="clear" w:color="auto" w:fill="auto"/>
            <w:noWrap/>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3,7</w:t>
            </w:r>
          </w:p>
        </w:tc>
        <w:tc>
          <w:tcPr>
            <w:tcW w:w="711" w:type="dxa"/>
            <w:shd w:val="clear" w:color="auto" w:fill="auto"/>
            <w:noWrap/>
            <w:hideMark/>
          </w:tcPr>
          <w:p w:rsidR="00427ED6" w:rsidRPr="005771BD" w:rsidRDefault="00427ED6" w:rsidP="00225F01">
            <w:pPr>
              <w:spacing w:before="60" w:line="276" w:lineRule="auto"/>
              <w:jc w:val="right"/>
              <w:rPr>
                <w:rFonts w:eastAsiaTheme="minorHAnsi" w:cs="Arial"/>
                <w:color w:val="000000"/>
                <w:szCs w:val="20"/>
                <w:lang w:val="sl-SI"/>
              </w:rPr>
            </w:pPr>
            <w:r w:rsidRPr="005771BD">
              <w:rPr>
                <w:rFonts w:eastAsiaTheme="minorHAnsi" w:cs="Arial"/>
                <w:color w:val="000000"/>
                <w:szCs w:val="20"/>
                <w:lang w:val="sl-SI"/>
              </w:rPr>
              <w:t>1,3</w:t>
            </w:r>
          </w:p>
        </w:tc>
      </w:tr>
      <w:tr w:rsidR="00427ED6" w:rsidRPr="005771BD" w:rsidTr="00225F01">
        <w:trPr>
          <w:trHeight w:val="288"/>
        </w:trPr>
        <w:tc>
          <w:tcPr>
            <w:tcW w:w="6592" w:type="dxa"/>
            <w:shd w:val="clear" w:color="auto" w:fill="auto"/>
            <w:noWrap/>
            <w:vAlign w:val="bottom"/>
            <w:hideMark/>
          </w:tcPr>
          <w:p w:rsidR="00427ED6" w:rsidRPr="005771BD" w:rsidRDefault="00427ED6" w:rsidP="00225F01">
            <w:pPr>
              <w:spacing w:before="60" w:line="276" w:lineRule="auto"/>
              <w:rPr>
                <w:rFonts w:cs="Arial"/>
                <w:color w:val="000000"/>
                <w:szCs w:val="20"/>
                <w:lang w:val="sl-SI" w:eastAsia="sl-SI"/>
              </w:rPr>
            </w:pPr>
            <w:r w:rsidRPr="005771BD">
              <w:rPr>
                <w:rFonts w:cs="Arial"/>
                <w:color w:val="000000"/>
                <w:szCs w:val="20"/>
                <w:lang w:val="sl-SI" w:eastAsia="sl-SI"/>
              </w:rPr>
              <w:t>Neskladni vzorci zaradi onesnaženosti pitne vode z E.coli v velikih oskrbovalnih območjih (%)</w:t>
            </w:r>
          </w:p>
        </w:tc>
        <w:tc>
          <w:tcPr>
            <w:tcW w:w="711" w:type="dxa"/>
            <w:shd w:val="clear" w:color="auto" w:fill="auto"/>
            <w:noWrap/>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w:t>
            </w:r>
          </w:p>
        </w:tc>
        <w:tc>
          <w:tcPr>
            <w:tcW w:w="711" w:type="dxa"/>
            <w:shd w:val="clear" w:color="auto" w:fill="auto"/>
            <w:noWrap/>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1,7</w:t>
            </w:r>
          </w:p>
        </w:tc>
        <w:tc>
          <w:tcPr>
            <w:tcW w:w="711" w:type="dxa"/>
            <w:shd w:val="clear" w:color="auto" w:fill="auto"/>
            <w:noWrap/>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0,5</w:t>
            </w:r>
          </w:p>
        </w:tc>
        <w:tc>
          <w:tcPr>
            <w:tcW w:w="711" w:type="dxa"/>
            <w:shd w:val="clear" w:color="auto" w:fill="auto"/>
            <w:noWrap/>
            <w:hideMark/>
          </w:tcPr>
          <w:p w:rsidR="00427ED6" w:rsidRPr="005771BD" w:rsidRDefault="00427ED6" w:rsidP="00225F01">
            <w:pPr>
              <w:spacing w:before="60" w:line="276" w:lineRule="auto"/>
              <w:jc w:val="right"/>
              <w:rPr>
                <w:rFonts w:eastAsiaTheme="minorHAnsi" w:cs="Arial"/>
                <w:color w:val="000000"/>
                <w:szCs w:val="20"/>
                <w:lang w:val="sl-SI"/>
              </w:rPr>
            </w:pPr>
            <w:r w:rsidRPr="005771BD">
              <w:rPr>
                <w:rFonts w:eastAsiaTheme="minorHAnsi" w:cs="Arial"/>
                <w:color w:val="000000"/>
                <w:szCs w:val="20"/>
                <w:lang w:val="sl-SI"/>
              </w:rPr>
              <w:t>0,4</w:t>
            </w:r>
          </w:p>
        </w:tc>
      </w:tr>
      <w:tr w:rsidR="00427ED6" w:rsidRPr="005771BD" w:rsidTr="00225F01">
        <w:trPr>
          <w:trHeight w:val="288"/>
        </w:trPr>
        <w:tc>
          <w:tcPr>
            <w:tcW w:w="6592" w:type="dxa"/>
            <w:shd w:val="clear" w:color="auto" w:fill="auto"/>
            <w:noWrap/>
            <w:vAlign w:val="bottom"/>
            <w:hideMark/>
          </w:tcPr>
          <w:p w:rsidR="00427ED6" w:rsidRPr="005771BD" w:rsidRDefault="00427ED6" w:rsidP="00225F01">
            <w:pPr>
              <w:spacing w:before="60" w:line="276" w:lineRule="auto"/>
              <w:rPr>
                <w:rFonts w:cs="Arial"/>
                <w:color w:val="000000"/>
                <w:szCs w:val="20"/>
                <w:lang w:val="sl-SI" w:eastAsia="sl-SI"/>
              </w:rPr>
            </w:pPr>
            <w:r w:rsidRPr="005771BD">
              <w:rPr>
                <w:rFonts w:cs="Arial"/>
                <w:color w:val="000000"/>
                <w:szCs w:val="20"/>
                <w:lang w:val="sl-SI" w:eastAsia="sl-SI"/>
              </w:rPr>
              <w:t>Površine ekoloških kmetij in kmetij v preusmeritvi (% od celotne površine)</w:t>
            </w:r>
          </w:p>
        </w:tc>
        <w:tc>
          <w:tcPr>
            <w:tcW w:w="711" w:type="dxa"/>
            <w:shd w:val="clear" w:color="auto" w:fill="auto"/>
            <w:noWrap/>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w:t>
            </w:r>
          </w:p>
        </w:tc>
        <w:tc>
          <w:tcPr>
            <w:tcW w:w="711" w:type="dxa"/>
            <w:shd w:val="clear" w:color="auto" w:fill="auto"/>
            <w:noWrap/>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4,6</w:t>
            </w:r>
          </w:p>
        </w:tc>
        <w:tc>
          <w:tcPr>
            <w:tcW w:w="711" w:type="dxa"/>
            <w:shd w:val="clear" w:color="auto" w:fill="auto"/>
            <w:noWrap/>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6,4</w:t>
            </w:r>
          </w:p>
        </w:tc>
        <w:tc>
          <w:tcPr>
            <w:tcW w:w="711" w:type="dxa"/>
            <w:shd w:val="clear" w:color="auto" w:fill="auto"/>
            <w:noWrap/>
            <w:hideMark/>
          </w:tcPr>
          <w:p w:rsidR="00427ED6" w:rsidRPr="005771BD" w:rsidRDefault="00427ED6" w:rsidP="00225F01">
            <w:pPr>
              <w:spacing w:before="60" w:line="276" w:lineRule="auto"/>
              <w:jc w:val="right"/>
              <w:rPr>
                <w:rFonts w:eastAsiaTheme="minorHAnsi" w:cs="Arial"/>
                <w:color w:val="000000"/>
                <w:szCs w:val="20"/>
                <w:lang w:val="sl-SI"/>
              </w:rPr>
            </w:pPr>
            <w:r w:rsidRPr="005771BD">
              <w:rPr>
                <w:rFonts w:eastAsiaTheme="minorHAnsi" w:cs="Arial"/>
                <w:color w:val="000000"/>
                <w:szCs w:val="20"/>
                <w:lang w:val="sl-SI"/>
              </w:rPr>
              <w:t>8,1</w:t>
            </w:r>
          </w:p>
        </w:tc>
      </w:tr>
    </w:tbl>
    <w:p w:rsidR="00E41458" w:rsidRDefault="00E41458" w:rsidP="00427ED6">
      <w:pPr>
        <w:spacing w:after="200" w:line="276" w:lineRule="auto"/>
        <w:jc w:val="both"/>
        <w:rPr>
          <w:rFonts w:eastAsiaTheme="minorHAnsi" w:cs="Arial"/>
          <w:b/>
          <w:szCs w:val="20"/>
          <w:lang w:val="sl-SI"/>
        </w:rPr>
      </w:pPr>
    </w:p>
    <w:p w:rsidR="00427ED6" w:rsidRPr="005771BD" w:rsidRDefault="00E41458" w:rsidP="00427ED6">
      <w:pPr>
        <w:spacing w:after="200" w:line="276" w:lineRule="auto"/>
        <w:jc w:val="both"/>
        <w:rPr>
          <w:rFonts w:eastAsiaTheme="minorHAnsi" w:cs="Arial"/>
          <w:b/>
          <w:szCs w:val="20"/>
          <w:lang w:val="sl-SI"/>
        </w:rPr>
      </w:pPr>
      <w:r>
        <w:rPr>
          <w:rFonts w:eastAsiaTheme="minorHAnsi" w:cs="Arial"/>
          <w:b/>
          <w:szCs w:val="20"/>
          <w:lang w:val="sl-SI"/>
        </w:rPr>
        <w:t>4</w:t>
      </w:r>
      <w:r w:rsidR="00427ED6" w:rsidRPr="005771BD">
        <w:rPr>
          <w:rFonts w:eastAsiaTheme="minorHAnsi" w:cs="Arial"/>
          <w:b/>
          <w:szCs w:val="20"/>
          <w:lang w:val="sl-SI"/>
        </w:rPr>
        <w:t>.4.4 Kazalniki političnih odzivov in gospodarskih priložnosti</w:t>
      </w:r>
    </w:p>
    <w:p w:rsidR="00427ED6" w:rsidRPr="005771BD" w:rsidRDefault="00427ED6" w:rsidP="00427ED6">
      <w:pPr>
        <w:spacing w:after="200" w:line="276" w:lineRule="auto"/>
        <w:jc w:val="both"/>
        <w:rPr>
          <w:rFonts w:eastAsiaTheme="minorHAnsi" w:cs="Arial"/>
          <w:szCs w:val="20"/>
          <w:lang w:val="sl-SI"/>
        </w:rPr>
      </w:pPr>
      <w:r w:rsidRPr="007F272F">
        <w:rPr>
          <w:rFonts w:eastAsiaTheme="minorHAnsi" w:cs="Arial"/>
          <w:b/>
          <w:noProof/>
          <w:szCs w:val="20"/>
          <w:lang w:val="sl-SI" w:eastAsia="sl-SI"/>
        </w:rPr>
        <w:drawing>
          <wp:anchor distT="0" distB="0" distL="114300" distR="114300" simplePos="0" relativeHeight="251698176" behindDoc="0" locked="0" layoutInCell="1" allowOverlap="1" wp14:anchorId="08B873C3" wp14:editId="273DC7D9">
            <wp:simplePos x="0" y="0"/>
            <wp:positionH relativeFrom="column">
              <wp:posOffset>-2540</wp:posOffset>
            </wp:positionH>
            <wp:positionV relativeFrom="paragraph">
              <wp:posOffset>128905</wp:posOffset>
            </wp:positionV>
            <wp:extent cx="2933700" cy="2938145"/>
            <wp:effectExtent l="0" t="0" r="0" b="0"/>
            <wp:wrapSquare wrapText="bothSides"/>
            <wp:docPr id="285" name="Slika 285" descr="C:\Users\UROS~1.VAJ\AppData\Local\Temp\notesF8C0DE\4 kazaln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ROS~1.VAJ\AppData\Local\Temp\notesF8C0DE\4 kazalnik.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33700" cy="2938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71BD">
        <w:rPr>
          <w:rFonts w:eastAsiaTheme="minorHAnsi" w:cs="Arial"/>
          <w:szCs w:val="20"/>
          <w:lang w:val="sl-SI"/>
        </w:rPr>
        <w:t xml:space="preserve">Bolj trajnostna oziroma »zelena« proizvodnja in potrošnja se spodbuja z različnimi ukrepi, med katere sodijo gospodarski in drugi ukrepi, spodbujanje sodelovanja in izmenjave dobrih praks med podjetji,  razvoj in promocija uporabe novih tehnologij in inovacij ter večja usklajenost med sektorskimi politikami. Glavni izziv je poiskati ravnotežje med okoljem, tj. virom gospodarske rasti in mednarodne konkurenčnosti, trgovine ter zaposlovanja, in njegovim  obremenjevanjem. </w:t>
      </w:r>
    </w:p>
    <w:p w:rsidR="00427ED6" w:rsidRPr="005771BD" w:rsidRDefault="00427ED6" w:rsidP="00427ED6">
      <w:pPr>
        <w:spacing w:after="200" w:line="276" w:lineRule="auto"/>
        <w:jc w:val="both"/>
        <w:rPr>
          <w:rFonts w:eastAsiaTheme="minorHAnsi" w:cs="Arial"/>
          <w:szCs w:val="20"/>
          <w:lang w:val="sl-SI"/>
        </w:rPr>
      </w:pPr>
      <w:r w:rsidRPr="005771BD">
        <w:rPr>
          <w:rFonts w:eastAsiaTheme="minorHAnsi" w:cs="Arial"/>
          <w:szCs w:val="20"/>
          <w:lang w:val="sl-SI"/>
        </w:rPr>
        <w:t>Tudi podjetja imajo pomembno vlogo pri uveljavljanju »bolj zelenih« načinov upravljanja, pri razvoju in uporabi novih tehnologij, izvajanju raziskav in spodbujanju inovacij. Vlade, podjetja in civilna družba imajo pomembno vlogo tudi pri obveščanju potrošnikov in spodbujanju k nakupom, ki zmanjšujejo vplive potrošnje na okolje. Glavne vsebine, na katere se nanaša ta skupina kazalnikov zelene rasti, so tehnološki razvoj in inovacije, pomembne za rast in produktivnost na splošno, še posebej za zeleno rast, mednarodni finančni tokovi, ki so ključnega pomena za sprejemanje in širjenje tehnologij in znanja, ter cene in finančni transferji, ki so pomembni zlasti za proizvajalce in potrošnike.</w:t>
      </w:r>
    </w:p>
    <w:p w:rsidR="00427ED6" w:rsidRPr="005771BD" w:rsidRDefault="00427ED6" w:rsidP="00427ED6">
      <w:pPr>
        <w:spacing w:after="200" w:line="276" w:lineRule="auto"/>
        <w:jc w:val="both"/>
        <w:rPr>
          <w:rFonts w:eastAsiaTheme="minorHAnsi" w:cs="Arial"/>
          <w:szCs w:val="20"/>
          <w:lang w:val="sl-SI"/>
        </w:rPr>
      </w:pPr>
      <w:r w:rsidRPr="005771BD">
        <w:rPr>
          <w:rFonts w:eastAsiaTheme="minorHAnsi" w:cs="Arial"/>
          <w:szCs w:val="20"/>
          <w:lang w:val="sl-SI"/>
        </w:rPr>
        <w:t xml:space="preserve">Delež državnih proračunskih sredstev za okolje in energijo iz sredstev za raziskovalno in razvojno dejavnost (RRD) se po zmanjšanju v letu 2012 ponovno povečuje. Delež bruto nacionalnega dohodka (BND), namenjenega za uradno razvojno pomoč, se od leta 2010 ne spreminja in znaša 0,13 %. Delež okoljskih davkov v primerjavi z vsemi davki </w:t>
      </w:r>
      <w:r w:rsidR="0000410C">
        <w:rPr>
          <w:rFonts w:eastAsiaTheme="minorHAnsi" w:cs="Arial"/>
          <w:szCs w:val="20"/>
          <w:lang w:val="sl-SI"/>
        </w:rPr>
        <w:t xml:space="preserve">in socialnimi prispevki </w:t>
      </w:r>
      <w:r w:rsidRPr="005771BD">
        <w:rPr>
          <w:rFonts w:eastAsiaTheme="minorHAnsi" w:cs="Arial"/>
          <w:szCs w:val="20"/>
          <w:lang w:val="sl-SI"/>
        </w:rPr>
        <w:t xml:space="preserve">se v zadnjih letih giblje med 8 % in 10 %. Delež davkov </w:t>
      </w:r>
      <w:r w:rsidR="0000410C">
        <w:rPr>
          <w:rFonts w:eastAsiaTheme="minorHAnsi" w:cs="Arial"/>
          <w:szCs w:val="20"/>
          <w:lang w:val="sl-SI"/>
        </w:rPr>
        <w:t xml:space="preserve">in dajatev na električno energijo in zemeljski plin v cenah električne energije </w:t>
      </w:r>
      <w:r w:rsidRPr="005771BD">
        <w:rPr>
          <w:rFonts w:eastAsiaTheme="minorHAnsi" w:cs="Arial"/>
          <w:szCs w:val="20"/>
          <w:lang w:val="sl-SI"/>
        </w:rPr>
        <w:t xml:space="preserve">in zemeljskega plina za industrijo pa se postopno povečuje in v zadnjih letih znaša 20–30 % cene. </w:t>
      </w:r>
    </w:p>
    <w:p w:rsidR="00427ED6" w:rsidRPr="005771BD" w:rsidRDefault="00E41458" w:rsidP="00427ED6">
      <w:pPr>
        <w:spacing w:before="60" w:line="276" w:lineRule="auto"/>
        <w:rPr>
          <w:rFonts w:eastAsiaTheme="minorHAnsi" w:cs="Arial"/>
          <w:i/>
          <w:szCs w:val="20"/>
          <w:lang w:val="sl-SI"/>
        </w:rPr>
      </w:pPr>
      <w:r>
        <w:rPr>
          <w:rFonts w:eastAsiaTheme="minorHAnsi" w:cs="Arial"/>
          <w:i/>
          <w:szCs w:val="20"/>
          <w:lang w:val="sl-SI"/>
        </w:rPr>
        <w:t>Preglednica 4</w:t>
      </w:r>
      <w:r w:rsidR="00427ED6" w:rsidRPr="005771BD">
        <w:rPr>
          <w:rFonts w:eastAsiaTheme="minorHAnsi" w:cs="Arial"/>
          <w:i/>
          <w:szCs w:val="20"/>
          <w:lang w:val="sl-SI"/>
        </w:rPr>
        <w:t>.4: Kazalniki političnih i</w:t>
      </w:r>
      <w:r w:rsidR="00427ED6">
        <w:rPr>
          <w:rFonts w:eastAsiaTheme="minorHAnsi" w:cs="Arial"/>
          <w:i/>
          <w:szCs w:val="20"/>
          <w:lang w:val="sl-SI"/>
        </w:rPr>
        <w:t>z</w:t>
      </w:r>
      <w:r w:rsidR="00427ED6" w:rsidRPr="005771BD">
        <w:rPr>
          <w:rFonts w:eastAsiaTheme="minorHAnsi" w:cs="Arial"/>
          <w:i/>
          <w:szCs w:val="20"/>
          <w:lang w:val="sl-SI"/>
        </w:rPr>
        <w:t xml:space="preserve">zivov in gospodarskih priložnosti </w:t>
      </w:r>
    </w:p>
    <w:p w:rsidR="00427ED6" w:rsidRPr="005771BD" w:rsidRDefault="00427ED6" w:rsidP="00E41458">
      <w:pPr>
        <w:spacing w:line="276" w:lineRule="auto"/>
        <w:rPr>
          <w:rFonts w:eastAsiaTheme="minorHAnsi" w:cs="Arial"/>
          <w:sz w:val="18"/>
          <w:szCs w:val="18"/>
          <w:lang w:val="sl-SI"/>
        </w:rPr>
      </w:pPr>
      <w:r w:rsidRPr="005771BD">
        <w:rPr>
          <w:rFonts w:eastAsiaTheme="minorHAnsi" w:cs="Arial"/>
          <w:i/>
          <w:sz w:val="18"/>
          <w:szCs w:val="18"/>
          <w:lang w:val="sl-SI"/>
        </w:rPr>
        <w:t>Vir: Statistični urad Republike Slovenije, Ministrstvo za infrastrukturo, Eurostat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374"/>
        <w:gridCol w:w="630"/>
        <w:gridCol w:w="630"/>
        <w:gridCol w:w="634"/>
        <w:gridCol w:w="661"/>
      </w:tblGrid>
      <w:tr w:rsidR="00427ED6" w:rsidRPr="005771BD" w:rsidTr="00225F01">
        <w:trPr>
          <w:trHeight w:val="288"/>
        </w:trPr>
        <w:tc>
          <w:tcPr>
            <w:tcW w:w="3569" w:type="pct"/>
            <w:shd w:val="clear" w:color="auto" w:fill="auto"/>
            <w:noWrap/>
            <w:vAlign w:val="bottom"/>
            <w:hideMark/>
          </w:tcPr>
          <w:p w:rsidR="00427ED6" w:rsidRPr="005771BD" w:rsidRDefault="00427ED6" w:rsidP="00225F01">
            <w:pPr>
              <w:spacing w:before="60" w:line="276" w:lineRule="auto"/>
              <w:rPr>
                <w:rFonts w:cs="Arial"/>
                <w:b/>
                <w:color w:val="000000"/>
                <w:szCs w:val="20"/>
                <w:lang w:val="sl-SI" w:eastAsia="sl-SI"/>
              </w:rPr>
            </w:pPr>
            <w:r w:rsidRPr="005771BD">
              <w:rPr>
                <w:rFonts w:cs="Arial"/>
                <w:b/>
                <w:color w:val="000000"/>
                <w:szCs w:val="20"/>
                <w:lang w:val="sl-SI" w:eastAsia="sl-SI"/>
              </w:rPr>
              <w:t>Kazalniki političnih odzivov in gospodarskih priložnosti</w:t>
            </w:r>
          </w:p>
        </w:tc>
        <w:tc>
          <w:tcPr>
            <w:tcW w:w="353" w:type="pct"/>
            <w:shd w:val="clear" w:color="auto" w:fill="auto"/>
            <w:noWrap/>
            <w:vAlign w:val="bottom"/>
            <w:hideMark/>
          </w:tcPr>
          <w:p w:rsidR="00427ED6" w:rsidRPr="005771BD" w:rsidRDefault="00427ED6" w:rsidP="00225F01">
            <w:pPr>
              <w:spacing w:before="60" w:line="276" w:lineRule="auto"/>
              <w:jc w:val="right"/>
              <w:rPr>
                <w:rFonts w:cs="Arial"/>
                <w:b/>
                <w:color w:val="000000"/>
                <w:szCs w:val="20"/>
                <w:lang w:val="sl-SI" w:eastAsia="sl-SI"/>
              </w:rPr>
            </w:pPr>
            <w:r w:rsidRPr="005771BD">
              <w:rPr>
                <w:rFonts w:cs="Arial"/>
                <w:b/>
                <w:color w:val="000000"/>
                <w:szCs w:val="20"/>
                <w:lang w:val="sl-SI" w:eastAsia="sl-SI"/>
              </w:rPr>
              <w:t>2000</w:t>
            </w:r>
          </w:p>
        </w:tc>
        <w:tc>
          <w:tcPr>
            <w:tcW w:w="353" w:type="pct"/>
            <w:shd w:val="clear" w:color="auto" w:fill="auto"/>
            <w:noWrap/>
            <w:vAlign w:val="bottom"/>
            <w:hideMark/>
          </w:tcPr>
          <w:p w:rsidR="00427ED6" w:rsidRPr="005771BD" w:rsidRDefault="00427ED6" w:rsidP="00225F01">
            <w:pPr>
              <w:spacing w:before="60" w:line="276" w:lineRule="auto"/>
              <w:jc w:val="right"/>
              <w:rPr>
                <w:rFonts w:cs="Arial"/>
                <w:b/>
                <w:color w:val="000000"/>
                <w:szCs w:val="20"/>
                <w:lang w:val="sl-SI" w:eastAsia="sl-SI"/>
              </w:rPr>
            </w:pPr>
            <w:r w:rsidRPr="005771BD">
              <w:rPr>
                <w:rFonts w:cs="Arial"/>
                <w:b/>
                <w:color w:val="000000"/>
                <w:szCs w:val="20"/>
                <w:lang w:val="sl-SI" w:eastAsia="sl-SI"/>
              </w:rPr>
              <w:t>2005</w:t>
            </w:r>
          </w:p>
        </w:tc>
        <w:tc>
          <w:tcPr>
            <w:tcW w:w="355" w:type="pct"/>
            <w:shd w:val="clear" w:color="auto" w:fill="auto"/>
            <w:noWrap/>
            <w:vAlign w:val="bottom"/>
            <w:hideMark/>
          </w:tcPr>
          <w:p w:rsidR="00427ED6" w:rsidRPr="005771BD" w:rsidRDefault="00427ED6" w:rsidP="00225F01">
            <w:pPr>
              <w:spacing w:before="60" w:line="276" w:lineRule="auto"/>
              <w:jc w:val="right"/>
              <w:rPr>
                <w:rFonts w:cs="Arial"/>
                <w:b/>
                <w:color w:val="000000"/>
                <w:szCs w:val="20"/>
                <w:lang w:val="sl-SI" w:eastAsia="sl-SI"/>
              </w:rPr>
            </w:pPr>
            <w:r w:rsidRPr="005771BD">
              <w:rPr>
                <w:rFonts w:cs="Arial"/>
                <w:b/>
                <w:color w:val="000000"/>
                <w:szCs w:val="20"/>
                <w:lang w:val="sl-SI" w:eastAsia="sl-SI"/>
              </w:rPr>
              <w:t>2010</w:t>
            </w:r>
          </w:p>
        </w:tc>
        <w:tc>
          <w:tcPr>
            <w:tcW w:w="371" w:type="pct"/>
            <w:shd w:val="clear" w:color="auto" w:fill="auto"/>
            <w:noWrap/>
            <w:vAlign w:val="bottom"/>
            <w:hideMark/>
          </w:tcPr>
          <w:p w:rsidR="00427ED6" w:rsidRPr="005771BD" w:rsidRDefault="00427ED6" w:rsidP="00225F01">
            <w:pPr>
              <w:spacing w:before="60" w:line="276" w:lineRule="auto"/>
              <w:jc w:val="right"/>
              <w:rPr>
                <w:rFonts w:cs="Arial"/>
                <w:b/>
                <w:color w:val="000000"/>
                <w:szCs w:val="20"/>
                <w:lang w:val="sl-SI" w:eastAsia="sl-SI"/>
              </w:rPr>
            </w:pPr>
            <w:r w:rsidRPr="005771BD">
              <w:rPr>
                <w:rFonts w:cs="Arial"/>
                <w:b/>
                <w:color w:val="000000"/>
                <w:szCs w:val="20"/>
                <w:lang w:val="sl-SI" w:eastAsia="sl-SI"/>
              </w:rPr>
              <w:t>2014</w:t>
            </w:r>
          </w:p>
        </w:tc>
      </w:tr>
      <w:tr w:rsidR="00427ED6" w:rsidRPr="005771BD" w:rsidTr="00225F01">
        <w:trPr>
          <w:trHeight w:val="288"/>
        </w:trPr>
        <w:tc>
          <w:tcPr>
            <w:tcW w:w="3569" w:type="pct"/>
            <w:shd w:val="clear" w:color="auto" w:fill="auto"/>
            <w:noWrap/>
            <w:vAlign w:val="bottom"/>
            <w:hideMark/>
          </w:tcPr>
          <w:p w:rsidR="00427ED6" w:rsidRPr="005771BD" w:rsidRDefault="00427ED6" w:rsidP="00225F01">
            <w:pPr>
              <w:spacing w:before="60" w:line="276" w:lineRule="auto"/>
              <w:rPr>
                <w:rFonts w:cs="Arial"/>
                <w:color w:val="000000"/>
                <w:szCs w:val="20"/>
                <w:lang w:val="sl-SI" w:eastAsia="sl-SI"/>
              </w:rPr>
            </w:pPr>
            <w:r w:rsidRPr="005771BD">
              <w:rPr>
                <w:rFonts w:cs="Arial"/>
                <w:color w:val="000000"/>
                <w:szCs w:val="20"/>
                <w:lang w:val="sl-SI" w:eastAsia="sl-SI"/>
              </w:rPr>
              <w:t>Državna proračunska sredstva za RRD, namenjena za okolje (%)</w:t>
            </w:r>
          </w:p>
        </w:tc>
        <w:tc>
          <w:tcPr>
            <w:tcW w:w="353"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w:t>
            </w:r>
          </w:p>
        </w:tc>
        <w:tc>
          <w:tcPr>
            <w:tcW w:w="353"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w:t>
            </w:r>
          </w:p>
        </w:tc>
        <w:tc>
          <w:tcPr>
            <w:tcW w:w="355"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3,27</w:t>
            </w:r>
          </w:p>
        </w:tc>
        <w:tc>
          <w:tcPr>
            <w:tcW w:w="371"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3,3</w:t>
            </w:r>
          </w:p>
        </w:tc>
      </w:tr>
      <w:tr w:rsidR="00427ED6" w:rsidRPr="005771BD" w:rsidTr="00225F01">
        <w:trPr>
          <w:trHeight w:val="288"/>
        </w:trPr>
        <w:tc>
          <w:tcPr>
            <w:tcW w:w="3569" w:type="pct"/>
            <w:shd w:val="clear" w:color="auto" w:fill="auto"/>
            <w:noWrap/>
            <w:vAlign w:val="bottom"/>
            <w:hideMark/>
          </w:tcPr>
          <w:p w:rsidR="00427ED6" w:rsidRPr="005771BD" w:rsidRDefault="00427ED6" w:rsidP="00225F01">
            <w:pPr>
              <w:spacing w:before="60" w:line="276" w:lineRule="auto"/>
              <w:rPr>
                <w:rFonts w:cs="Arial"/>
                <w:color w:val="000000"/>
                <w:szCs w:val="20"/>
                <w:lang w:val="sl-SI" w:eastAsia="sl-SI"/>
              </w:rPr>
            </w:pPr>
            <w:r w:rsidRPr="005771BD">
              <w:rPr>
                <w:rFonts w:cs="Arial"/>
                <w:color w:val="000000"/>
                <w:szCs w:val="20"/>
                <w:lang w:val="sl-SI" w:eastAsia="sl-SI"/>
              </w:rPr>
              <w:t>Državna proračunska sredstva za RRD, namenjena za energijo (%)</w:t>
            </w:r>
          </w:p>
        </w:tc>
        <w:tc>
          <w:tcPr>
            <w:tcW w:w="353"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w:t>
            </w:r>
          </w:p>
        </w:tc>
        <w:tc>
          <w:tcPr>
            <w:tcW w:w="353"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w:t>
            </w:r>
          </w:p>
        </w:tc>
        <w:tc>
          <w:tcPr>
            <w:tcW w:w="355"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1,99</w:t>
            </w:r>
          </w:p>
        </w:tc>
        <w:tc>
          <w:tcPr>
            <w:tcW w:w="371"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3,08</w:t>
            </w:r>
          </w:p>
        </w:tc>
      </w:tr>
      <w:tr w:rsidR="00427ED6" w:rsidRPr="005771BD" w:rsidTr="00225F01">
        <w:trPr>
          <w:trHeight w:val="288"/>
        </w:trPr>
        <w:tc>
          <w:tcPr>
            <w:tcW w:w="3569" w:type="pct"/>
            <w:shd w:val="clear" w:color="auto" w:fill="auto"/>
            <w:noWrap/>
            <w:vAlign w:val="bottom"/>
            <w:hideMark/>
          </w:tcPr>
          <w:p w:rsidR="00427ED6" w:rsidRPr="005771BD" w:rsidRDefault="00427ED6" w:rsidP="00225F01">
            <w:pPr>
              <w:spacing w:before="60" w:line="276" w:lineRule="auto"/>
              <w:rPr>
                <w:rFonts w:cs="Arial"/>
                <w:color w:val="000000"/>
                <w:szCs w:val="20"/>
                <w:lang w:val="sl-SI" w:eastAsia="sl-SI"/>
              </w:rPr>
            </w:pPr>
            <w:r w:rsidRPr="005771BD">
              <w:rPr>
                <w:rFonts w:cs="Arial"/>
                <w:color w:val="000000"/>
                <w:szCs w:val="20"/>
                <w:lang w:val="sl-SI" w:eastAsia="sl-SI"/>
              </w:rPr>
              <w:t>Bruto nacionalni dohodek, namenjen za uradno razvojno pomoč (%)</w:t>
            </w:r>
          </w:p>
        </w:tc>
        <w:tc>
          <w:tcPr>
            <w:tcW w:w="353"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0,1</w:t>
            </w:r>
          </w:p>
        </w:tc>
        <w:tc>
          <w:tcPr>
            <w:tcW w:w="353"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0,11</w:t>
            </w:r>
          </w:p>
        </w:tc>
        <w:tc>
          <w:tcPr>
            <w:tcW w:w="355"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0,13</w:t>
            </w:r>
          </w:p>
        </w:tc>
        <w:tc>
          <w:tcPr>
            <w:tcW w:w="371"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0,13</w:t>
            </w:r>
          </w:p>
        </w:tc>
      </w:tr>
      <w:tr w:rsidR="00427ED6" w:rsidRPr="005771BD" w:rsidTr="00225F01">
        <w:trPr>
          <w:trHeight w:val="288"/>
        </w:trPr>
        <w:tc>
          <w:tcPr>
            <w:tcW w:w="3569" w:type="pct"/>
            <w:shd w:val="clear" w:color="auto" w:fill="auto"/>
            <w:noWrap/>
            <w:vAlign w:val="bottom"/>
            <w:hideMark/>
          </w:tcPr>
          <w:p w:rsidR="00427ED6" w:rsidRPr="005771BD" w:rsidRDefault="00427ED6" w:rsidP="00225F01">
            <w:pPr>
              <w:spacing w:before="60" w:line="276" w:lineRule="auto"/>
              <w:rPr>
                <w:rFonts w:cs="Arial"/>
                <w:color w:val="000000"/>
                <w:szCs w:val="20"/>
                <w:lang w:val="sl-SI" w:eastAsia="sl-SI"/>
              </w:rPr>
            </w:pPr>
            <w:r w:rsidRPr="005771BD">
              <w:rPr>
                <w:rFonts w:cs="Arial"/>
                <w:color w:val="000000"/>
                <w:szCs w:val="20"/>
                <w:lang w:val="sl-SI" w:eastAsia="sl-SI"/>
              </w:rPr>
              <w:t>Okoljski davki v primerjavi z vsemi davki in socialnimi prispevki (%)</w:t>
            </w:r>
          </w:p>
        </w:tc>
        <w:tc>
          <w:tcPr>
            <w:tcW w:w="353"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w:t>
            </w:r>
          </w:p>
        </w:tc>
        <w:tc>
          <w:tcPr>
            <w:tcW w:w="353"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w:t>
            </w:r>
          </w:p>
        </w:tc>
        <w:tc>
          <w:tcPr>
            <w:tcW w:w="355"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9,58</w:t>
            </w:r>
          </w:p>
        </w:tc>
        <w:tc>
          <w:tcPr>
            <w:tcW w:w="371"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10,38</w:t>
            </w:r>
          </w:p>
        </w:tc>
      </w:tr>
      <w:tr w:rsidR="00427ED6" w:rsidRPr="005771BD" w:rsidTr="00225F01">
        <w:trPr>
          <w:trHeight w:val="288"/>
        </w:trPr>
        <w:tc>
          <w:tcPr>
            <w:tcW w:w="3569" w:type="pct"/>
            <w:shd w:val="clear" w:color="auto" w:fill="auto"/>
            <w:noWrap/>
            <w:vAlign w:val="bottom"/>
            <w:hideMark/>
          </w:tcPr>
          <w:p w:rsidR="00427ED6" w:rsidRPr="005771BD" w:rsidRDefault="00427ED6" w:rsidP="00225F01">
            <w:pPr>
              <w:spacing w:before="60" w:line="276" w:lineRule="auto"/>
              <w:rPr>
                <w:rFonts w:cs="Arial"/>
                <w:color w:val="000000"/>
                <w:szCs w:val="20"/>
                <w:lang w:val="sl-SI" w:eastAsia="sl-SI"/>
              </w:rPr>
            </w:pPr>
            <w:r w:rsidRPr="005771BD">
              <w:rPr>
                <w:rFonts w:cs="Arial"/>
                <w:color w:val="000000"/>
                <w:szCs w:val="20"/>
                <w:lang w:val="sl-SI" w:eastAsia="sl-SI"/>
              </w:rPr>
              <w:t>Davki v ceni električne energije za industrijo (%)</w:t>
            </w:r>
          </w:p>
        </w:tc>
        <w:tc>
          <w:tcPr>
            <w:tcW w:w="353"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w:t>
            </w:r>
          </w:p>
        </w:tc>
        <w:tc>
          <w:tcPr>
            <w:tcW w:w="353"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w:t>
            </w:r>
          </w:p>
        </w:tc>
        <w:tc>
          <w:tcPr>
            <w:tcW w:w="355"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24</w:t>
            </w:r>
          </w:p>
        </w:tc>
        <w:tc>
          <w:tcPr>
            <w:tcW w:w="371"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29</w:t>
            </w:r>
          </w:p>
        </w:tc>
      </w:tr>
      <w:tr w:rsidR="00427ED6" w:rsidRPr="005771BD" w:rsidTr="00225F01">
        <w:trPr>
          <w:trHeight w:val="288"/>
        </w:trPr>
        <w:tc>
          <w:tcPr>
            <w:tcW w:w="3569" w:type="pct"/>
            <w:shd w:val="clear" w:color="auto" w:fill="auto"/>
            <w:noWrap/>
            <w:vAlign w:val="bottom"/>
            <w:hideMark/>
          </w:tcPr>
          <w:p w:rsidR="00427ED6" w:rsidRPr="005771BD" w:rsidRDefault="00427ED6" w:rsidP="00225F01">
            <w:pPr>
              <w:spacing w:before="60" w:line="276" w:lineRule="auto"/>
              <w:rPr>
                <w:rFonts w:cs="Arial"/>
                <w:color w:val="000000"/>
                <w:szCs w:val="20"/>
                <w:lang w:val="sl-SI" w:eastAsia="sl-SI"/>
              </w:rPr>
            </w:pPr>
            <w:r w:rsidRPr="005771BD">
              <w:rPr>
                <w:rFonts w:cs="Arial"/>
                <w:color w:val="000000"/>
                <w:szCs w:val="20"/>
                <w:lang w:val="sl-SI" w:eastAsia="sl-SI"/>
              </w:rPr>
              <w:t>Davki v ceni plina za industrijo (%)</w:t>
            </w:r>
          </w:p>
        </w:tc>
        <w:tc>
          <w:tcPr>
            <w:tcW w:w="353"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w:t>
            </w:r>
          </w:p>
        </w:tc>
        <w:tc>
          <w:tcPr>
            <w:tcW w:w="353"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w:t>
            </w:r>
          </w:p>
        </w:tc>
        <w:tc>
          <w:tcPr>
            <w:tcW w:w="355"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25</w:t>
            </w:r>
          </w:p>
        </w:tc>
        <w:tc>
          <w:tcPr>
            <w:tcW w:w="371" w:type="pct"/>
            <w:shd w:val="clear" w:color="auto" w:fill="auto"/>
            <w:noWrap/>
            <w:vAlign w:val="bottom"/>
            <w:hideMark/>
          </w:tcPr>
          <w:p w:rsidR="00427ED6" w:rsidRPr="005771BD" w:rsidRDefault="00427ED6" w:rsidP="00225F01">
            <w:pPr>
              <w:spacing w:before="60" w:line="276" w:lineRule="auto"/>
              <w:jc w:val="right"/>
              <w:rPr>
                <w:rFonts w:cs="Arial"/>
                <w:color w:val="000000"/>
                <w:szCs w:val="20"/>
                <w:lang w:val="sl-SI" w:eastAsia="sl-SI"/>
              </w:rPr>
            </w:pPr>
            <w:r w:rsidRPr="005771BD">
              <w:rPr>
                <w:rFonts w:cs="Arial"/>
                <w:color w:val="000000"/>
                <w:szCs w:val="20"/>
                <w:lang w:val="sl-SI" w:eastAsia="sl-SI"/>
              </w:rPr>
              <w:t>29</w:t>
            </w:r>
          </w:p>
        </w:tc>
      </w:tr>
    </w:tbl>
    <w:p w:rsidR="00427ED6" w:rsidRPr="005771BD" w:rsidRDefault="00427ED6" w:rsidP="00427ED6">
      <w:pPr>
        <w:spacing w:after="240" w:line="276" w:lineRule="auto"/>
        <w:rPr>
          <w:rFonts w:eastAsiaTheme="minorHAnsi" w:cs="Arial"/>
          <w:b/>
          <w:szCs w:val="20"/>
          <w:lang w:val="sl-SI"/>
        </w:rPr>
      </w:pPr>
    </w:p>
    <w:p w:rsidR="00427ED6" w:rsidRPr="005771BD" w:rsidRDefault="00E41458" w:rsidP="00427ED6">
      <w:pPr>
        <w:spacing w:after="200" w:line="276" w:lineRule="auto"/>
        <w:jc w:val="both"/>
        <w:rPr>
          <w:rFonts w:cs="Arial"/>
          <w:b/>
          <w:szCs w:val="20"/>
          <w:u w:val="single"/>
          <w:lang w:val="sl-SI" w:eastAsia="sl-SI"/>
        </w:rPr>
      </w:pPr>
      <w:r>
        <w:rPr>
          <w:rFonts w:cs="Arial"/>
          <w:b/>
          <w:szCs w:val="20"/>
          <w:u w:val="single"/>
          <w:lang w:val="sl-SI" w:eastAsia="sl-SI"/>
        </w:rPr>
        <w:t>4</w:t>
      </w:r>
      <w:r w:rsidR="00427ED6" w:rsidRPr="005771BD">
        <w:rPr>
          <w:rFonts w:cs="Arial"/>
          <w:b/>
          <w:szCs w:val="20"/>
          <w:u w:val="single"/>
          <w:lang w:val="sl-SI" w:eastAsia="sl-SI"/>
        </w:rPr>
        <w:t xml:space="preserve">. 5 Nov strateški razvojni okvir – trajnostni razvoj nima alternative </w:t>
      </w:r>
    </w:p>
    <w:p w:rsidR="00427ED6" w:rsidRPr="005771BD" w:rsidRDefault="00427ED6" w:rsidP="00427ED6">
      <w:pPr>
        <w:spacing w:line="276" w:lineRule="auto"/>
        <w:jc w:val="both"/>
        <w:rPr>
          <w:rFonts w:cs="Arial"/>
          <w:szCs w:val="20"/>
          <w:lang w:val="sl-SI" w:eastAsia="sl-SI"/>
        </w:rPr>
      </w:pPr>
      <w:r w:rsidRPr="005771BD">
        <w:rPr>
          <w:rFonts w:cs="Arial"/>
          <w:szCs w:val="20"/>
          <w:lang w:val="sl-SI" w:eastAsia="sl-SI"/>
        </w:rPr>
        <w:t xml:space="preserve">Slovenija s strategijo razvoja Slovenije do 2030 postavlja nov strateški okvir nacionalnega razvoja, ki je povezan z zavezami iz Agende 2030. </w:t>
      </w:r>
    </w:p>
    <w:p w:rsidR="00427ED6" w:rsidRPr="005771BD" w:rsidRDefault="00427ED6" w:rsidP="00427ED6">
      <w:pPr>
        <w:spacing w:line="276" w:lineRule="auto"/>
        <w:jc w:val="both"/>
        <w:rPr>
          <w:rFonts w:cs="Arial"/>
          <w:szCs w:val="20"/>
          <w:lang w:val="sl-SI" w:eastAsia="sl-SI"/>
        </w:rPr>
      </w:pPr>
    </w:p>
    <w:p w:rsidR="00427ED6" w:rsidRPr="005771BD" w:rsidRDefault="00427ED6" w:rsidP="00E41458">
      <w:pPr>
        <w:spacing w:after="360" w:line="276" w:lineRule="auto"/>
        <w:jc w:val="both"/>
        <w:rPr>
          <w:rFonts w:cs="Arial"/>
          <w:szCs w:val="20"/>
          <w:lang w:val="sl-SI" w:eastAsia="sl-SI"/>
        </w:rPr>
      </w:pPr>
      <w:r w:rsidRPr="005771BD">
        <w:rPr>
          <w:rFonts w:cs="Arial"/>
          <w:szCs w:val="20"/>
          <w:lang w:val="sl-SI" w:eastAsia="sl-SI"/>
        </w:rPr>
        <w:t xml:space="preserve">Pri postavljanju razvojnega okvira je treba kot izhodišče upoštevati, da robne pogoje razvoju določajo ekosistemske sposobnosti okolja in da samo trajnostni razvoj zagotavlja dobro življenje za sedanjo in prihodnje generacije. </w:t>
      </w:r>
    </w:p>
    <w:p w:rsidR="00993FB7" w:rsidRPr="00411AC4" w:rsidRDefault="00E41458" w:rsidP="00993FB7">
      <w:pPr>
        <w:spacing w:after="200" w:line="276" w:lineRule="auto"/>
        <w:rPr>
          <w:rFonts w:cs="Arial"/>
          <w:b/>
          <w:szCs w:val="20"/>
          <w:u w:val="single"/>
          <w:lang w:val="sl-SI" w:eastAsia="sl-SI"/>
        </w:rPr>
      </w:pPr>
      <w:r>
        <w:rPr>
          <w:rFonts w:cs="Arial"/>
          <w:b/>
          <w:szCs w:val="20"/>
          <w:u w:val="single"/>
          <w:lang w:val="sl-SI" w:eastAsia="sl-SI"/>
        </w:rPr>
        <w:t>4</w:t>
      </w:r>
      <w:r w:rsidR="00993FB7" w:rsidRPr="00411AC4">
        <w:rPr>
          <w:rFonts w:cs="Arial"/>
          <w:b/>
          <w:szCs w:val="20"/>
          <w:u w:val="single"/>
          <w:lang w:val="sl-SI" w:eastAsia="sl-SI"/>
        </w:rPr>
        <w:t>.6 Viri</w:t>
      </w:r>
      <w:r w:rsidR="003A5A76">
        <w:rPr>
          <w:rFonts w:cs="Arial"/>
          <w:b/>
          <w:szCs w:val="20"/>
          <w:u w:val="single"/>
          <w:lang w:val="sl-SI" w:eastAsia="sl-SI"/>
        </w:rPr>
        <w:t xml:space="preserve"> in literatura</w:t>
      </w:r>
      <w:r w:rsidR="00993FB7" w:rsidRPr="00411AC4">
        <w:rPr>
          <w:rFonts w:cs="Arial"/>
          <w:b/>
          <w:szCs w:val="20"/>
          <w:u w:val="single"/>
          <w:lang w:val="sl-SI" w:eastAsia="sl-SI"/>
        </w:rPr>
        <w:t xml:space="preserve"> </w:t>
      </w:r>
    </w:p>
    <w:p w:rsidR="00993FB7" w:rsidRPr="00194EA0" w:rsidRDefault="003A5A76" w:rsidP="00194EA0">
      <w:pPr>
        <w:spacing w:line="276" w:lineRule="auto"/>
        <w:jc w:val="both"/>
        <w:rPr>
          <w:rFonts w:cs="Arial"/>
          <w:szCs w:val="20"/>
          <w:lang w:val="sl-SI" w:eastAsia="sl-SI"/>
        </w:rPr>
      </w:pPr>
      <w:r w:rsidRPr="00194EA0">
        <w:rPr>
          <w:rFonts w:cs="Arial"/>
          <w:szCs w:val="20"/>
          <w:lang w:val="sl-SI" w:eastAsia="sl-SI"/>
        </w:rPr>
        <w:t>Belingar,  M. in</w:t>
      </w:r>
      <w:r w:rsidR="00993FB7" w:rsidRPr="00194EA0">
        <w:rPr>
          <w:rFonts w:cs="Arial"/>
          <w:szCs w:val="20"/>
          <w:lang w:val="sl-SI" w:eastAsia="sl-SI"/>
        </w:rPr>
        <w:t xml:space="preserve"> Kavs, K</w:t>
      </w:r>
      <w:r w:rsidRPr="00194EA0">
        <w:rPr>
          <w:rFonts w:cs="Arial"/>
          <w:szCs w:val="20"/>
          <w:lang w:val="sl-SI" w:eastAsia="sl-SI"/>
        </w:rPr>
        <w:t>.</w:t>
      </w:r>
      <w:r w:rsidR="00143AFB" w:rsidRPr="00194EA0">
        <w:rPr>
          <w:rFonts w:cs="Arial"/>
          <w:szCs w:val="20"/>
          <w:lang w:val="sl-SI" w:eastAsia="sl-SI"/>
        </w:rPr>
        <w:t xml:space="preserve"> </w:t>
      </w:r>
      <w:r w:rsidR="00993FB7" w:rsidRPr="00194EA0">
        <w:rPr>
          <w:rFonts w:cs="Arial"/>
          <w:szCs w:val="20"/>
          <w:lang w:val="sl-SI" w:eastAsia="sl-SI"/>
        </w:rPr>
        <w:t>ur.</w:t>
      </w:r>
      <w:r w:rsidR="00143AFB" w:rsidRPr="00194EA0">
        <w:rPr>
          <w:rFonts w:cs="Arial"/>
          <w:szCs w:val="20"/>
          <w:lang w:val="sl-SI" w:eastAsia="sl-SI"/>
        </w:rPr>
        <w:t>,</w:t>
      </w:r>
      <w:r w:rsidR="00993FB7" w:rsidRPr="00194EA0">
        <w:rPr>
          <w:rFonts w:cs="Arial"/>
          <w:szCs w:val="20"/>
          <w:lang w:val="sl-SI" w:eastAsia="sl-SI"/>
        </w:rPr>
        <w:t xml:space="preserve"> 2014. </w:t>
      </w:r>
      <w:r w:rsidR="00993FB7" w:rsidRPr="00194EA0">
        <w:rPr>
          <w:rFonts w:cs="Arial"/>
          <w:i/>
          <w:szCs w:val="20"/>
          <w:lang w:val="sl-SI" w:eastAsia="sl-SI"/>
        </w:rPr>
        <w:t>Strategija kulturnih virov za trajnostni razvoj regij. Metodologija CCC</w:t>
      </w:r>
      <w:r w:rsidR="00993FB7" w:rsidRPr="00194EA0">
        <w:rPr>
          <w:rFonts w:cs="Arial"/>
          <w:szCs w:val="20"/>
          <w:lang w:val="sl-SI" w:eastAsia="sl-SI"/>
        </w:rPr>
        <w:t xml:space="preserve">. </w:t>
      </w:r>
      <w:r w:rsidR="00143AFB" w:rsidRPr="00194EA0">
        <w:rPr>
          <w:rFonts w:cs="Arial"/>
          <w:szCs w:val="20"/>
          <w:lang w:val="sl-SI" w:eastAsia="sl-SI"/>
        </w:rPr>
        <w:t>Bovec</w:t>
      </w:r>
      <w:r w:rsidR="00D01174" w:rsidRPr="00194EA0">
        <w:rPr>
          <w:rFonts w:cs="Arial"/>
          <w:szCs w:val="20"/>
          <w:lang w:val="sl-SI" w:eastAsia="sl-SI"/>
        </w:rPr>
        <w:t xml:space="preserve">: </w:t>
      </w:r>
      <w:r w:rsidR="00993FB7" w:rsidRPr="00194EA0">
        <w:rPr>
          <w:rFonts w:cs="Arial"/>
          <w:szCs w:val="20"/>
          <w:lang w:val="sl-SI" w:eastAsia="sl-SI"/>
        </w:rPr>
        <w:t>Lokalna turistična organizacija</w:t>
      </w:r>
      <w:r w:rsidR="00143AFB" w:rsidRPr="00194EA0">
        <w:rPr>
          <w:rFonts w:cs="Arial"/>
          <w:szCs w:val="20"/>
          <w:lang w:val="sl-SI" w:eastAsia="sl-SI"/>
        </w:rPr>
        <w:t>.</w:t>
      </w:r>
      <w:r w:rsidRPr="00194EA0">
        <w:rPr>
          <w:rFonts w:cs="Arial"/>
          <w:szCs w:val="20"/>
          <w:lang w:val="sl-SI" w:eastAsia="sl-SI"/>
        </w:rPr>
        <w:t xml:space="preserve"> </w:t>
      </w:r>
      <w:r w:rsidR="00993FB7" w:rsidRPr="00194EA0">
        <w:rPr>
          <w:rFonts w:cs="Arial"/>
          <w:szCs w:val="20"/>
          <w:lang w:val="sl-SI" w:eastAsia="sl-SI"/>
        </w:rPr>
        <w:t>Dostopno</w:t>
      </w:r>
      <w:r w:rsidRPr="00194EA0">
        <w:rPr>
          <w:rFonts w:cs="Arial"/>
          <w:szCs w:val="20"/>
          <w:lang w:val="sl-SI" w:eastAsia="sl-SI"/>
        </w:rPr>
        <w:t xml:space="preserve"> na</w:t>
      </w:r>
      <w:r w:rsidR="00143AFB" w:rsidRPr="00194EA0">
        <w:rPr>
          <w:rFonts w:cs="Arial"/>
          <w:szCs w:val="20"/>
          <w:lang w:val="sl-SI" w:eastAsia="sl-SI"/>
        </w:rPr>
        <w:t xml:space="preserve"> </w:t>
      </w:r>
      <w:r w:rsidR="00EB48E5">
        <w:rPr>
          <w:rFonts w:cs="Arial"/>
          <w:szCs w:val="20"/>
          <w:lang w:val="sl-SI" w:eastAsia="sl-SI"/>
        </w:rPr>
        <w:t xml:space="preserve">naslovu: </w:t>
      </w:r>
      <w:hyperlink r:id="rId19" w:history="1">
        <w:r w:rsidR="00143AFB" w:rsidRPr="00194EA0">
          <w:rPr>
            <w:rStyle w:val="Hiperpovezava"/>
            <w:rFonts w:cs="Arial"/>
            <w:szCs w:val="20"/>
            <w:lang w:val="sl-SI" w:eastAsia="sl-SI"/>
          </w:rPr>
          <w:t>http://www.razvoj.si/UserFiles/File/Publikacije/CCC_Strategija-lto-bovec-2014.pdf</w:t>
        </w:r>
      </w:hyperlink>
      <w:r w:rsidR="00143AFB" w:rsidRPr="00194EA0">
        <w:rPr>
          <w:rFonts w:cs="Arial"/>
          <w:szCs w:val="20"/>
          <w:lang w:val="sl-SI" w:eastAsia="sl-SI"/>
        </w:rPr>
        <w:t xml:space="preserve"> </w:t>
      </w:r>
      <w:r w:rsidR="00993FB7" w:rsidRPr="00194EA0">
        <w:rPr>
          <w:rFonts w:cs="Arial"/>
          <w:szCs w:val="20"/>
          <w:lang w:val="sl-SI" w:eastAsia="sl-SI"/>
        </w:rPr>
        <w:t>(20.6.2014)</w:t>
      </w:r>
      <w:r w:rsidR="009E3CBA" w:rsidRPr="00194EA0">
        <w:rPr>
          <w:rFonts w:cs="Arial"/>
          <w:szCs w:val="20"/>
          <w:lang w:val="sl-SI" w:eastAsia="sl-SI"/>
        </w:rPr>
        <w:t>.</w:t>
      </w:r>
    </w:p>
    <w:p w:rsidR="00993FB7" w:rsidRPr="00194EA0" w:rsidRDefault="00993FB7" w:rsidP="00194EA0">
      <w:pPr>
        <w:spacing w:before="120" w:line="276" w:lineRule="auto"/>
        <w:jc w:val="both"/>
        <w:rPr>
          <w:rFonts w:cs="Arial"/>
          <w:szCs w:val="20"/>
          <w:lang w:val="sl-SI" w:eastAsia="sl-SI"/>
        </w:rPr>
      </w:pPr>
      <w:r w:rsidRPr="00194EA0">
        <w:rPr>
          <w:rFonts w:cs="Arial"/>
          <w:szCs w:val="20"/>
          <w:lang w:val="sl-SI" w:eastAsia="sl-SI"/>
        </w:rPr>
        <w:t>Beltran, N</w:t>
      </w:r>
      <w:r w:rsidR="003A5A76" w:rsidRPr="00194EA0">
        <w:rPr>
          <w:rFonts w:cs="Arial"/>
          <w:szCs w:val="20"/>
          <w:lang w:val="sl-SI" w:eastAsia="sl-SI"/>
        </w:rPr>
        <w:t>.</w:t>
      </w:r>
      <w:r w:rsidRPr="00194EA0">
        <w:rPr>
          <w:rFonts w:cs="Arial"/>
          <w:szCs w:val="20"/>
          <w:lang w:val="sl-SI" w:eastAsia="sl-SI"/>
        </w:rPr>
        <w:t xml:space="preserve"> ur.</w:t>
      </w:r>
      <w:r w:rsidR="00D01174" w:rsidRPr="00194EA0">
        <w:rPr>
          <w:rFonts w:cs="Arial"/>
          <w:szCs w:val="20"/>
          <w:lang w:val="sl-SI" w:eastAsia="sl-SI"/>
        </w:rPr>
        <w:t>,</w:t>
      </w:r>
      <w:r w:rsidRPr="00194EA0">
        <w:rPr>
          <w:rFonts w:cs="Arial"/>
          <w:szCs w:val="20"/>
          <w:lang w:val="sl-SI" w:eastAsia="sl-SI"/>
        </w:rPr>
        <w:t xml:space="preserve"> 2012.</w:t>
      </w:r>
      <w:r w:rsidR="00D01174" w:rsidRPr="00194EA0">
        <w:rPr>
          <w:rFonts w:cs="Arial"/>
          <w:szCs w:val="20"/>
          <w:lang w:val="sl-SI" w:eastAsia="sl-SI"/>
        </w:rPr>
        <w:t>,</w:t>
      </w:r>
      <w:r w:rsidRPr="00194EA0">
        <w:rPr>
          <w:rFonts w:cs="Arial"/>
          <w:szCs w:val="20"/>
          <w:lang w:val="sl-SI" w:eastAsia="sl-SI"/>
        </w:rPr>
        <w:t xml:space="preserve"> </w:t>
      </w:r>
      <w:r w:rsidRPr="00194EA0">
        <w:rPr>
          <w:rFonts w:cs="Arial"/>
          <w:i/>
          <w:szCs w:val="20"/>
          <w:lang w:val="sl-SI" w:eastAsia="sl-SI"/>
        </w:rPr>
        <w:t>Za zeleni razvojni preboj. Plan B za Slovenijo 4.0: Prispevek za Strategijo razvoja Slovenije 2014- 2020</w:t>
      </w:r>
      <w:r w:rsidRPr="00194EA0">
        <w:rPr>
          <w:rFonts w:cs="Arial"/>
          <w:szCs w:val="20"/>
          <w:lang w:val="sl-SI" w:eastAsia="sl-SI"/>
        </w:rPr>
        <w:t xml:space="preserve">. </w:t>
      </w:r>
      <w:r w:rsidR="00D01174" w:rsidRPr="00194EA0">
        <w:rPr>
          <w:rFonts w:cs="Arial"/>
          <w:szCs w:val="20"/>
          <w:lang w:val="sl-SI" w:eastAsia="sl-SI"/>
        </w:rPr>
        <w:t>Ljubljana: Plan B za Slovenijo.</w:t>
      </w:r>
      <w:r w:rsidRPr="00194EA0">
        <w:rPr>
          <w:rFonts w:cs="Arial"/>
          <w:szCs w:val="20"/>
          <w:lang w:val="sl-SI" w:eastAsia="sl-SI"/>
        </w:rPr>
        <w:t xml:space="preserve"> Dostopno </w:t>
      </w:r>
      <w:r w:rsidR="00D01174" w:rsidRPr="00194EA0">
        <w:rPr>
          <w:rFonts w:cs="Arial"/>
          <w:szCs w:val="20"/>
          <w:lang w:val="sl-SI" w:eastAsia="sl-SI"/>
        </w:rPr>
        <w:t>na</w:t>
      </w:r>
      <w:r w:rsidR="00EB48E5">
        <w:rPr>
          <w:rFonts w:cs="Arial"/>
          <w:szCs w:val="20"/>
          <w:lang w:val="sl-SI" w:eastAsia="sl-SI"/>
        </w:rPr>
        <w:t xml:space="preserve"> naslovu</w:t>
      </w:r>
      <w:r w:rsidRPr="00194EA0">
        <w:rPr>
          <w:rFonts w:cs="Arial"/>
          <w:szCs w:val="20"/>
          <w:lang w:val="sl-SI" w:eastAsia="sl-SI"/>
        </w:rPr>
        <w:t xml:space="preserve">: </w:t>
      </w:r>
      <w:hyperlink r:id="rId20" w:history="1">
        <w:r w:rsidR="00143AFB" w:rsidRPr="00194EA0">
          <w:rPr>
            <w:rStyle w:val="Hiperpovezava"/>
            <w:rFonts w:eastAsiaTheme="majorEastAsia" w:cs="Arial"/>
            <w:szCs w:val="20"/>
            <w:lang w:val="sl-SI" w:eastAsia="sl-SI"/>
          </w:rPr>
          <w:t>http://www.planbzaslovenijo.si/upload/SRS/plan-b-zeleni-razvojni-preboj.pdf</w:t>
        </w:r>
      </w:hyperlink>
      <w:r w:rsidRPr="00194EA0">
        <w:rPr>
          <w:rFonts w:cs="Arial"/>
          <w:szCs w:val="20"/>
          <w:lang w:val="sl-SI" w:eastAsia="sl-SI"/>
        </w:rPr>
        <w:t xml:space="preserve"> (11.5.2014)</w:t>
      </w:r>
      <w:r w:rsidR="009E3CBA" w:rsidRPr="00194EA0">
        <w:rPr>
          <w:rFonts w:cs="Arial"/>
          <w:szCs w:val="20"/>
          <w:lang w:val="sl-SI" w:eastAsia="sl-SI"/>
        </w:rPr>
        <w:t>.</w:t>
      </w:r>
    </w:p>
    <w:p w:rsidR="00993FB7" w:rsidRPr="00194EA0" w:rsidRDefault="00993FB7" w:rsidP="00194EA0">
      <w:pPr>
        <w:spacing w:before="120" w:line="276" w:lineRule="auto"/>
        <w:jc w:val="both"/>
        <w:rPr>
          <w:rFonts w:cs="Arial"/>
          <w:szCs w:val="20"/>
          <w:lang w:val="sl-SI" w:eastAsia="sl-SI"/>
        </w:rPr>
      </w:pPr>
      <w:r w:rsidRPr="00194EA0">
        <w:rPr>
          <w:rFonts w:cs="Arial"/>
          <w:szCs w:val="20"/>
          <w:lang w:val="sl-SI" w:eastAsia="sl-SI"/>
        </w:rPr>
        <w:t>Brown, L</w:t>
      </w:r>
      <w:r w:rsidR="00D01174" w:rsidRPr="00194EA0">
        <w:rPr>
          <w:rFonts w:cs="Arial"/>
          <w:szCs w:val="20"/>
          <w:lang w:val="sl-SI" w:eastAsia="sl-SI"/>
        </w:rPr>
        <w:t>.</w:t>
      </w:r>
      <w:r w:rsidRPr="00194EA0">
        <w:rPr>
          <w:rFonts w:cs="Arial"/>
          <w:szCs w:val="20"/>
          <w:lang w:val="sl-SI" w:eastAsia="sl-SI"/>
        </w:rPr>
        <w:t xml:space="preserve"> </w:t>
      </w:r>
      <w:r w:rsidR="00D01174" w:rsidRPr="00194EA0">
        <w:rPr>
          <w:rFonts w:cs="Arial"/>
          <w:szCs w:val="20"/>
          <w:lang w:val="sl-SI" w:eastAsia="sl-SI"/>
        </w:rPr>
        <w:t xml:space="preserve"> </w:t>
      </w:r>
      <w:r w:rsidRPr="00194EA0">
        <w:rPr>
          <w:rFonts w:cs="Arial"/>
          <w:szCs w:val="20"/>
          <w:lang w:val="sl-SI" w:eastAsia="sl-SI"/>
        </w:rPr>
        <w:t>R</w:t>
      </w:r>
      <w:r w:rsidR="00D01174" w:rsidRPr="00194EA0">
        <w:rPr>
          <w:rFonts w:cs="Arial"/>
          <w:szCs w:val="20"/>
          <w:lang w:val="sl-SI" w:eastAsia="sl-SI"/>
        </w:rPr>
        <w:t>.,</w:t>
      </w:r>
      <w:r w:rsidRPr="00194EA0">
        <w:rPr>
          <w:rFonts w:cs="Arial"/>
          <w:szCs w:val="20"/>
          <w:lang w:val="sl-SI" w:eastAsia="sl-SI"/>
        </w:rPr>
        <w:t xml:space="preserve"> 2009. </w:t>
      </w:r>
      <w:r w:rsidRPr="00194EA0">
        <w:rPr>
          <w:rFonts w:cs="Arial"/>
          <w:i/>
          <w:szCs w:val="20"/>
          <w:lang w:val="sl-SI" w:eastAsia="sl-SI"/>
        </w:rPr>
        <w:t>Plan B 4.0: Mobilizing to Save Civilization</w:t>
      </w:r>
      <w:r w:rsidRPr="00194EA0">
        <w:rPr>
          <w:rFonts w:cs="Arial"/>
          <w:szCs w:val="20"/>
          <w:lang w:val="sl-SI" w:eastAsia="sl-SI"/>
        </w:rPr>
        <w:t>. Washington: Earth Policy Institute.</w:t>
      </w:r>
    </w:p>
    <w:p w:rsidR="00EB48E5" w:rsidRDefault="00993FB7" w:rsidP="00EB48E5">
      <w:pPr>
        <w:spacing w:before="120" w:line="276" w:lineRule="auto"/>
        <w:ind w:right="-7"/>
        <w:jc w:val="both"/>
        <w:rPr>
          <w:rFonts w:cs="Arial"/>
          <w:szCs w:val="20"/>
          <w:lang w:val="sl-SI" w:eastAsia="sl-SI"/>
        </w:rPr>
      </w:pPr>
      <w:r w:rsidRPr="00194EA0">
        <w:rPr>
          <w:rFonts w:cs="Arial"/>
          <w:szCs w:val="20"/>
          <w:lang w:val="sl-SI" w:eastAsia="sl-SI"/>
        </w:rPr>
        <w:t>Burja, A</w:t>
      </w:r>
      <w:r w:rsidR="00D01174" w:rsidRPr="00194EA0">
        <w:rPr>
          <w:rFonts w:cs="Arial"/>
          <w:szCs w:val="20"/>
          <w:lang w:val="sl-SI" w:eastAsia="sl-SI"/>
        </w:rPr>
        <w:t>.,</w:t>
      </w:r>
      <w:r w:rsidRPr="00194EA0">
        <w:rPr>
          <w:rFonts w:cs="Arial"/>
          <w:szCs w:val="20"/>
          <w:lang w:val="sl-SI" w:eastAsia="sl-SI"/>
        </w:rPr>
        <w:t xml:space="preserve"> Sonnenschein, J</w:t>
      </w:r>
      <w:r w:rsidR="00D01174" w:rsidRPr="00194EA0">
        <w:rPr>
          <w:rFonts w:cs="Arial"/>
          <w:szCs w:val="20"/>
          <w:lang w:val="sl-SI" w:eastAsia="sl-SI"/>
        </w:rPr>
        <w:t>.</w:t>
      </w:r>
      <w:r w:rsidRPr="00194EA0">
        <w:rPr>
          <w:rFonts w:cs="Arial"/>
          <w:szCs w:val="20"/>
          <w:lang w:val="sl-SI" w:eastAsia="sl-SI"/>
        </w:rPr>
        <w:t>, Vrhunc, N</w:t>
      </w:r>
      <w:r w:rsidR="00D01174" w:rsidRPr="00194EA0">
        <w:rPr>
          <w:rFonts w:cs="Arial"/>
          <w:szCs w:val="20"/>
          <w:lang w:val="sl-SI" w:eastAsia="sl-SI"/>
        </w:rPr>
        <w:t>.,</w:t>
      </w:r>
      <w:r w:rsidRPr="00194EA0">
        <w:rPr>
          <w:rFonts w:cs="Arial"/>
          <w:szCs w:val="20"/>
          <w:lang w:val="sl-SI" w:eastAsia="sl-SI"/>
        </w:rPr>
        <w:t xml:space="preserve"> 2014. </w:t>
      </w:r>
      <w:r w:rsidRPr="00194EA0">
        <w:rPr>
          <w:rFonts w:cs="Arial"/>
          <w:i/>
          <w:szCs w:val="20"/>
          <w:lang w:val="sl-SI" w:eastAsia="sl-SI"/>
        </w:rPr>
        <w:t>Učinkovita raba virov. Na poti k akcijskemu načrtu Slovenije. Priprava strokovnih podlag za akcijski načrt učinkovite rabe virov</w:t>
      </w:r>
      <w:r w:rsidRPr="00194EA0">
        <w:rPr>
          <w:rFonts w:cs="Arial"/>
          <w:szCs w:val="20"/>
          <w:lang w:val="sl-SI" w:eastAsia="sl-SI"/>
        </w:rPr>
        <w:t xml:space="preserve">. </w:t>
      </w:r>
      <w:r w:rsidR="00D01174" w:rsidRPr="00194EA0">
        <w:rPr>
          <w:rFonts w:cs="Arial"/>
          <w:szCs w:val="20"/>
          <w:lang w:val="sl-SI" w:eastAsia="sl-SI"/>
        </w:rPr>
        <w:t>Dostopno na</w:t>
      </w:r>
      <w:r w:rsidR="00EB48E5">
        <w:rPr>
          <w:rFonts w:cs="Arial"/>
          <w:szCs w:val="20"/>
          <w:lang w:val="sl-SI" w:eastAsia="sl-SI"/>
        </w:rPr>
        <w:t xml:space="preserve"> naslovu</w:t>
      </w:r>
      <w:r w:rsidR="00D01174" w:rsidRPr="00194EA0">
        <w:rPr>
          <w:rFonts w:cs="Arial"/>
          <w:szCs w:val="20"/>
          <w:lang w:val="sl-SI" w:eastAsia="sl-SI"/>
        </w:rPr>
        <w:t xml:space="preserve">: </w:t>
      </w:r>
    </w:p>
    <w:p w:rsidR="00993FB7" w:rsidRPr="00194EA0" w:rsidRDefault="00D01174" w:rsidP="00EB48E5">
      <w:pPr>
        <w:spacing w:line="276" w:lineRule="auto"/>
        <w:ind w:right="-716"/>
        <w:jc w:val="both"/>
        <w:rPr>
          <w:rFonts w:cs="Arial"/>
          <w:szCs w:val="20"/>
          <w:lang w:val="sl-SI" w:eastAsia="sl-SI"/>
        </w:rPr>
      </w:pPr>
      <w:r w:rsidRPr="00194EA0">
        <w:rPr>
          <w:rFonts w:cs="Arial"/>
          <w:szCs w:val="20"/>
          <w:lang w:val="sl-SI" w:eastAsia="sl-SI"/>
        </w:rPr>
        <w:t>http://www.mop.gov.si/fileadmin/mop.gov.si/pageuploads/podrocja/odpadki/ucinkovita_raba_virov.pdf</w:t>
      </w:r>
      <w:r w:rsidR="009E3CBA" w:rsidRPr="00194EA0">
        <w:rPr>
          <w:rFonts w:cs="Arial"/>
          <w:szCs w:val="20"/>
          <w:lang w:val="sl-SI" w:eastAsia="sl-SI"/>
        </w:rPr>
        <w:t>.</w:t>
      </w:r>
    </w:p>
    <w:p w:rsidR="00993FB7" w:rsidRPr="00194EA0" w:rsidRDefault="00993FB7" w:rsidP="00194EA0">
      <w:pPr>
        <w:spacing w:before="120" w:line="276" w:lineRule="auto"/>
        <w:jc w:val="both"/>
        <w:rPr>
          <w:rFonts w:cs="Arial"/>
          <w:szCs w:val="20"/>
          <w:lang w:val="sl-SI" w:eastAsia="sl-SI"/>
        </w:rPr>
      </w:pPr>
      <w:r w:rsidRPr="00194EA0">
        <w:rPr>
          <w:rFonts w:cs="Arial"/>
          <w:szCs w:val="20"/>
          <w:lang w:val="sl-SI" w:eastAsia="sl-SI"/>
        </w:rPr>
        <w:t>Dyllick, T</w:t>
      </w:r>
      <w:r w:rsidR="009E3CBA" w:rsidRPr="00194EA0">
        <w:rPr>
          <w:rFonts w:cs="Arial"/>
          <w:szCs w:val="20"/>
          <w:lang w:val="sl-SI" w:eastAsia="sl-SI"/>
        </w:rPr>
        <w:t>.,</w:t>
      </w:r>
      <w:r w:rsidRPr="00194EA0">
        <w:rPr>
          <w:rFonts w:cs="Arial"/>
          <w:szCs w:val="20"/>
          <w:lang w:val="sl-SI" w:eastAsia="sl-SI"/>
        </w:rPr>
        <w:t>Hockerts, K</w:t>
      </w:r>
      <w:r w:rsidR="009E3CBA" w:rsidRPr="00194EA0">
        <w:rPr>
          <w:rFonts w:cs="Arial"/>
          <w:szCs w:val="20"/>
          <w:lang w:val="sl-SI" w:eastAsia="sl-SI"/>
        </w:rPr>
        <w:t xml:space="preserve">., </w:t>
      </w:r>
      <w:r w:rsidRPr="00194EA0">
        <w:rPr>
          <w:rFonts w:cs="Arial"/>
          <w:szCs w:val="20"/>
          <w:lang w:val="sl-SI" w:eastAsia="sl-SI"/>
        </w:rPr>
        <w:t xml:space="preserve">2002. </w:t>
      </w:r>
      <w:r w:rsidRPr="00194EA0">
        <w:rPr>
          <w:rFonts w:cs="Arial"/>
          <w:i/>
          <w:szCs w:val="20"/>
          <w:lang w:val="sl-SI" w:eastAsia="sl-SI"/>
        </w:rPr>
        <w:t>Beyond the business case for corporate sustainability</w:t>
      </w:r>
      <w:r w:rsidRPr="00194EA0">
        <w:rPr>
          <w:rFonts w:cs="Arial"/>
          <w:szCs w:val="20"/>
          <w:lang w:val="sl-SI" w:eastAsia="sl-SI"/>
        </w:rPr>
        <w:t xml:space="preserve">. V:  Business Strategy and the Environment. 11 (2), str. 130-141. </w:t>
      </w:r>
    </w:p>
    <w:p w:rsidR="00993FB7" w:rsidRPr="00194EA0" w:rsidRDefault="00993FB7" w:rsidP="00194EA0">
      <w:pPr>
        <w:spacing w:before="120" w:line="276" w:lineRule="auto"/>
        <w:jc w:val="both"/>
        <w:rPr>
          <w:rFonts w:cs="Arial"/>
          <w:szCs w:val="20"/>
          <w:lang w:val="sl-SI" w:eastAsia="sl-SI"/>
        </w:rPr>
      </w:pPr>
      <w:r w:rsidRPr="00194EA0">
        <w:rPr>
          <w:rFonts w:cs="Arial"/>
          <w:iCs/>
          <w:szCs w:val="20"/>
          <w:lang w:val="sl-SI" w:eastAsia="sl-SI"/>
        </w:rPr>
        <w:t xml:space="preserve">Evropska komisija. 2010. </w:t>
      </w:r>
      <w:r w:rsidRPr="00194EA0">
        <w:rPr>
          <w:rFonts w:cs="Arial"/>
          <w:i/>
          <w:iCs/>
          <w:szCs w:val="20"/>
          <w:lang w:val="sl-SI" w:eastAsia="sl-SI"/>
        </w:rPr>
        <w:t>Bolj premišljena potrošnja in čistejša proizvodnja. Trajnostna proizvodnja in potrošnja</w:t>
      </w:r>
      <w:r w:rsidRPr="00194EA0">
        <w:rPr>
          <w:rFonts w:cs="Arial"/>
          <w:iCs/>
          <w:szCs w:val="20"/>
          <w:lang w:val="sl-SI" w:eastAsia="sl-SI"/>
        </w:rPr>
        <w:t xml:space="preserve">. Luxembourg: Urad za publikacije Evropske unije. Dostopno </w:t>
      </w:r>
      <w:r w:rsidR="009E3CBA" w:rsidRPr="00194EA0">
        <w:rPr>
          <w:rFonts w:cs="Arial"/>
          <w:iCs/>
          <w:szCs w:val="20"/>
          <w:lang w:val="sl-SI" w:eastAsia="sl-SI"/>
        </w:rPr>
        <w:t>na</w:t>
      </w:r>
      <w:r w:rsidR="00EB48E5">
        <w:rPr>
          <w:rFonts w:cs="Arial"/>
          <w:iCs/>
          <w:szCs w:val="20"/>
          <w:lang w:val="sl-SI" w:eastAsia="sl-SI"/>
        </w:rPr>
        <w:t xml:space="preserve"> naslovu</w:t>
      </w:r>
      <w:r w:rsidR="009E3CBA" w:rsidRPr="00194EA0">
        <w:rPr>
          <w:rFonts w:cs="Arial"/>
          <w:iCs/>
          <w:szCs w:val="20"/>
          <w:lang w:val="sl-SI" w:eastAsia="sl-SI"/>
        </w:rPr>
        <w:t>:</w:t>
      </w:r>
      <w:r w:rsidRPr="00194EA0">
        <w:rPr>
          <w:rFonts w:cs="Arial"/>
          <w:i/>
          <w:iCs/>
          <w:szCs w:val="20"/>
          <w:lang w:val="sl-SI" w:eastAsia="sl-SI"/>
        </w:rPr>
        <w:t xml:space="preserve"> </w:t>
      </w:r>
      <w:hyperlink r:id="rId21" w:history="1">
        <w:r w:rsidRPr="00194EA0">
          <w:rPr>
            <w:rFonts w:eastAsiaTheme="majorEastAsia" w:cs="Arial"/>
            <w:color w:val="0000FF"/>
            <w:szCs w:val="20"/>
            <w:u w:val="single"/>
            <w:lang w:val="sl-SI" w:eastAsia="sl-SI"/>
          </w:rPr>
          <w:t>http://ec.europa.eu/environment/eussd/pdf/brochure_scp/kg006508SL_2.pdf</w:t>
        </w:r>
      </w:hyperlink>
      <w:r w:rsidRPr="00194EA0">
        <w:rPr>
          <w:rFonts w:cs="Arial"/>
          <w:i/>
          <w:iCs/>
          <w:szCs w:val="20"/>
          <w:lang w:val="sl-SI" w:eastAsia="sl-SI"/>
        </w:rPr>
        <w:t xml:space="preserve"> </w:t>
      </w:r>
      <w:r w:rsidRPr="00194EA0">
        <w:rPr>
          <w:rFonts w:cs="Arial"/>
          <w:szCs w:val="20"/>
          <w:lang w:val="sl-SI" w:eastAsia="sl-SI"/>
        </w:rPr>
        <w:t>(26. 6. 2014)</w:t>
      </w:r>
      <w:r w:rsidR="009E3CBA" w:rsidRPr="00194EA0">
        <w:rPr>
          <w:rFonts w:cs="Arial"/>
          <w:szCs w:val="20"/>
          <w:lang w:val="sl-SI" w:eastAsia="sl-SI"/>
        </w:rPr>
        <w:t>.</w:t>
      </w:r>
    </w:p>
    <w:p w:rsidR="00993FB7" w:rsidRPr="00194EA0" w:rsidRDefault="00993FB7" w:rsidP="00194EA0">
      <w:pPr>
        <w:spacing w:before="120" w:line="276" w:lineRule="auto"/>
        <w:jc w:val="both"/>
        <w:rPr>
          <w:rFonts w:cs="Arial"/>
          <w:szCs w:val="20"/>
          <w:lang w:val="sl-SI"/>
        </w:rPr>
      </w:pPr>
      <w:r w:rsidRPr="00194EA0">
        <w:rPr>
          <w:rFonts w:cs="Arial"/>
          <w:szCs w:val="20"/>
          <w:lang w:val="sl-SI"/>
        </w:rPr>
        <w:t xml:space="preserve">Evropska komisija. 2011.  </w:t>
      </w:r>
      <w:r w:rsidRPr="00194EA0">
        <w:rPr>
          <w:rFonts w:cs="Arial"/>
          <w:i/>
          <w:szCs w:val="20"/>
          <w:lang w:val="sl-SI"/>
        </w:rPr>
        <w:t>Časovni okvir za Evropo, gospodarno z viri</w:t>
      </w:r>
      <w:r w:rsidRPr="00194EA0">
        <w:rPr>
          <w:rFonts w:cs="Arial"/>
          <w:szCs w:val="20"/>
          <w:lang w:val="sl-SI"/>
        </w:rPr>
        <w:t xml:space="preserve">. Dostopno </w:t>
      </w:r>
      <w:r w:rsidR="00AF4321" w:rsidRPr="00194EA0">
        <w:rPr>
          <w:rFonts w:cs="Arial"/>
          <w:szCs w:val="20"/>
          <w:lang w:val="sl-SI"/>
        </w:rPr>
        <w:t>na</w:t>
      </w:r>
      <w:r w:rsidR="00EB48E5">
        <w:rPr>
          <w:rFonts w:cs="Arial"/>
          <w:szCs w:val="20"/>
          <w:lang w:val="sl-SI"/>
        </w:rPr>
        <w:t xml:space="preserve"> naslovu</w:t>
      </w:r>
      <w:r w:rsidR="00AF4321" w:rsidRPr="00194EA0">
        <w:rPr>
          <w:rFonts w:cs="Arial"/>
          <w:szCs w:val="20"/>
          <w:lang w:val="sl-SI"/>
        </w:rPr>
        <w:t xml:space="preserve">: </w:t>
      </w:r>
      <w:r w:rsidRPr="00194EA0">
        <w:rPr>
          <w:rFonts w:cs="Arial"/>
          <w:szCs w:val="20"/>
          <w:lang w:val="sl-SI"/>
        </w:rPr>
        <w:t xml:space="preserve"> </w:t>
      </w:r>
      <w:hyperlink r:id="rId22" w:history="1">
        <w:r w:rsidRPr="00194EA0">
          <w:rPr>
            <w:rFonts w:eastAsiaTheme="majorEastAsia" w:cs="Arial"/>
            <w:color w:val="0000FF"/>
            <w:szCs w:val="20"/>
            <w:u w:val="single"/>
            <w:lang w:val="sl-SI"/>
          </w:rPr>
          <w:t>http://eur-lex.europa.eu/legal-content/EN/TXT/?uri=CELEX:52011DC0571</w:t>
        </w:r>
      </w:hyperlink>
      <w:r w:rsidRPr="00194EA0">
        <w:rPr>
          <w:rFonts w:eastAsiaTheme="majorEastAsia" w:cs="Arial"/>
          <w:color w:val="0000FF"/>
          <w:szCs w:val="20"/>
          <w:u w:val="single"/>
          <w:lang w:val="sl-SI"/>
        </w:rPr>
        <w:t xml:space="preserve"> </w:t>
      </w:r>
      <w:r w:rsidRPr="00194EA0">
        <w:rPr>
          <w:rFonts w:cs="Arial"/>
          <w:szCs w:val="20"/>
          <w:lang w:val="sl-SI"/>
        </w:rPr>
        <w:t xml:space="preserve">(24. 6. 2014). </w:t>
      </w:r>
    </w:p>
    <w:p w:rsidR="00993FB7" w:rsidRPr="00194EA0" w:rsidRDefault="00993FB7" w:rsidP="00194EA0">
      <w:pPr>
        <w:spacing w:before="120" w:line="276" w:lineRule="auto"/>
        <w:jc w:val="both"/>
        <w:rPr>
          <w:rFonts w:cs="Arial"/>
          <w:szCs w:val="20"/>
          <w:lang w:val="sl-SI" w:eastAsia="sl-SI"/>
        </w:rPr>
      </w:pPr>
      <w:r w:rsidRPr="00194EA0">
        <w:rPr>
          <w:rFonts w:cs="Arial"/>
          <w:szCs w:val="20"/>
          <w:lang w:val="sl-SI" w:eastAsia="sl-SI"/>
        </w:rPr>
        <w:t xml:space="preserve">EEA – European Environment Agency. 2014. </w:t>
      </w:r>
      <w:r w:rsidRPr="00194EA0">
        <w:rPr>
          <w:rFonts w:cs="Arial"/>
          <w:i/>
          <w:szCs w:val="20"/>
          <w:lang w:val="sl-SI" w:eastAsia="sl-SI"/>
        </w:rPr>
        <w:t>Green economy</w:t>
      </w:r>
      <w:r w:rsidRPr="00194EA0">
        <w:rPr>
          <w:rFonts w:cs="Arial"/>
          <w:szCs w:val="20"/>
          <w:lang w:val="sl-SI" w:eastAsia="sl-SI"/>
        </w:rPr>
        <w:t xml:space="preserve">. Dostopno </w:t>
      </w:r>
      <w:r w:rsidR="00AF4321" w:rsidRPr="00194EA0">
        <w:rPr>
          <w:rFonts w:cs="Arial"/>
          <w:szCs w:val="20"/>
          <w:lang w:val="sl-SI" w:eastAsia="sl-SI"/>
        </w:rPr>
        <w:t>na</w:t>
      </w:r>
      <w:r w:rsidR="00EB48E5">
        <w:rPr>
          <w:rFonts w:cs="Arial"/>
          <w:szCs w:val="20"/>
          <w:lang w:val="sl-SI" w:eastAsia="sl-SI"/>
        </w:rPr>
        <w:t xml:space="preserve"> naslovu</w:t>
      </w:r>
      <w:r w:rsidRPr="00194EA0">
        <w:rPr>
          <w:rFonts w:cs="Arial"/>
          <w:szCs w:val="20"/>
          <w:lang w:val="sl-SI" w:eastAsia="sl-SI"/>
        </w:rPr>
        <w:t xml:space="preserve">: </w:t>
      </w:r>
      <w:hyperlink r:id="rId23" w:history="1">
        <w:r w:rsidRPr="00194EA0">
          <w:rPr>
            <w:rFonts w:eastAsiaTheme="majorEastAsia" w:cs="Arial"/>
            <w:color w:val="0000FF"/>
            <w:szCs w:val="20"/>
            <w:u w:val="single"/>
            <w:lang w:val="sl-SI" w:eastAsia="sl-SI"/>
          </w:rPr>
          <w:t>http://www.eea.europa.eu/themes/economy/intro</w:t>
        </w:r>
      </w:hyperlink>
      <w:r w:rsidRPr="00194EA0">
        <w:rPr>
          <w:rFonts w:cs="Arial"/>
          <w:szCs w:val="20"/>
          <w:lang w:val="sl-SI" w:eastAsia="sl-SI"/>
        </w:rPr>
        <w:t xml:space="preserve"> (16.6.2014). </w:t>
      </w:r>
    </w:p>
    <w:p w:rsidR="00AF4321" w:rsidRPr="00194EA0" w:rsidRDefault="00993FB7" w:rsidP="00194EA0">
      <w:pPr>
        <w:widowControl w:val="0"/>
        <w:suppressAutoHyphens/>
        <w:spacing w:before="120" w:line="276" w:lineRule="auto"/>
        <w:jc w:val="both"/>
        <w:rPr>
          <w:rFonts w:eastAsia="Arial Unicode MS" w:cs="Arial"/>
          <w:kern w:val="2"/>
          <w:szCs w:val="20"/>
          <w:lang w:val="sl-SI" w:eastAsia="sl-SI"/>
        </w:rPr>
      </w:pPr>
      <w:r w:rsidRPr="00194EA0">
        <w:rPr>
          <w:rFonts w:eastAsia="Arial Unicode MS" w:cs="Arial"/>
          <w:kern w:val="2"/>
          <w:szCs w:val="20"/>
          <w:lang w:val="sl-SI" w:eastAsia="sl-SI"/>
        </w:rPr>
        <w:t xml:space="preserve">MGRT - Ministrstvo za gospodarski razvoj in tehnologijo. 2013. </w:t>
      </w:r>
      <w:r w:rsidRPr="00194EA0">
        <w:rPr>
          <w:rFonts w:eastAsia="Arial Unicode MS" w:cs="Arial"/>
          <w:i/>
          <w:kern w:val="2"/>
          <w:szCs w:val="20"/>
          <w:lang w:val="sl-SI" w:eastAsia="sl-SI"/>
        </w:rPr>
        <w:t>Slovenska industrijska politika – SIP</w:t>
      </w:r>
      <w:r w:rsidRPr="00194EA0">
        <w:rPr>
          <w:rFonts w:eastAsia="Arial Unicode MS" w:cs="Arial"/>
          <w:kern w:val="2"/>
          <w:szCs w:val="20"/>
          <w:lang w:val="sl-SI" w:eastAsia="sl-SI"/>
        </w:rPr>
        <w:t xml:space="preserve">. </w:t>
      </w:r>
      <w:r w:rsidR="00AF4321" w:rsidRPr="00194EA0">
        <w:rPr>
          <w:rFonts w:eastAsia="Arial Unicode MS" w:cs="Arial"/>
          <w:kern w:val="2"/>
          <w:szCs w:val="20"/>
          <w:lang w:val="sl-SI" w:eastAsia="sl-SI"/>
        </w:rPr>
        <w:t>Dostopno na</w:t>
      </w:r>
      <w:r w:rsidR="00EB48E5">
        <w:rPr>
          <w:rFonts w:eastAsia="Arial Unicode MS" w:cs="Arial"/>
          <w:kern w:val="2"/>
          <w:szCs w:val="20"/>
          <w:lang w:val="sl-SI" w:eastAsia="sl-SI"/>
        </w:rPr>
        <w:t xml:space="preserve"> naslovu</w:t>
      </w:r>
      <w:r w:rsidR="00AF4321" w:rsidRPr="00194EA0">
        <w:rPr>
          <w:rFonts w:eastAsia="Arial Unicode MS" w:cs="Arial"/>
          <w:kern w:val="2"/>
          <w:szCs w:val="20"/>
          <w:lang w:val="sl-SI" w:eastAsia="sl-SI"/>
        </w:rPr>
        <w:t xml:space="preserve">: </w:t>
      </w:r>
    </w:p>
    <w:p w:rsidR="00993FB7" w:rsidRPr="00AF4321" w:rsidRDefault="00AF4321" w:rsidP="00194EA0">
      <w:pPr>
        <w:widowControl w:val="0"/>
        <w:suppressAutoHyphens/>
        <w:spacing w:line="276" w:lineRule="auto"/>
        <w:ind w:right="-433"/>
        <w:jc w:val="both"/>
        <w:rPr>
          <w:rFonts w:eastAsia="Arial Unicode MS" w:cs="Arial"/>
          <w:kern w:val="2"/>
          <w:szCs w:val="20"/>
          <w:lang w:val="sl-SI" w:eastAsia="sl-SI"/>
        </w:rPr>
      </w:pPr>
      <w:r w:rsidRPr="00AF4321">
        <w:rPr>
          <w:rFonts w:eastAsia="Arial Unicode MS" w:cs="Arial"/>
          <w:kern w:val="2"/>
          <w:szCs w:val="20"/>
          <w:lang w:val="sl-SI" w:eastAsia="sl-SI"/>
        </w:rPr>
        <w:t>http://www.mgrt.gov.si/fileadmin/mgrt.gov.si/pageuploads/DPK/SIP/SIP_-_vladni_dokument.pdf</w:t>
      </w:r>
      <w:r w:rsidR="00993FB7" w:rsidRPr="00AF4321">
        <w:rPr>
          <w:rFonts w:eastAsia="Arial Unicode MS" w:cs="Arial"/>
          <w:kern w:val="2"/>
          <w:szCs w:val="20"/>
          <w:lang w:val="sl-SI" w:eastAsia="sl-SI"/>
        </w:rPr>
        <w:t xml:space="preserve"> </w:t>
      </w:r>
    </w:p>
    <w:p w:rsidR="00993FB7" w:rsidRPr="00194EA0" w:rsidRDefault="00993FB7" w:rsidP="00194EA0">
      <w:pPr>
        <w:spacing w:before="120" w:line="276" w:lineRule="auto"/>
        <w:jc w:val="both"/>
        <w:rPr>
          <w:rFonts w:eastAsia="Arial Unicode MS" w:cs="Arial"/>
          <w:bCs/>
          <w:kern w:val="2"/>
          <w:szCs w:val="20"/>
          <w:lang w:val="sl-SI" w:eastAsia="sl-SI"/>
        </w:rPr>
      </w:pPr>
      <w:r w:rsidRPr="00194EA0">
        <w:rPr>
          <w:rFonts w:eastAsia="Arial Unicode MS" w:cs="Arial"/>
          <w:kern w:val="2"/>
          <w:szCs w:val="20"/>
          <w:lang w:val="sl-SI" w:eastAsia="sl-SI"/>
        </w:rPr>
        <w:t>Piciga, D., Schieffer, A. &amp; Lessem, R. (</w:t>
      </w:r>
      <w:r w:rsidR="00AF4321" w:rsidRPr="00194EA0">
        <w:rPr>
          <w:rFonts w:eastAsia="Arial Unicode MS" w:cs="Arial"/>
          <w:kern w:val="2"/>
          <w:szCs w:val="20"/>
          <w:lang w:val="sl-SI" w:eastAsia="sl-SI"/>
        </w:rPr>
        <w:t>ur</w:t>
      </w:r>
      <w:r w:rsidRPr="00194EA0">
        <w:rPr>
          <w:rFonts w:eastAsia="Arial Unicode MS" w:cs="Arial"/>
          <w:kern w:val="2"/>
          <w:szCs w:val="20"/>
          <w:lang w:val="sl-SI" w:eastAsia="sl-SI"/>
        </w:rPr>
        <w:t>.)</w:t>
      </w:r>
      <w:r w:rsidR="00AF4321" w:rsidRPr="00194EA0">
        <w:rPr>
          <w:rFonts w:eastAsia="Arial Unicode MS" w:cs="Arial"/>
          <w:kern w:val="2"/>
          <w:szCs w:val="20"/>
          <w:lang w:val="sl-SI" w:eastAsia="sl-SI"/>
        </w:rPr>
        <w:t>.</w:t>
      </w:r>
      <w:r w:rsidRPr="00194EA0">
        <w:rPr>
          <w:rFonts w:eastAsia="Arial Unicode MS" w:cs="Arial"/>
          <w:kern w:val="2"/>
          <w:szCs w:val="20"/>
          <w:lang w:val="sl-SI" w:eastAsia="sl-SI"/>
        </w:rPr>
        <w:t xml:space="preserve">2016. </w:t>
      </w:r>
      <w:r w:rsidRPr="00194EA0">
        <w:rPr>
          <w:rFonts w:eastAsia="Arial Unicode MS" w:cs="Arial"/>
          <w:bCs/>
          <w:i/>
          <w:kern w:val="2"/>
          <w:szCs w:val="20"/>
          <w:lang w:val="sl-SI" w:eastAsia="sl-SI"/>
        </w:rPr>
        <w:t>Integral Green Slovenia: A Social, Knowledge- &amp; Value-Based Economy and Society at the Heart of Europe</w:t>
      </w:r>
      <w:r w:rsidRPr="00194EA0">
        <w:rPr>
          <w:rFonts w:eastAsia="Arial Unicode MS" w:cs="Arial"/>
          <w:bCs/>
          <w:kern w:val="2"/>
          <w:szCs w:val="20"/>
          <w:lang w:val="sl-SI" w:eastAsia="sl-SI"/>
        </w:rPr>
        <w:t xml:space="preserve">. Abingdon &amp; New York: Routledge. </w:t>
      </w:r>
    </w:p>
    <w:p w:rsidR="00993FB7" w:rsidRPr="00194EA0" w:rsidRDefault="00993FB7" w:rsidP="00194EA0">
      <w:pPr>
        <w:spacing w:before="120" w:line="276" w:lineRule="auto"/>
        <w:jc w:val="both"/>
        <w:rPr>
          <w:rFonts w:eastAsia="Calibri" w:cs="Arial"/>
          <w:bCs/>
          <w:szCs w:val="20"/>
          <w:lang w:val="sl-SI" w:eastAsia="sl-SI"/>
        </w:rPr>
      </w:pPr>
      <w:r w:rsidRPr="00194EA0">
        <w:rPr>
          <w:rFonts w:cs="Arial"/>
          <w:szCs w:val="20"/>
          <w:lang w:val="sl-SI" w:eastAsia="sl-SI"/>
        </w:rPr>
        <w:t xml:space="preserve">SVPS - Služba Vlade RS za podnebne spremembe. September 2011 / marec 2012. </w:t>
      </w:r>
      <w:r w:rsidRPr="00194EA0">
        <w:rPr>
          <w:rFonts w:cs="Arial"/>
          <w:i/>
          <w:szCs w:val="20"/>
          <w:lang w:val="sl-SI" w:eastAsia="sl-SI"/>
        </w:rPr>
        <w:t>Osnutek Strategije prehoda Slovenije v nizkoogljično družbo do 2050/2060</w:t>
      </w:r>
      <w:r w:rsidRPr="00194EA0">
        <w:rPr>
          <w:rFonts w:cs="Arial"/>
          <w:szCs w:val="20"/>
          <w:lang w:val="sl-SI" w:eastAsia="sl-SI"/>
        </w:rPr>
        <w:t xml:space="preserve">. Dostopno </w:t>
      </w:r>
      <w:r w:rsidR="00AF4321" w:rsidRPr="00194EA0">
        <w:rPr>
          <w:rFonts w:cs="Arial"/>
          <w:szCs w:val="20"/>
          <w:lang w:val="sl-SI" w:eastAsia="sl-SI"/>
        </w:rPr>
        <w:t>na</w:t>
      </w:r>
      <w:r w:rsidR="00EB48E5">
        <w:rPr>
          <w:rFonts w:cs="Arial"/>
          <w:szCs w:val="20"/>
          <w:lang w:val="sl-SI" w:eastAsia="sl-SI"/>
        </w:rPr>
        <w:t xml:space="preserve"> naslovu</w:t>
      </w:r>
      <w:r w:rsidR="00AF4321" w:rsidRPr="00194EA0">
        <w:rPr>
          <w:rFonts w:cs="Arial"/>
          <w:szCs w:val="20"/>
          <w:lang w:val="sl-SI" w:eastAsia="sl-SI"/>
        </w:rPr>
        <w:t xml:space="preserve">: </w:t>
      </w:r>
      <w:hyperlink r:id="rId24" w:history="1">
        <w:r w:rsidRPr="00194EA0">
          <w:rPr>
            <w:rFonts w:eastAsiaTheme="majorEastAsia" w:cs="Arial"/>
            <w:color w:val="0000FF"/>
            <w:szCs w:val="20"/>
            <w:u w:val="single"/>
            <w:lang w:val="sl-SI" w:eastAsia="sl-SI"/>
          </w:rPr>
          <w:t>http://www.arhiv.svps.gov.si/si/podnebni_ukrepi/podnebna_politika_v_sloveniji/podnebna_strategija/</w:t>
        </w:r>
      </w:hyperlink>
      <w:r w:rsidRPr="00194EA0">
        <w:rPr>
          <w:rFonts w:cs="Arial"/>
          <w:szCs w:val="20"/>
          <w:lang w:val="sl-SI" w:eastAsia="sl-SI"/>
        </w:rPr>
        <w:t xml:space="preserve"> (20. 6. 2014)</w:t>
      </w:r>
      <w:r w:rsidRPr="00194EA0">
        <w:rPr>
          <w:rFonts w:eastAsia="Calibri" w:cs="Arial"/>
          <w:bCs/>
          <w:szCs w:val="20"/>
          <w:lang w:val="sl-SI" w:eastAsia="sl-SI"/>
        </w:rPr>
        <w:t xml:space="preserve">. </w:t>
      </w:r>
    </w:p>
    <w:p w:rsidR="00993FB7" w:rsidRPr="00194EA0" w:rsidRDefault="00993FB7" w:rsidP="00194EA0">
      <w:pPr>
        <w:spacing w:before="120" w:line="276" w:lineRule="auto"/>
        <w:jc w:val="both"/>
        <w:rPr>
          <w:rFonts w:cs="Arial"/>
          <w:szCs w:val="20"/>
          <w:lang w:val="sl-SI" w:eastAsia="sl-SI"/>
        </w:rPr>
      </w:pPr>
      <w:r w:rsidRPr="00194EA0">
        <w:rPr>
          <w:rFonts w:cs="Arial"/>
          <w:szCs w:val="20"/>
          <w:lang w:val="sl-SI" w:eastAsia="sl-SI"/>
        </w:rPr>
        <w:t>Stern, N</w:t>
      </w:r>
      <w:r w:rsidR="00AF4321" w:rsidRPr="00194EA0">
        <w:rPr>
          <w:rFonts w:cs="Arial"/>
          <w:szCs w:val="20"/>
          <w:lang w:val="sl-SI" w:eastAsia="sl-SI"/>
        </w:rPr>
        <w:t xml:space="preserve">., </w:t>
      </w:r>
      <w:r w:rsidRPr="00194EA0">
        <w:rPr>
          <w:rFonts w:cs="Arial"/>
          <w:szCs w:val="20"/>
          <w:lang w:val="sl-SI" w:eastAsia="sl-SI"/>
        </w:rPr>
        <w:t xml:space="preserve">2006. </w:t>
      </w:r>
      <w:r w:rsidRPr="00194EA0">
        <w:rPr>
          <w:rFonts w:cs="Arial"/>
          <w:i/>
          <w:szCs w:val="20"/>
          <w:lang w:val="sl-SI" w:eastAsia="sl-SI"/>
        </w:rPr>
        <w:t>The Economics of Climate Change</w:t>
      </w:r>
      <w:r w:rsidRPr="00194EA0">
        <w:rPr>
          <w:rFonts w:cs="Arial"/>
          <w:szCs w:val="20"/>
          <w:lang w:val="sl-SI" w:eastAsia="sl-SI"/>
        </w:rPr>
        <w:t xml:space="preserve">. </w:t>
      </w:r>
      <w:r w:rsidR="00AF4321" w:rsidRPr="00194EA0">
        <w:rPr>
          <w:rFonts w:cs="Arial"/>
          <w:i/>
          <w:szCs w:val="20"/>
          <w:lang w:val="sl-SI" w:eastAsia="sl-SI"/>
        </w:rPr>
        <w:t>The Stern Review.</w:t>
      </w:r>
      <w:r w:rsidR="00AF4321" w:rsidRPr="00194EA0">
        <w:rPr>
          <w:rFonts w:cs="Arial"/>
          <w:szCs w:val="20"/>
          <w:lang w:val="sl-SI" w:eastAsia="sl-SI"/>
        </w:rPr>
        <w:t xml:space="preserve"> Cambridge: </w:t>
      </w:r>
      <w:r w:rsidRPr="00194EA0">
        <w:rPr>
          <w:rFonts w:cs="Arial"/>
          <w:szCs w:val="20"/>
          <w:lang w:val="sl-SI" w:eastAsia="sl-SI"/>
        </w:rPr>
        <w:t>Cambridge University Press.</w:t>
      </w:r>
    </w:p>
    <w:p w:rsidR="00993FB7" w:rsidRPr="00194EA0" w:rsidRDefault="00993FB7" w:rsidP="00194EA0">
      <w:pPr>
        <w:spacing w:before="120" w:line="276" w:lineRule="auto"/>
        <w:jc w:val="both"/>
        <w:rPr>
          <w:rFonts w:cs="Arial"/>
          <w:szCs w:val="20"/>
          <w:lang w:val="sl-SI" w:eastAsia="sl-SI"/>
        </w:rPr>
      </w:pPr>
      <w:r w:rsidRPr="00194EA0">
        <w:rPr>
          <w:rFonts w:cs="Arial"/>
          <w:szCs w:val="20"/>
          <w:lang w:val="sl-SI" w:eastAsia="sl-SI"/>
        </w:rPr>
        <w:t xml:space="preserve">UCLG - United Cities and Local Governments. 2010. </w:t>
      </w:r>
      <w:r w:rsidRPr="00194EA0">
        <w:rPr>
          <w:rFonts w:cs="Arial"/>
          <w:i/>
          <w:szCs w:val="20"/>
          <w:lang w:val="sl-SI" w:eastAsia="sl-SI"/>
        </w:rPr>
        <w:t>Policy statement “Culture: Fourth Pillar of Sustainable Development”</w:t>
      </w:r>
      <w:r w:rsidRPr="00194EA0">
        <w:rPr>
          <w:rFonts w:cs="Arial"/>
          <w:szCs w:val="20"/>
          <w:lang w:val="sl-SI" w:eastAsia="sl-SI"/>
        </w:rPr>
        <w:t xml:space="preserve">. Dostopno </w:t>
      </w:r>
      <w:r w:rsidR="00AF4321" w:rsidRPr="00194EA0">
        <w:rPr>
          <w:rFonts w:cs="Arial"/>
          <w:szCs w:val="20"/>
          <w:lang w:val="sl-SI" w:eastAsia="sl-SI"/>
        </w:rPr>
        <w:t>na</w:t>
      </w:r>
      <w:r w:rsidR="00EB48E5">
        <w:rPr>
          <w:rFonts w:cs="Arial"/>
          <w:szCs w:val="20"/>
          <w:lang w:val="sl-SI" w:eastAsia="sl-SI"/>
        </w:rPr>
        <w:t xml:space="preserve"> naslovu</w:t>
      </w:r>
      <w:r w:rsidRPr="00194EA0">
        <w:rPr>
          <w:rFonts w:cs="Arial"/>
          <w:szCs w:val="20"/>
          <w:lang w:val="sl-SI" w:eastAsia="sl-SI"/>
        </w:rPr>
        <w:t xml:space="preserve">:  </w:t>
      </w:r>
      <w:hyperlink r:id="rId25" w:history="1">
        <w:r w:rsidRPr="00194EA0">
          <w:rPr>
            <w:rFonts w:eastAsiaTheme="majorEastAsia" w:cs="Arial"/>
            <w:color w:val="0000FF"/>
            <w:szCs w:val="20"/>
            <w:u w:val="single"/>
            <w:lang w:val="sl-SI" w:eastAsia="sl-SI"/>
          </w:rPr>
          <w:t>http://agenda21culture.net/index.php/16-official-documentation-all/agenda-21-culture-all/437-cultural-policies-and-sustainable-development</w:t>
        </w:r>
      </w:hyperlink>
      <w:r w:rsidRPr="00194EA0">
        <w:rPr>
          <w:rFonts w:cs="Arial"/>
          <w:szCs w:val="20"/>
          <w:lang w:val="sl-SI" w:eastAsia="sl-SI"/>
        </w:rPr>
        <w:t xml:space="preserve"> (20.6.2014). </w:t>
      </w:r>
    </w:p>
    <w:p w:rsidR="00993FB7" w:rsidRPr="00194EA0" w:rsidRDefault="00AF4321" w:rsidP="00194EA0">
      <w:pPr>
        <w:spacing w:before="120" w:line="276" w:lineRule="auto"/>
        <w:jc w:val="both"/>
        <w:rPr>
          <w:rFonts w:cs="Arial"/>
          <w:szCs w:val="20"/>
          <w:lang w:val="sl-SI" w:eastAsia="sl-SI"/>
        </w:rPr>
      </w:pPr>
      <w:r w:rsidRPr="00194EA0">
        <w:rPr>
          <w:rFonts w:cs="Arial"/>
          <w:szCs w:val="20"/>
          <w:lang w:val="sl-SI" w:eastAsia="sl-SI"/>
        </w:rPr>
        <w:t xml:space="preserve">Karba, R., Sonnenschein, </w:t>
      </w:r>
      <w:r w:rsidR="00BC5EA9" w:rsidRPr="00194EA0">
        <w:rPr>
          <w:rFonts w:cs="Arial"/>
          <w:szCs w:val="20"/>
          <w:lang w:val="sl-SI" w:eastAsia="sl-SI"/>
        </w:rPr>
        <w:t xml:space="preserve">J., Miloševič, G., Rantaša, B., Slabe, A., Vovk. M., at al., </w:t>
      </w:r>
      <w:r w:rsidR="00993FB7" w:rsidRPr="00194EA0">
        <w:rPr>
          <w:rFonts w:cs="Arial"/>
          <w:szCs w:val="20"/>
          <w:lang w:val="sl-SI" w:eastAsia="sl-SI"/>
        </w:rPr>
        <w:t xml:space="preserve">2014. </w:t>
      </w:r>
      <w:r w:rsidR="00993FB7" w:rsidRPr="00194EA0">
        <w:rPr>
          <w:rFonts w:cs="Arial"/>
          <w:i/>
          <w:szCs w:val="20"/>
          <w:lang w:val="sl-SI" w:eastAsia="sl-SI"/>
        </w:rPr>
        <w:t>Zelena delovna mesta: Stanje, potenciali, dobre prakse</w:t>
      </w:r>
      <w:r w:rsidR="00993FB7" w:rsidRPr="00194EA0">
        <w:rPr>
          <w:rFonts w:cs="Arial"/>
          <w:szCs w:val="20"/>
          <w:lang w:val="sl-SI" w:eastAsia="sl-SI"/>
        </w:rPr>
        <w:t xml:space="preserve">. Ljubljana: Umanotera, </w:t>
      </w:r>
      <w:r w:rsidR="00BC5EA9" w:rsidRPr="00194EA0">
        <w:rPr>
          <w:rFonts w:cs="Arial"/>
          <w:szCs w:val="20"/>
          <w:lang w:val="sl-SI" w:eastAsia="sl-SI"/>
        </w:rPr>
        <w:t xml:space="preserve">slovenska fundacija za trajnostni razvoj. </w:t>
      </w:r>
      <w:r w:rsidR="00993FB7" w:rsidRPr="00194EA0">
        <w:rPr>
          <w:rFonts w:cs="Arial"/>
          <w:szCs w:val="20"/>
          <w:lang w:val="sl-SI" w:eastAsia="sl-SI"/>
        </w:rPr>
        <w:t xml:space="preserve">Dostopno </w:t>
      </w:r>
      <w:r w:rsidR="00BC5EA9" w:rsidRPr="00194EA0">
        <w:rPr>
          <w:rFonts w:cs="Arial"/>
          <w:szCs w:val="20"/>
          <w:lang w:val="sl-SI" w:eastAsia="sl-SI"/>
        </w:rPr>
        <w:t>na</w:t>
      </w:r>
      <w:r w:rsidR="00EB48E5">
        <w:rPr>
          <w:rFonts w:cs="Arial"/>
          <w:szCs w:val="20"/>
          <w:lang w:val="sl-SI" w:eastAsia="sl-SI"/>
        </w:rPr>
        <w:t xml:space="preserve"> naslovu</w:t>
      </w:r>
      <w:r w:rsidR="00993FB7" w:rsidRPr="00194EA0">
        <w:rPr>
          <w:rFonts w:cs="Arial"/>
          <w:szCs w:val="20"/>
          <w:lang w:val="sl-SI" w:eastAsia="sl-SI"/>
        </w:rPr>
        <w:t xml:space="preserve">: </w:t>
      </w:r>
      <w:hyperlink r:id="rId26" w:history="1">
        <w:r w:rsidR="00993FB7" w:rsidRPr="00194EA0">
          <w:rPr>
            <w:rFonts w:eastAsiaTheme="majorEastAsia" w:cs="Arial"/>
            <w:color w:val="0000FF"/>
            <w:szCs w:val="20"/>
            <w:u w:val="single"/>
            <w:lang w:val="sl-SI" w:eastAsia="sl-SI"/>
          </w:rPr>
          <w:t>http://www.zelenadelovnamesta.si/</w:t>
        </w:r>
      </w:hyperlink>
      <w:r w:rsidR="00993FB7" w:rsidRPr="00194EA0">
        <w:rPr>
          <w:rFonts w:cs="Arial"/>
          <w:szCs w:val="20"/>
          <w:lang w:val="sl-SI" w:eastAsia="sl-SI"/>
        </w:rPr>
        <w:t xml:space="preserve">. </w:t>
      </w:r>
    </w:p>
    <w:p w:rsidR="00993FB7" w:rsidRPr="00194EA0" w:rsidRDefault="00993FB7" w:rsidP="00EB48E5">
      <w:pPr>
        <w:spacing w:before="120" w:line="276" w:lineRule="auto"/>
        <w:jc w:val="both"/>
        <w:rPr>
          <w:rFonts w:eastAsiaTheme="minorHAnsi" w:cs="Arial"/>
          <w:bCs/>
          <w:szCs w:val="20"/>
          <w:lang w:val="sl-SI" w:eastAsia="sl-SI"/>
        </w:rPr>
      </w:pPr>
      <w:r w:rsidRPr="00194EA0">
        <w:rPr>
          <w:rFonts w:cs="Arial"/>
          <w:szCs w:val="20"/>
          <w:lang w:val="en-GB" w:eastAsia="sl-SI"/>
        </w:rPr>
        <w:t xml:space="preserve">UNEP. 2011. </w:t>
      </w:r>
      <w:r w:rsidRPr="00194EA0">
        <w:rPr>
          <w:rFonts w:eastAsiaTheme="minorHAnsi" w:cs="Arial"/>
          <w:i/>
          <w:szCs w:val="20"/>
          <w:lang w:val="en-GB" w:eastAsia="sl-SI"/>
        </w:rPr>
        <w:t>Towards a Green Economy: Pathways to Sustainable Development and Poverty Eradication</w:t>
      </w:r>
      <w:r w:rsidRPr="00194EA0">
        <w:rPr>
          <w:rFonts w:eastAsiaTheme="minorHAnsi" w:cs="Arial"/>
          <w:bCs/>
          <w:i/>
          <w:szCs w:val="20"/>
          <w:lang w:val="en-GB" w:eastAsia="sl-SI"/>
        </w:rPr>
        <w:t xml:space="preserve"> - A Synthesis for Policy Makers</w:t>
      </w:r>
      <w:r w:rsidRPr="00194EA0">
        <w:rPr>
          <w:rFonts w:eastAsiaTheme="minorHAnsi" w:cs="Arial"/>
          <w:bCs/>
          <w:szCs w:val="20"/>
          <w:lang w:val="en-GB" w:eastAsia="sl-SI"/>
        </w:rPr>
        <w:t xml:space="preserve">. </w:t>
      </w:r>
      <w:r w:rsidRPr="00194EA0">
        <w:rPr>
          <w:rFonts w:cs="Arial"/>
          <w:szCs w:val="20"/>
          <w:lang w:val="sl-SI" w:eastAsia="sl-SI"/>
        </w:rPr>
        <w:t>Dostopno</w:t>
      </w:r>
      <w:r w:rsidR="00BC5EA9" w:rsidRPr="00194EA0">
        <w:rPr>
          <w:rFonts w:cs="Arial"/>
          <w:szCs w:val="20"/>
          <w:lang w:val="sl-SI" w:eastAsia="sl-SI"/>
        </w:rPr>
        <w:t xml:space="preserve"> na</w:t>
      </w:r>
      <w:r w:rsidR="00EB48E5">
        <w:rPr>
          <w:rFonts w:cs="Arial"/>
          <w:szCs w:val="20"/>
          <w:lang w:val="sl-SI" w:eastAsia="sl-SI"/>
        </w:rPr>
        <w:t xml:space="preserve"> naslovu</w:t>
      </w:r>
      <w:r w:rsidRPr="00194EA0">
        <w:rPr>
          <w:rFonts w:cs="Arial"/>
          <w:szCs w:val="20"/>
          <w:lang w:val="sl-SI" w:eastAsia="sl-SI"/>
        </w:rPr>
        <w:t>:</w:t>
      </w:r>
      <w:r w:rsidRPr="00194EA0">
        <w:rPr>
          <w:rFonts w:cs="Arial"/>
          <w:b/>
          <w:szCs w:val="20"/>
          <w:lang w:val="sl-SI" w:eastAsia="sl-SI"/>
        </w:rPr>
        <w:t xml:space="preserve"> </w:t>
      </w:r>
      <w:r w:rsidRPr="00194EA0">
        <w:rPr>
          <w:rFonts w:cs="Arial"/>
          <w:szCs w:val="20"/>
          <w:lang w:val="sl-SI" w:eastAsia="sl-SI"/>
        </w:rPr>
        <w:t xml:space="preserve"> </w:t>
      </w:r>
      <w:hyperlink r:id="rId27" w:history="1">
        <w:r w:rsidRPr="00194EA0">
          <w:rPr>
            <w:rFonts w:eastAsiaTheme="minorHAnsi" w:cs="Arial"/>
            <w:color w:val="0000FF"/>
            <w:szCs w:val="20"/>
            <w:u w:val="single"/>
            <w:lang w:val="sl-SI" w:eastAsia="sl-SI"/>
          </w:rPr>
          <w:t>www.unep.org/greeneconomy/</w:t>
        </w:r>
      </w:hyperlink>
      <w:r w:rsidRPr="00194EA0">
        <w:rPr>
          <w:rFonts w:eastAsiaTheme="minorHAnsi" w:cs="Arial"/>
          <w:bCs/>
          <w:szCs w:val="20"/>
          <w:lang w:val="sl-SI" w:eastAsia="sl-SI"/>
        </w:rPr>
        <w:t xml:space="preserve"> </w:t>
      </w:r>
      <w:r w:rsidRPr="00194EA0">
        <w:rPr>
          <w:rFonts w:cs="Arial"/>
          <w:szCs w:val="20"/>
          <w:lang w:val="sl-SI" w:eastAsia="sl-SI"/>
        </w:rPr>
        <w:t>(11.5.2014)</w:t>
      </w:r>
      <w:r w:rsidRPr="00194EA0">
        <w:rPr>
          <w:rFonts w:eastAsiaTheme="minorHAnsi" w:cs="Arial"/>
          <w:bCs/>
          <w:szCs w:val="20"/>
          <w:lang w:val="sl-SI" w:eastAsia="sl-SI"/>
        </w:rPr>
        <w:t>.</w:t>
      </w:r>
    </w:p>
    <w:p w:rsidR="00BC5EA9" w:rsidRPr="00194EA0" w:rsidRDefault="00993FB7" w:rsidP="00EB48E5">
      <w:pPr>
        <w:widowControl w:val="0"/>
        <w:suppressAutoHyphens/>
        <w:spacing w:before="120" w:line="276" w:lineRule="auto"/>
        <w:jc w:val="both"/>
        <w:rPr>
          <w:rFonts w:eastAsia="Arial Unicode MS" w:cs="Arial"/>
          <w:kern w:val="2"/>
          <w:szCs w:val="20"/>
          <w:lang w:val="sl-SI" w:eastAsia="sl-SI"/>
        </w:rPr>
      </w:pPr>
      <w:r w:rsidRPr="00194EA0">
        <w:rPr>
          <w:rFonts w:eastAsia="Arial Unicode MS" w:cs="Arial"/>
          <w:bCs/>
          <w:kern w:val="2"/>
          <w:szCs w:val="20"/>
          <w:lang w:val="sl-SI" w:eastAsia="sl-SI"/>
        </w:rPr>
        <w:t>Strokovni posvet Ministrstva za kmetijstvo in okolje na 1. Mednarodnem sejmu trajnostnih tehnologij in zelenega življenjskega sloga GREEN, Gornja Radgona, 3. 4. 2014.</w:t>
      </w:r>
      <w:r w:rsidRPr="00194EA0">
        <w:rPr>
          <w:rFonts w:eastAsia="Arial Unicode MS" w:cs="Arial"/>
          <w:b/>
          <w:bCs/>
          <w:kern w:val="2"/>
          <w:szCs w:val="20"/>
          <w:lang w:val="sl-SI" w:eastAsia="sl-SI"/>
        </w:rPr>
        <w:t xml:space="preserve"> </w:t>
      </w:r>
      <w:r w:rsidR="00BC5EA9" w:rsidRPr="00194EA0">
        <w:rPr>
          <w:rFonts w:eastAsia="Arial Unicode MS" w:cs="Arial"/>
          <w:bCs/>
          <w:i/>
          <w:kern w:val="2"/>
          <w:szCs w:val="20"/>
          <w:lang w:val="sl-SI" w:eastAsia="sl-SI"/>
        </w:rPr>
        <w:t xml:space="preserve">Zelena Slovenija, učinkovita z viri. </w:t>
      </w:r>
      <w:r w:rsidR="00BC5EA9" w:rsidRPr="00EB48E5">
        <w:rPr>
          <w:rFonts w:eastAsia="Arial Unicode MS" w:cs="Arial"/>
          <w:bCs/>
          <w:kern w:val="2"/>
          <w:szCs w:val="20"/>
          <w:lang w:val="sl-SI" w:eastAsia="sl-SI"/>
        </w:rPr>
        <w:t>Dostopno na</w:t>
      </w:r>
      <w:r w:rsidR="00EB48E5" w:rsidRPr="00EB48E5">
        <w:rPr>
          <w:rFonts w:eastAsia="Arial Unicode MS" w:cs="Arial"/>
          <w:bCs/>
          <w:kern w:val="2"/>
          <w:szCs w:val="20"/>
          <w:lang w:val="sl-SI" w:eastAsia="sl-SI"/>
        </w:rPr>
        <w:t xml:space="preserve"> naslovu</w:t>
      </w:r>
      <w:r w:rsidR="00BC5EA9" w:rsidRPr="00EB48E5">
        <w:rPr>
          <w:rFonts w:eastAsia="Arial Unicode MS" w:cs="Arial"/>
          <w:bCs/>
          <w:kern w:val="2"/>
          <w:szCs w:val="20"/>
          <w:lang w:val="sl-SI" w:eastAsia="sl-SI"/>
        </w:rPr>
        <w:t>:</w:t>
      </w:r>
      <w:r w:rsidR="00BC5EA9" w:rsidRPr="00194EA0">
        <w:rPr>
          <w:rFonts w:eastAsia="Arial Unicode MS" w:cs="Arial"/>
          <w:bCs/>
          <w:i/>
          <w:kern w:val="2"/>
          <w:szCs w:val="20"/>
          <w:lang w:val="sl-SI" w:eastAsia="sl-SI"/>
        </w:rPr>
        <w:t xml:space="preserve"> </w:t>
      </w:r>
      <w:r w:rsidRPr="00194EA0">
        <w:rPr>
          <w:rFonts w:eastAsia="Arial Unicode MS" w:cs="Arial"/>
          <w:kern w:val="2"/>
          <w:szCs w:val="20"/>
          <w:lang w:val="sl-SI" w:eastAsia="sl-SI"/>
        </w:rPr>
        <w:t xml:space="preserve"> </w:t>
      </w:r>
    </w:p>
    <w:p w:rsidR="00993FB7" w:rsidRPr="00BC5EA9" w:rsidRDefault="00CF5505" w:rsidP="00EB48E5">
      <w:pPr>
        <w:widowControl w:val="0"/>
        <w:suppressAutoHyphens/>
        <w:spacing w:line="276" w:lineRule="auto"/>
        <w:jc w:val="both"/>
        <w:rPr>
          <w:rFonts w:eastAsia="Arial Unicode MS" w:cs="Arial"/>
          <w:kern w:val="2"/>
          <w:szCs w:val="20"/>
          <w:lang w:val="sl-SI" w:eastAsia="sl-SI"/>
        </w:rPr>
      </w:pPr>
      <w:hyperlink r:id="rId28" w:history="1">
        <w:r w:rsidR="00993FB7" w:rsidRPr="00BC5EA9">
          <w:rPr>
            <w:rFonts w:eastAsia="Arial Unicode MS" w:cs="Arial"/>
            <w:color w:val="0000FF"/>
            <w:kern w:val="2"/>
            <w:szCs w:val="20"/>
            <w:u w:val="single"/>
            <w:lang w:val="sl-SI" w:eastAsia="sl-SI"/>
          </w:rPr>
          <w:t>http://www.mko.gov.si/nc/si/medijsko_sredisce/novica/article//7268/</w:t>
        </w:r>
      </w:hyperlink>
      <w:r w:rsidR="00993FB7" w:rsidRPr="00BC5EA9">
        <w:rPr>
          <w:rFonts w:eastAsia="Arial Unicode MS" w:cs="Arial"/>
          <w:color w:val="0000FF"/>
          <w:kern w:val="2"/>
          <w:szCs w:val="20"/>
          <w:u w:val="single"/>
          <w:lang w:val="sl-SI" w:eastAsia="sl-SI"/>
        </w:rPr>
        <w:t xml:space="preserve">  </w:t>
      </w:r>
      <w:r w:rsidR="00993FB7" w:rsidRPr="00BC5EA9">
        <w:rPr>
          <w:rFonts w:eastAsia="Arial Unicode MS" w:cs="Arial"/>
          <w:kern w:val="2"/>
          <w:szCs w:val="20"/>
          <w:lang w:val="sl-SI" w:eastAsia="sl-SI"/>
        </w:rPr>
        <w:t>(10.5.2014).</w:t>
      </w:r>
    </w:p>
    <w:p w:rsidR="00993FB7" w:rsidRPr="00194EA0" w:rsidRDefault="00993FB7" w:rsidP="00EB48E5">
      <w:pPr>
        <w:widowControl w:val="0"/>
        <w:suppressAutoHyphens/>
        <w:spacing w:before="120" w:line="276" w:lineRule="auto"/>
        <w:jc w:val="both"/>
        <w:rPr>
          <w:rFonts w:eastAsia="Arial Unicode MS" w:cs="Arial"/>
          <w:kern w:val="2"/>
          <w:szCs w:val="20"/>
          <w:lang w:val="sl-SI" w:eastAsia="sl-SI"/>
        </w:rPr>
      </w:pPr>
      <w:r w:rsidRPr="00194EA0">
        <w:rPr>
          <w:rFonts w:eastAsia="Arial Unicode MS" w:cs="Arial"/>
          <w:kern w:val="2"/>
          <w:szCs w:val="20"/>
          <w:lang w:val="sl-SI" w:eastAsia="sl-SI"/>
        </w:rPr>
        <w:t xml:space="preserve">Zeleni forum 2014: Slovenija kot ekoregija v EU - razvoj z manj izgubami materialov in energije. Zelena Slovenja – Fit media, Ljubljana, 7. 5. 2014. </w:t>
      </w:r>
      <w:r w:rsidR="00BC5EA9" w:rsidRPr="00194EA0">
        <w:rPr>
          <w:rFonts w:eastAsia="Arial Unicode MS" w:cs="Arial"/>
          <w:kern w:val="2"/>
          <w:szCs w:val="20"/>
          <w:lang w:val="sl-SI" w:eastAsia="sl-SI"/>
        </w:rPr>
        <w:t>Dostopno na</w:t>
      </w:r>
      <w:r w:rsidR="00EB48E5">
        <w:rPr>
          <w:rFonts w:eastAsia="Arial Unicode MS" w:cs="Arial"/>
          <w:kern w:val="2"/>
          <w:szCs w:val="20"/>
          <w:lang w:val="sl-SI" w:eastAsia="sl-SI"/>
        </w:rPr>
        <w:t xml:space="preserve"> naslovu</w:t>
      </w:r>
      <w:r w:rsidR="00BC5EA9" w:rsidRPr="00194EA0">
        <w:rPr>
          <w:rFonts w:eastAsia="Arial Unicode MS" w:cs="Arial"/>
          <w:kern w:val="2"/>
          <w:szCs w:val="20"/>
          <w:lang w:val="sl-SI" w:eastAsia="sl-SI"/>
        </w:rPr>
        <w:t xml:space="preserve">: </w:t>
      </w:r>
      <w:hyperlink r:id="rId29" w:history="1">
        <w:r w:rsidRPr="00194EA0">
          <w:rPr>
            <w:rFonts w:eastAsia="Arial Unicode MS" w:cs="Arial"/>
            <w:color w:val="0000FF"/>
            <w:kern w:val="2"/>
            <w:szCs w:val="20"/>
            <w:u w:val="single"/>
            <w:lang w:val="sl-SI" w:eastAsia="sl-SI"/>
          </w:rPr>
          <w:t xml:space="preserve"> http://www.zelenaslovenija.si/zeleni-forum/forum-2014/predstavitve</w:t>
        </w:r>
      </w:hyperlink>
      <w:r w:rsidRPr="00194EA0">
        <w:rPr>
          <w:rFonts w:eastAsia="Arial Unicode MS" w:cs="Arial"/>
          <w:color w:val="0000FF"/>
          <w:kern w:val="2"/>
          <w:szCs w:val="20"/>
          <w:u w:val="single"/>
          <w:lang w:val="sl-SI" w:eastAsia="sl-SI"/>
        </w:rPr>
        <w:t xml:space="preserve"> </w:t>
      </w:r>
      <w:r w:rsidRPr="00194EA0">
        <w:rPr>
          <w:rFonts w:eastAsia="Arial Unicode MS" w:cs="Arial"/>
          <w:kern w:val="2"/>
          <w:szCs w:val="20"/>
          <w:lang w:val="sl-SI" w:eastAsia="sl-SI"/>
        </w:rPr>
        <w:t>(10.5.2014).</w:t>
      </w:r>
    </w:p>
    <w:p w:rsidR="00993FB7" w:rsidRPr="00194EA0" w:rsidRDefault="00CF5505" w:rsidP="00EB48E5">
      <w:pPr>
        <w:spacing w:before="120" w:line="276" w:lineRule="auto"/>
        <w:ind w:right="-433"/>
        <w:jc w:val="both"/>
        <w:rPr>
          <w:rFonts w:cs="Arial"/>
          <w:szCs w:val="20"/>
          <w:lang w:val="sl-SI" w:eastAsia="sl-SI"/>
        </w:rPr>
      </w:pPr>
      <w:hyperlink r:id="rId30" w:history="1">
        <w:r w:rsidR="00993FB7" w:rsidRPr="00194EA0">
          <w:rPr>
            <w:rFonts w:eastAsiaTheme="majorEastAsia" w:cs="Arial"/>
            <w:color w:val="0000FF"/>
            <w:szCs w:val="20"/>
            <w:u w:val="single"/>
            <w:lang w:val="sl-SI" w:eastAsia="sl-SI"/>
          </w:rPr>
          <w:t>http://www.mzz.gov.si/si/zunanja_politika_in_mednarodno_pravo/globalni_izzivi/trajnostni_razvoj/</w:t>
        </w:r>
      </w:hyperlink>
      <w:r w:rsidR="00993FB7" w:rsidRPr="00194EA0">
        <w:rPr>
          <w:rFonts w:cs="Arial"/>
          <w:szCs w:val="20"/>
          <w:lang w:val="sl-SI" w:eastAsia="sl-SI"/>
        </w:rPr>
        <w:t xml:space="preserve"> </w:t>
      </w:r>
      <w:r w:rsidR="00EB48E5">
        <w:rPr>
          <w:rFonts w:cs="Arial"/>
          <w:szCs w:val="20"/>
          <w:lang w:val="sl-SI" w:eastAsia="sl-SI"/>
        </w:rPr>
        <w:t>.</w:t>
      </w:r>
    </w:p>
    <w:p w:rsidR="00194EA0" w:rsidRDefault="00CF5505" w:rsidP="00EB48E5">
      <w:pPr>
        <w:spacing w:before="120" w:line="276" w:lineRule="auto"/>
        <w:ind w:right="-433"/>
        <w:jc w:val="both"/>
        <w:rPr>
          <w:rFonts w:cs="Arial"/>
          <w:szCs w:val="20"/>
          <w:lang w:val="sl-SI" w:eastAsia="sl-SI"/>
        </w:rPr>
      </w:pPr>
      <w:hyperlink r:id="rId31" w:history="1">
        <w:r w:rsidR="00993FB7" w:rsidRPr="00194EA0">
          <w:rPr>
            <w:rFonts w:eastAsiaTheme="majorEastAsia" w:cs="Arial"/>
            <w:color w:val="0000FF"/>
            <w:szCs w:val="20"/>
            <w:u w:val="single"/>
            <w:lang w:val="sl-SI" w:eastAsia="sl-SI"/>
          </w:rPr>
          <w:t>http://register.consilium.europa.eu/doc/srv?l=SL&amp;f=ST%2010117%202006%20INIT</w:t>
        </w:r>
      </w:hyperlink>
      <w:r w:rsidR="00EB48E5">
        <w:rPr>
          <w:rFonts w:eastAsiaTheme="majorEastAsia" w:cs="Arial"/>
          <w:color w:val="0000FF"/>
          <w:szCs w:val="20"/>
          <w:u w:val="single"/>
          <w:lang w:val="sl-SI" w:eastAsia="sl-SI"/>
        </w:rPr>
        <w:t>.</w:t>
      </w:r>
    </w:p>
    <w:p w:rsidR="00993FB7" w:rsidRPr="00194EA0" w:rsidRDefault="00CF5505" w:rsidP="00EB48E5">
      <w:pPr>
        <w:spacing w:before="120" w:line="276" w:lineRule="auto"/>
        <w:ind w:right="-433"/>
        <w:jc w:val="both"/>
        <w:rPr>
          <w:rFonts w:cs="Arial"/>
          <w:szCs w:val="20"/>
          <w:lang w:val="sl-SI" w:eastAsia="sl-SI"/>
        </w:rPr>
      </w:pPr>
      <w:hyperlink r:id="rId32" w:history="1">
        <w:r w:rsidR="00993FB7" w:rsidRPr="00194EA0">
          <w:rPr>
            <w:rFonts w:eastAsiaTheme="majorEastAsia" w:cs="Arial"/>
            <w:color w:val="0000FF"/>
            <w:szCs w:val="20"/>
            <w:u w:val="single"/>
            <w:lang w:val="sl-SI" w:eastAsia="sl-SI"/>
          </w:rPr>
          <w:t>http://ec.europa.eu/europe2020/europe-2020-in-a-nutshell/priorities/sustainable-growth/index_sl.htm</w:t>
        </w:r>
      </w:hyperlink>
      <w:r w:rsidR="00EB48E5">
        <w:rPr>
          <w:rFonts w:eastAsiaTheme="majorEastAsia" w:cs="Arial"/>
          <w:color w:val="0000FF"/>
          <w:szCs w:val="20"/>
          <w:u w:val="single"/>
          <w:lang w:val="sl-SI" w:eastAsia="sl-SI"/>
        </w:rPr>
        <w:t>.</w:t>
      </w:r>
    </w:p>
    <w:p w:rsidR="00993FB7" w:rsidRPr="00194EA0" w:rsidRDefault="00CF5505" w:rsidP="00EB48E5">
      <w:pPr>
        <w:spacing w:before="120" w:line="276" w:lineRule="auto"/>
        <w:ind w:right="-433"/>
        <w:jc w:val="both"/>
        <w:rPr>
          <w:rFonts w:cs="Arial"/>
          <w:szCs w:val="20"/>
          <w:lang w:val="sl-SI" w:eastAsia="sl-SI"/>
        </w:rPr>
      </w:pPr>
      <w:hyperlink r:id="rId33" w:history="1">
        <w:r w:rsidR="00993FB7" w:rsidRPr="00194EA0">
          <w:rPr>
            <w:rFonts w:eastAsiaTheme="majorEastAsia" w:cs="Arial"/>
            <w:color w:val="0000FF"/>
            <w:szCs w:val="20"/>
            <w:u w:val="single"/>
            <w:lang w:val="sl-SI" w:eastAsia="sl-SI"/>
          </w:rPr>
          <w:t>http://www.slovenia.info/pictures/press/atachments_1/2016/STO-ZelenaShemaGGDD_21663.pdf</w:t>
        </w:r>
      </w:hyperlink>
      <w:r w:rsidR="00EB48E5">
        <w:rPr>
          <w:rFonts w:eastAsiaTheme="majorEastAsia" w:cs="Arial"/>
          <w:color w:val="0000FF"/>
          <w:szCs w:val="20"/>
          <w:u w:val="single"/>
          <w:lang w:val="sl-SI" w:eastAsia="sl-SI"/>
        </w:rPr>
        <w:t>.</w:t>
      </w:r>
    </w:p>
    <w:p w:rsidR="00993FB7" w:rsidRPr="00194EA0" w:rsidRDefault="00CF5505" w:rsidP="00EB48E5">
      <w:pPr>
        <w:spacing w:before="120" w:line="276" w:lineRule="auto"/>
        <w:ind w:right="-433"/>
        <w:jc w:val="both"/>
        <w:rPr>
          <w:rFonts w:cs="Arial"/>
          <w:szCs w:val="20"/>
          <w:lang w:val="sl-SI" w:eastAsia="sl-SI"/>
        </w:rPr>
      </w:pPr>
      <w:hyperlink r:id="rId34" w:history="1">
        <w:r w:rsidR="00194EA0" w:rsidRPr="002569F9">
          <w:rPr>
            <w:rStyle w:val="Hiperpovezava"/>
            <w:rFonts w:eastAsiaTheme="majorEastAsia" w:cs="Arial"/>
            <w:szCs w:val="20"/>
            <w:lang w:val="sl-SI" w:eastAsia="sl-SI"/>
          </w:rPr>
          <w:t>http://www.umar.gov.si/fileadmin/user_upload/publikacije/pr/2014/POR_2014.pdf</w:t>
        </w:r>
      </w:hyperlink>
      <w:r w:rsidR="00EB48E5">
        <w:rPr>
          <w:rStyle w:val="Hiperpovezava"/>
          <w:rFonts w:eastAsiaTheme="majorEastAsia" w:cs="Arial"/>
          <w:szCs w:val="20"/>
          <w:lang w:val="sl-SI" w:eastAsia="sl-SI"/>
        </w:rPr>
        <w:t>.</w:t>
      </w:r>
    </w:p>
    <w:p w:rsidR="00993FB7" w:rsidRPr="00194EA0" w:rsidRDefault="00BC5EA9" w:rsidP="00EB48E5">
      <w:pPr>
        <w:spacing w:before="120" w:line="276" w:lineRule="auto"/>
        <w:ind w:right="-433"/>
        <w:jc w:val="both"/>
        <w:rPr>
          <w:rFonts w:cs="Arial"/>
          <w:szCs w:val="20"/>
          <w:lang w:val="sl-SI" w:eastAsia="sl-SI"/>
        </w:rPr>
      </w:pPr>
      <w:r w:rsidRPr="00194EA0">
        <w:rPr>
          <w:rFonts w:cs="Arial"/>
          <w:szCs w:val="20"/>
          <w:lang w:val="sl-SI" w:eastAsia="sl-SI"/>
        </w:rPr>
        <w:t xml:space="preserve">Žitnik, M., Šteharnik, M., 2014. </w:t>
      </w:r>
      <w:r w:rsidRPr="00194EA0">
        <w:rPr>
          <w:rFonts w:cs="Arial"/>
          <w:i/>
          <w:szCs w:val="20"/>
          <w:lang w:val="sl-SI" w:eastAsia="sl-SI"/>
        </w:rPr>
        <w:t>Kazalniki zelene rasti.</w:t>
      </w:r>
      <w:r w:rsidR="00942FC5" w:rsidRPr="00194EA0">
        <w:rPr>
          <w:rFonts w:cs="Arial"/>
          <w:i/>
          <w:szCs w:val="20"/>
          <w:lang w:val="sl-SI" w:eastAsia="sl-SI"/>
        </w:rPr>
        <w:t xml:space="preserve"> </w:t>
      </w:r>
      <w:r w:rsidR="00942FC5" w:rsidRPr="00194EA0">
        <w:rPr>
          <w:rFonts w:cs="Arial"/>
          <w:szCs w:val="20"/>
          <w:lang w:val="sl-SI" w:eastAsia="sl-SI"/>
        </w:rPr>
        <w:t>Ljubljana:</w:t>
      </w:r>
      <w:r w:rsidR="00942FC5" w:rsidRPr="00194EA0">
        <w:rPr>
          <w:rFonts w:cs="Arial"/>
          <w:i/>
          <w:szCs w:val="20"/>
          <w:lang w:val="sl-SI" w:eastAsia="sl-SI"/>
        </w:rPr>
        <w:t xml:space="preserve"> </w:t>
      </w:r>
      <w:r w:rsidR="00993FB7" w:rsidRPr="00194EA0">
        <w:rPr>
          <w:rFonts w:cs="Arial"/>
          <w:szCs w:val="20"/>
          <w:lang w:val="sl-SI" w:eastAsia="sl-SI"/>
        </w:rPr>
        <w:t>Statistični urad R</w:t>
      </w:r>
      <w:r w:rsidRPr="00194EA0">
        <w:rPr>
          <w:rFonts w:cs="Arial"/>
          <w:szCs w:val="20"/>
          <w:lang w:val="sl-SI" w:eastAsia="sl-SI"/>
        </w:rPr>
        <w:t>epublike Slovenije</w:t>
      </w:r>
      <w:r w:rsidR="00942FC5" w:rsidRPr="00194EA0">
        <w:rPr>
          <w:rFonts w:cs="Arial"/>
          <w:szCs w:val="20"/>
          <w:lang w:val="sl-SI" w:eastAsia="sl-SI"/>
        </w:rPr>
        <w:t>. Dostopno na</w:t>
      </w:r>
      <w:r w:rsidR="00EB48E5">
        <w:rPr>
          <w:rFonts w:cs="Arial"/>
          <w:szCs w:val="20"/>
          <w:lang w:val="sl-SI" w:eastAsia="sl-SI"/>
        </w:rPr>
        <w:t xml:space="preserve"> naslovu</w:t>
      </w:r>
      <w:r w:rsidR="00942FC5" w:rsidRPr="00194EA0">
        <w:rPr>
          <w:rFonts w:cs="Arial"/>
          <w:szCs w:val="20"/>
          <w:lang w:val="sl-SI" w:eastAsia="sl-SI"/>
        </w:rPr>
        <w:t>: www.stat.si/pub.asp.</w:t>
      </w:r>
    </w:p>
    <w:p w:rsidR="00AA0294" w:rsidRPr="005771BD" w:rsidRDefault="009E26C2" w:rsidP="00AA0294">
      <w:pPr>
        <w:spacing w:after="200" w:line="276" w:lineRule="auto"/>
        <w:jc w:val="both"/>
        <w:rPr>
          <w:rFonts w:eastAsia="Calibri" w:cs="Arial"/>
          <w:b/>
          <w:sz w:val="22"/>
          <w:szCs w:val="22"/>
          <w:lang w:val="sl-SI"/>
        </w:rPr>
      </w:pPr>
      <w:r>
        <w:rPr>
          <w:rFonts w:eastAsia="Calibri" w:cs="Arial"/>
          <w:b/>
          <w:sz w:val="22"/>
          <w:szCs w:val="22"/>
          <w:lang w:val="sl-SI"/>
        </w:rPr>
        <w:br w:type="column"/>
      </w:r>
      <w:r w:rsidR="0000410C">
        <w:rPr>
          <w:rFonts w:eastAsia="Calibri" w:cs="Arial"/>
          <w:b/>
          <w:sz w:val="22"/>
          <w:szCs w:val="22"/>
          <w:lang w:val="sl-SI"/>
        </w:rPr>
        <w:t>5</w:t>
      </w:r>
      <w:r w:rsidR="00AA0294" w:rsidRPr="005771BD">
        <w:rPr>
          <w:rFonts w:eastAsia="Calibri" w:cs="Arial"/>
          <w:b/>
          <w:sz w:val="22"/>
          <w:szCs w:val="22"/>
          <w:lang w:val="sl-SI"/>
        </w:rPr>
        <w:t xml:space="preserve"> BIOTSKA RAZNOVRSTNOST</w:t>
      </w:r>
    </w:p>
    <w:p w:rsidR="00AA0294" w:rsidRPr="005771BD" w:rsidRDefault="0000410C" w:rsidP="00AA0294">
      <w:pPr>
        <w:spacing w:after="200" w:line="276" w:lineRule="auto"/>
        <w:jc w:val="both"/>
        <w:rPr>
          <w:rFonts w:eastAsia="Calibri" w:cs="Arial"/>
          <w:b/>
          <w:bCs/>
          <w:szCs w:val="20"/>
          <w:u w:val="single"/>
          <w:lang w:val="sl-SI"/>
        </w:rPr>
      </w:pPr>
      <w:r>
        <w:rPr>
          <w:rFonts w:eastAsia="Calibri" w:cs="Arial"/>
          <w:b/>
          <w:bCs/>
          <w:szCs w:val="20"/>
          <w:u w:val="single"/>
          <w:lang w:val="sl-SI"/>
        </w:rPr>
        <w:t>5</w:t>
      </w:r>
      <w:r w:rsidR="00AA0294" w:rsidRPr="005771BD">
        <w:rPr>
          <w:rFonts w:eastAsia="Calibri" w:cs="Arial"/>
          <w:b/>
          <w:bCs/>
          <w:szCs w:val="20"/>
          <w:u w:val="single"/>
          <w:lang w:val="sl-SI"/>
        </w:rPr>
        <w:t xml:space="preserve">.1 Povzetek </w:t>
      </w:r>
    </w:p>
    <w:p w:rsidR="00AA0294" w:rsidRPr="005771BD" w:rsidRDefault="00AA0294" w:rsidP="00AA0294">
      <w:pPr>
        <w:spacing w:after="200" w:line="276" w:lineRule="auto"/>
        <w:jc w:val="both"/>
        <w:rPr>
          <w:rFonts w:eastAsia="Calibri" w:cs="Arial"/>
          <w:szCs w:val="20"/>
          <w:lang w:val="sl-SI"/>
        </w:rPr>
      </w:pPr>
      <w:r w:rsidRPr="005771BD">
        <w:rPr>
          <w:rFonts w:eastAsia="Calibri" w:cs="Arial"/>
          <w:szCs w:val="20"/>
          <w:lang w:val="sl-SI"/>
        </w:rPr>
        <w:t>Biotska raznovrstnost predstavlja variabilnost med živihmi organizmi na genski, vrstni in ekosistemski ravni. Njena ohranitev poteka z ohranitvijo ekosistemov in naravnih habitatov v naravi ter vzdrževanjem in krepitvijo populacij, ki so sposobne nadaljevati razvoj vrst v svojem naravnem okolju. Vrst in interakcij med njimi ter z neživim okoljem je veliko, zato je opisovanje stanja zelo kompleksno. Iz praktičnih razlogov je omejeno na manjše število vrst, habitatnih tipov in parametrov, pomembnih za njihov nadaljnji obstoj. V tem poročilu je še dodatno omejeno na tiste, za katere so na voljo ustrezni podatki, praviloma za obdobje 2008–2015.</w:t>
      </w:r>
    </w:p>
    <w:p w:rsidR="00AA0294" w:rsidRPr="005771BD" w:rsidRDefault="00AA0294" w:rsidP="00AA0294">
      <w:pPr>
        <w:spacing w:after="200" w:line="276" w:lineRule="auto"/>
        <w:jc w:val="both"/>
        <w:rPr>
          <w:rFonts w:eastAsia="Calibri" w:cs="Arial"/>
          <w:szCs w:val="20"/>
          <w:lang w:val="sl-SI"/>
        </w:rPr>
      </w:pPr>
      <w:r w:rsidRPr="005771BD">
        <w:rPr>
          <w:rFonts w:eastAsia="Calibri" w:cs="Arial"/>
          <w:szCs w:val="20"/>
          <w:lang w:val="sl-SI"/>
        </w:rPr>
        <w:t xml:space="preserve">Stanje vrst, katerih življenjski prostor je kmetijska krajina, in habitatnih tipov, ki so vezani na ta življenjski prostor, se slabša, tako pri specializiranih travniških vrstah in habitatnih tipih kot pri generalistih. </w:t>
      </w:r>
      <w:r w:rsidR="00DE6DA9" w:rsidRPr="00993FB7">
        <w:rPr>
          <w:rFonts w:eastAsia="Calibri" w:cs="Arial"/>
          <w:szCs w:val="20"/>
          <w:lang w:val="sl-SI"/>
        </w:rPr>
        <w:t xml:space="preserve">Kmetijstvo </w:t>
      </w:r>
      <w:r w:rsidR="00DE6DA9">
        <w:rPr>
          <w:rFonts w:eastAsia="Calibri" w:cs="Arial"/>
          <w:szCs w:val="20"/>
          <w:lang w:val="sl-SI"/>
        </w:rPr>
        <w:t>po eni strani tem vrstam in habitatnih tipom zagotavlja življenski prostor, po drugi strani pa je preveč intenzivno kmetijstvo</w:t>
      </w:r>
      <w:r w:rsidR="00DE6DA9" w:rsidRPr="00993FB7">
        <w:rPr>
          <w:rFonts w:eastAsia="Calibri" w:cs="Arial"/>
          <w:szCs w:val="20"/>
          <w:lang w:val="sl-SI"/>
        </w:rPr>
        <w:t xml:space="preserve"> </w:t>
      </w:r>
      <w:r w:rsidR="00DE6DA9">
        <w:rPr>
          <w:rFonts w:eastAsia="Calibri" w:cs="Arial"/>
          <w:szCs w:val="20"/>
          <w:lang w:val="sl-SI"/>
        </w:rPr>
        <w:t xml:space="preserve">tudi velika </w:t>
      </w:r>
      <w:r w:rsidR="00DE6DA9" w:rsidRPr="00993FB7">
        <w:rPr>
          <w:rFonts w:eastAsia="Calibri" w:cs="Arial"/>
          <w:szCs w:val="20"/>
          <w:lang w:val="sl-SI"/>
        </w:rPr>
        <w:t>grožnja zagotavljanju ugodnega stanja evropsko pomembnih vrst in habitatnih tipov</w:t>
      </w:r>
      <w:r w:rsidRPr="005771BD">
        <w:rPr>
          <w:rFonts w:eastAsia="Calibri" w:cs="Arial"/>
          <w:szCs w:val="20"/>
          <w:lang w:val="sl-SI"/>
        </w:rPr>
        <w:t>.</w:t>
      </w:r>
    </w:p>
    <w:p w:rsidR="00AA0294" w:rsidRPr="005771BD" w:rsidRDefault="00AA0294" w:rsidP="00AA0294">
      <w:pPr>
        <w:spacing w:after="200" w:line="276" w:lineRule="auto"/>
        <w:jc w:val="both"/>
        <w:rPr>
          <w:rFonts w:eastAsia="Calibri" w:cs="Arial"/>
          <w:szCs w:val="20"/>
          <w:lang w:val="sl-SI"/>
        </w:rPr>
      </w:pPr>
      <w:r w:rsidRPr="005771BD">
        <w:rPr>
          <w:rFonts w:eastAsia="Calibri" w:cs="Arial"/>
          <w:szCs w:val="20"/>
          <w:lang w:val="sl-SI"/>
        </w:rPr>
        <w:t>Velik del habitatnih tipov, vezanih na vode, je prav tako v slabem stanju ohranjenosti, vključno z barjanskimi in mokriščnimi habitatnimi tipi. Prezimujoče vodne ptice kažejo stabilno stanje. Antropogeno spreminjanje vodnih ekosistemov je druga največja grožnja evropsko pomembnim vrstam.</w:t>
      </w:r>
    </w:p>
    <w:p w:rsidR="00AA0294" w:rsidRPr="005771BD" w:rsidRDefault="00AA0294" w:rsidP="00AA0294">
      <w:pPr>
        <w:spacing w:after="200" w:line="276" w:lineRule="auto"/>
        <w:jc w:val="both"/>
        <w:rPr>
          <w:rFonts w:eastAsia="Calibri" w:cs="Arial"/>
          <w:szCs w:val="20"/>
          <w:lang w:val="sl-SI"/>
        </w:rPr>
      </w:pPr>
      <w:r w:rsidRPr="005771BD">
        <w:rPr>
          <w:rFonts w:eastAsia="Calibri" w:cs="Arial"/>
          <w:szCs w:val="20"/>
          <w:lang w:val="sl-SI"/>
        </w:rPr>
        <w:t xml:space="preserve">Stanje gozdov je dobro, izjema so le posebni gozdni habitati in habitatni tipi (npr. v nižinskih poplavnih gozdovih). Zagotavljanje naravne sestave drevesnih vrst, vertikalne in horizontalne strukturiranosti sestojev ter </w:t>
      </w:r>
      <w:r>
        <w:rPr>
          <w:rFonts w:eastAsia="Calibri" w:cs="Arial"/>
          <w:szCs w:val="20"/>
          <w:lang w:val="sl-SI"/>
        </w:rPr>
        <w:t>ustrezno velikega</w:t>
      </w:r>
      <w:r w:rsidRPr="005771BD">
        <w:rPr>
          <w:rFonts w:eastAsia="Calibri" w:cs="Arial"/>
          <w:szCs w:val="20"/>
          <w:lang w:val="sl-SI"/>
        </w:rPr>
        <w:t xml:space="preserve"> deleža odmrle lesne biomase (ležeče in stoječe) je pomembno za nadaljnje zagotavljanje biotske raznovrstnosti.</w:t>
      </w:r>
    </w:p>
    <w:p w:rsidR="00AA0294" w:rsidRPr="005771BD" w:rsidRDefault="00AA0294" w:rsidP="00AA0294">
      <w:pPr>
        <w:spacing w:after="200" w:line="276" w:lineRule="auto"/>
        <w:jc w:val="both"/>
        <w:rPr>
          <w:rFonts w:eastAsia="Calibri" w:cs="Arial"/>
          <w:szCs w:val="20"/>
          <w:lang w:val="sl-SI"/>
        </w:rPr>
      </w:pPr>
      <w:r w:rsidRPr="005771BD">
        <w:rPr>
          <w:rFonts w:eastAsia="Calibri" w:cs="Arial"/>
          <w:szCs w:val="20"/>
          <w:lang w:val="sl-SI"/>
        </w:rPr>
        <w:t xml:space="preserve">Med evidentiranimi pritiski in grožnjami za evropsko pomembne vrste in habitatne tipe v Sloveniji izstopajo pozidava, zlasti z urbanizacijo in industrializacijo, prometom, ter intenzifikacija kmetijstva. Posledice teh procesov so </w:t>
      </w:r>
      <w:r w:rsidRPr="005771BD">
        <w:rPr>
          <w:rFonts w:eastAsia="Calibri" w:cs="Arial"/>
          <w:iCs/>
          <w:szCs w:val="20"/>
          <w:lang w:val="sl-SI"/>
        </w:rPr>
        <w:t xml:space="preserve">za naravo uničujoče oblike </w:t>
      </w:r>
      <w:r w:rsidRPr="005771BD">
        <w:rPr>
          <w:rFonts w:eastAsia="Calibri" w:cs="Arial"/>
          <w:szCs w:val="20"/>
          <w:lang w:val="sl-SI"/>
        </w:rPr>
        <w:t xml:space="preserve">urejanja vodotokov, tudi zaradi </w:t>
      </w:r>
      <w:r w:rsidRPr="005771BD">
        <w:rPr>
          <w:rFonts w:eastAsia="Calibri" w:cs="Arial"/>
          <w:iCs/>
          <w:szCs w:val="20"/>
          <w:lang w:val="sl-SI"/>
        </w:rPr>
        <w:t>zagotavljanja protipoplavne varnosti</w:t>
      </w:r>
      <w:r w:rsidRPr="005771BD">
        <w:rPr>
          <w:rFonts w:eastAsia="Calibri" w:cs="Arial"/>
          <w:szCs w:val="20"/>
          <w:lang w:val="sl-SI"/>
        </w:rPr>
        <w:t xml:space="preserve">. Nadaljnje pritiske na lokalni ravni povzroča tudi proizvodnja energije, zlasti določenih oblik obnovljivih virov energije. Podnebne spremembe in širjenje invazivnih vrst še dodatno poslabšujejo stanje. </w:t>
      </w:r>
    </w:p>
    <w:p w:rsidR="00AA0294" w:rsidRPr="005771BD" w:rsidRDefault="00AA0294" w:rsidP="00AA0294">
      <w:pPr>
        <w:spacing w:after="200" w:line="276" w:lineRule="auto"/>
        <w:jc w:val="both"/>
        <w:rPr>
          <w:rFonts w:eastAsia="Calibri" w:cs="Arial"/>
          <w:szCs w:val="20"/>
          <w:lang w:val="sl-SI"/>
        </w:rPr>
      </w:pPr>
      <w:r w:rsidRPr="005771BD">
        <w:rPr>
          <w:rFonts w:eastAsia="Calibri" w:cs="Arial"/>
          <w:szCs w:val="20"/>
          <w:lang w:val="sl-SI"/>
        </w:rPr>
        <w:t>Ključni odziv na obvladovanje teh obremenitev je vključitev ciljev trajnostnega razvoja v politike vseh ključnih sektorjev ter vključitev ohranjanja biotske raznovrstnosti v sektorske in medsektorske načrte, programe in politike. Nadaljnji korak je nato presoja sprejemljivosti sektorskih izvedbenih aktov (programov in projektov) za zagotavljanje rešitev, ki varovanih območij narave (zavarovanih območij in Nature 2000) ne prizadenejo ali pa le nebistveno.</w:t>
      </w:r>
    </w:p>
    <w:p w:rsidR="00AA0294" w:rsidRPr="005771BD" w:rsidRDefault="00AA0294" w:rsidP="00AA0294">
      <w:pPr>
        <w:spacing w:after="200" w:line="276" w:lineRule="auto"/>
        <w:jc w:val="both"/>
        <w:rPr>
          <w:rFonts w:eastAsia="Calibri" w:cs="Arial"/>
          <w:szCs w:val="20"/>
          <w:lang w:val="sl-SI"/>
        </w:rPr>
      </w:pPr>
      <w:r w:rsidRPr="005771BD">
        <w:rPr>
          <w:rFonts w:eastAsia="Calibri" w:cs="Arial"/>
          <w:szCs w:val="20"/>
          <w:lang w:val="sl-SI"/>
        </w:rPr>
        <w:t xml:space="preserve">Varstvo narave pa posebno skrb namenja območjem, ki so še posebej pomembni za ohranjanje biotske raznovrstnosti in naravnih vrednot, to so zlasti zavarovana območja in območja Natura 2000. Pri določitvi teh območij je bil v zadnjem času narejen opazen premik, sedaj je ključno ustrezno upravljanje teh območij in dogajanja v njih. </w:t>
      </w:r>
    </w:p>
    <w:p w:rsidR="00AA0294" w:rsidRPr="005771BD" w:rsidRDefault="00AA0294" w:rsidP="00AA0294">
      <w:pPr>
        <w:spacing w:after="200" w:line="276" w:lineRule="auto"/>
        <w:jc w:val="both"/>
        <w:rPr>
          <w:rFonts w:eastAsia="Calibri" w:cs="Arial"/>
          <w:szCs w:val="20"/>
          <w:lang w:val="sl-SI"/>
        </w:rPr>
      </w:pPr>
      <w:r w:rsidRPr="005771BD">
        <w:rPr>
          <w:rFonts w:eastAsia="Calibri" w:cs="Arial"/>
          <w:szCs w:val="20"/>
          <w:lang w:val="sl-SI"/>
        </w:rPr>
        <w:t>Ključni prihodnji izzivi so dopolnitve sicer že dobro organiziranih institucij varstva narave, zlasti za odzivanje na nove in prihajajoče vsebine, ter krepitev nadzorne vloge. Ključna je okrepljena vloga ministrstva (z ustrezno kadrovsko okrepitvijo) pri sooblikovanju ter izvajanju mednarodnih politik, politik EU in slovenskih politik. Pomembno bo tudi zagotoviti financiranje ukrepov varstva narave s sredstvi skladov EU, krepitev sistema spremljanja stanja biotske raznovrstnosti in zagotavljanje uporabniku prijazne dostopnosti do zbranih podatkov ter uvrstitev varstva narave v programe šolajoče se mladine in v ozaveščevalne kampanje.</w:t>
      </w:r>
    </w:p>
    <w:p w:rsidR="00AA0294" w:rsidRPr="005771BD" w:rsidRDefault="0000410C" w:rsidP="00AA0294">
      <w:pPr>
        <w:spacing w:after="200" w:line="276" w:lineRule="auto"/>
        <w:jc w:val="both"/>
        <w:rPr>
          <w:rFonts w:eastAsia="Calibri" w:cs="Arial"/>
          <w:b/>
          <w:bCs/>
          <w:szCs w:val="20"/>
          <w:u w:val="single"/>
          <w:lang w:val="sl-SI"/>
        </w:rPr>
      </w:pPr>
      <w:r>
        <w:rPr>
          <w:rFonts w:eastAsia="Calibri" w:cs="Arial"/>
          <w:b/>
          <w:bCs/>
          <w:szCs w:val="20"/>
          <w:u w:val="single"/>
          <w:lang w:val="sl-SI"/>
        </w:rPr>
        <w:t>5</w:t>
      </w:r>
      <w:r w:rsidR="00AA0294" w:rsidRPr="005771BD">
        <w:rPr>
          <w:rFonts w:eastAsia="Calibri" w:cs="Arial"/>
          <w:b/>
          <w:bCs/>
          <w:szCs w:val="20"/>
          <w:u w:val="single"/>
          <w:lang w:val="sl-SI"/>
        </w:rPr>
        <w:t xml:space="preserve">.2 Stanje in obremenitve </w:t>
      </w:r>
    </w:p>
    <w:p w:rsidR="00407C7F" w:rsidRPr="00407C7F" w:rsidRDefault="00407C7F" w:rsidP="00407C7F">
      <w:pPr>
        <w:spacing w:after="200" w:line="276" w:lineRule="auto"/>
        <w:jc w:val="both"/>
        <w:rPr>
          <w:rFonts w:eastAsia="Calibri" w:cs="Arial"/>
          <w:szCs w:val="20"/>
          <w:lang w:val="sl-SI"/>
        </w:rPr>
      </w:pPr>
      <w:r w:rsidRPr="00407C7F">
        <w:rPr>
          <w:rFonts w:eastAsia="Calibri" w:cs="Arial"/>
          <w:szCs w:val="20"/>
          <w:lang w:val="sl-SI"/>
        </w:rPr>
        <w:t>Biotska raznovrstnost je variabilnost med živimi organizmi (deli biotske raznovrstnosti), vključno s kopenskimi, morskimi in drugimi vodnimi ekosistemi in ekološkimi kompleksi, katerih del so. Koncept biotske raznovrstnosti obravnava vse obstoječe variacije živega sveta, to je število, pestrost in variabilnosti organizmov in zvez, ki jih tvorijo z združevanjem. Običajno je ta raznovrstnost razumljena na treh biotskih ravneh – genski, vrstni in ekosistemski. Ohranitev biotske raznovrstnosti poteka z ohranitvijo ekosistemov in naravnih habitatov v naravi (</w:t>
      </w:r>
      <w:r w:rsidRPr="00407C7F">
        <w:rPr>
          <w:rFonts w:eastAsia="Calibri" w:cs="Arial"/>
          <w:i/>
          <w:szCs w:val="20"/>
          <w:lang w:val="sl-SI"/>
        </w:rPr>
        <w:t>in-situ</w:t>
      </w:r>
      <w:r w:rsidRPr="00407C7F">
        <w:rPr>
          <w:rFonts w:eastAsia="Calibri" w:cs="Arial"/>
          <w:szCs w:val="20"/>
          <w:lang w:val="sl-SI"/>
        </w:rPr>
        <w:t>) ter vzdrževanjem in krepitvijo populacij, ki so sposobne nadaljevati razvoj vrst v svojem naravnem okolju. V Sloveniji je prisotnih okoli 26.000 vrst.</w:t>
      </w:r>
    </w:p>
    <w:p w:rsidR="00407C7F" w:rsidRPr="00407C7F" w:rsidRDefault="00407C7F" w:rsidP="00407C7F">
      <w:pPr>
        <w:spacing w:after="200" w:line="276" w:lineRule="auto"/>
        <w:jc w:val="both"/>
        <w:rPr>
          <w:rFonts w:eastAsia="Calibri" w:cs="Arial"/>
          <w:szCs w:val="20"/>
          <w:lang w:val="sl-SI"/>
        </w:rPr>
      </w:pPr>
      <w:r w:rsidRPr="00407C7F">
        <w:rPr>
          <w:rFonts w:eastAsia="Calibri" w:cs="Arial"/>
          <w:szCs w:val="20"/>
          <w:lang w:val="sl-SI"/>
        </w:rPr>
        <w:t>Ogroženost delov biotske raznovrstnosti je različna. V okviru ohranjanja biotske raznovrstnosti so bolj ogrožene populacije in vrste ter njihovi življenjski prostori deležni svetovne pozornosti, so torej predmet politike ohranjanja narave in instrumentov za obvladovanje obremenjevanja na svetovni ravni. Politika ohranjanja biotske raznovrstnosti v Evropski Uniji se ukvarja z vrstami, ogroženimi v svetovnem merilu, in vrstami, ogroženimi na ravni EU. V Sloveniji je vrst, ogroženih na svetovni ravni ali na ravni EU veliko (blizu 300), zato so predmet spremljanja stanja pretežno te vrste.</w:t>
      </w:r>
    </w:p>
    <w:p w:rsidR="00407C7F" w:rsidRPr="00407C7F" w:rsidRDefault="00407C7F" w:rsidP="00407C7F">
      <w:pPr>
        <w:spacing w:after="200" w:line="276" w:lineRule="auto"/>
        <w:jc w:val="both"/>
        <w:rPr>
          <w:rFonts w:eastAsia="Calibri" w:cs="Arial"/>
          <w:szCs w:val="20"/>
          <w:lang w:val="sl-SI"/>
        </w:rPr>
      </w:pPr>
      <w:r w:rsidRPr="00407C7F">
        <w:rPr>
          <w:rFonts w:eastAsia="Calibri" w:cs="Arial"/>
          <w:szCs w:val="20"/>
          <w:lang w:val="sl-SI"/>
        </w:rPr>
        <w:t xml:space="preserve">Opisovanje stanja biotske raznovrstnosti je zelo kompleksno, ker je že vrst in interakcij med njimi in z neživim okoljem veliko, h kompleksnosti pa prispeva tudi genska pestrost znotraj posamezne vrste. Hkrati pa ta kompleksnost prispeva k ekosistemski pestrosti. </w:t>
      </w:r>
    </w:p>
    <w:p w:rsidR="00407C7F" w:rsidRPr="00407C7F" w:rsidRDefault="00407C7F" w:rsidP="00407C7F">
      <w:pPr>
        <w:spacing w:after="200" w:line="276" w:lineRule="auto"/>
        <w:jc w:val="both"/>
        <w:rPr>
          <w:rFonts w:eastAsia="Calibri" w:cs="Arial"/>
          <w:szCs w:val="20"/>
          <w:lang w:val="sl-SI"/>
        </w:rPr>
      </w:pPr>
      <w:r w:rsidRPr="00407C7F">
        <w:rPr>
          <w:rFonts w:eastAsia="Calibri" w:cs="Arial"/>
          <w:szCs w:val="20"/>
          <w:lang w:val="sl-SI"/>
        </w:rPr>
        <w:t xml:space="preserve">Za opisovanje stanja se najpogosteje omejimo na izbrane vrste, običajno ogrožene, reprezentativne (npr. za splošno stanje določenega življenjskega prostora), enkratne ali povezane s ključnimi evolucijskimi ali drugimi biološkimi procesi. V Evropi je za prikazovanje stanja določen okvirni nabor vrst.  V Sloveniji so na voljo ustrezni podatki za omejeno število takih vrst. Kjer so ustrezni podatki na voljo, so ti uporabljeni v tem poročilu. </w:t>
      </w:r>
    </w:p>
    <w:p w:rsidR="00407C7F" w:rsidRPr="00407C7F" w:rsidRDefault="00407C7F" w:rsidP="00407C7F">
      <w:pPr>
        <w:spacing w:after="200" w:line="276" w:lineRule="auto"/>
        <w:jc w:val="both"/>
        <w:rPr>
          <w:rFonts w:eastAsia="Calibri" w:cs="Arial"/>
          <w:szCs w:val="20"/>
          <w:lang w:val="sl-SI"/>
        </w:rPr>
      </w:pPr>
      <w:r w:rsidRPr="00407C7F">
        <w:rPr>
          <w:rFonts w:eastAsia="Calibri" w:cs="Arial"/>
          <w:szCs w:val="20"/>
          <w:lang w:val="sl-SI"/>
        </w:rPr>
        <w:t>Kazalci, ki okvirno kažejo splošno stanje ohranjenosti določenega življenjskega okolja, so velikost populacij izbranih vrst ptic (NB01), indeks ptic kmetijske krajine (NB14), ohranjenost populacij divjadi (NB03) in ohranjenost gozdov (GZ02).</w:t>
      </w:r>
    </w:p>
    <w:p w:rsidR="00407C7F" w:rsidRPr="00407C7F" w:rsidRDefault="00407C7F" w:rsidP="00407C7F">
      <w:pPr>
        <w:spacing w:after="200" w:line="276" w:lineRule="auto"/>
        <w:jc w:val="both"/>
        <w:rPr>
          <w:rFonts w:eastAsia="Calibri" w:cs="Arial"/>
          <w:szCs w:val="20"/>
          <w:lang w:val="sl-SI"/>
        </w:rPr>
      </w:pPr>
      <w:r w:rsidRPr="00407C7F">
        <w:rPr>
          <w:rFonts w:eastAsia="Calibri" w:cs="Arial"/>
          <w:szCs w:val="20"/>
          <w:lang w:val="sl-SI"/>
        </w:rPr>
        <w:t xml:space="preserve">Stanje splošno razširjenih vrst ptic, ki gnezdijo v kulturni krajini, prikazuje indeks ptic kmetijske krajine (vsebuje štetje 29 vrst ptic). Indeks odraža število pojočih samcev značilnih vrst ptic kmetijske krajine skozi leta. Ta indeks se je v državah EU uveljavil kot splošen kazalnik stanja ohranjenosti biotske raznovrstnosti kmetijske krajine, tudi zato, ker zanj (za ptice) že vrsto let obstajajo primerljivi podatki v skoraj vseh državah članicah. Od leta 2008 je indeks ptic kmetijske krajine (relativna sprememba v številu parov) upadel na 71,4, indeks travniških vrst ptic v kmetijski krajini pa na 60,9. </w:t>
      </w:r>
    </w:p>
    <w:p w:rsidR="00407C7F" w:rsidRPr="00407C7F" w:rsidRDefault="00407C7F" w:rsidP="00407C7F">
      <w:pPr>
        <w:spacing w:after="200" w:line="276" w:lineRule="auto"/>
        <w:jc w:val="both"/>
        <w:rPr>
          <w:rFonts w:eastAsia="Calibri" w:cs="Arial"/>
          <w:szCs w:val="20"/>
          <w:lang w:val="sl-SI"/>
        </w:rPr>
      </w:pPr>
      <w:r w:rsidRPr="00407C7F">
        <w:rPr>
          <w:rFonts w:eastAsia="Calibri" w:cs="Arial"/>
          <w:szCs w:val="20"/>
          <w:lang w:val="sl-SI"/>
        </w:rPr>
        <w:t>Stanje specializiranih vrst ptic kulturne krajine odraža stanje res tipičnih vrst, ki se hranijo v kulturni krajini in ga glede na razpoložljive podatke v dovolj dolgem časovnem obdobju prikazujejo tri vrste. Populacija bele štorklje (</w:t>
      </w:r>
      <w:r w:rsidRPr="00407C7F">
        <w:rPr>
          <w:rFonts w:eastAsia="Calibri" w:cs="Arial"/>
          <w:i/>
          <w:szCs w:val="20"/>
          <w:lang w:val="sl-SI"/>
        </w:rPr>
        <w:t>Ciconia ciconia</w:t>
      </w:r>
      <w:r w:rsidRPr="00407C7F">
        <w:rPr>
          <w:rFonts w:eastAsia="Calibri" w:cs="Arial"/>
          <w:szCs w:val="20"/>
          <w:lang w:val="sl-SI"/>
        </w:rPr>
        <w:t>) v Sloveniji je ustaljena. Populacija kosca (</w:t>
      </w:r>
      <w:r w:rsidRPr="00407C7F">
        <w:rPr>
          <w:rFonts w:eastAsia="Calibri" w:cs="Arial"/>
          <w:i/>
          <w:szCs w:val="20"/>
          <w:lang w:val="sl-SI"/>
        </w:rPr>
        <w:t>Crex crex</w:t>
      </w:r>
      <w:r w:rsidRPr="00407C7F">
        <w:rPr>
          <w:rFonts w:eastAsia="Calibri" w:cs="Arial"/>
          <w:szCs w:val="20"/>
          <w:lang w:val="sl-SI"/>
        </w:rPr>
        <w:t xml:space="preserve">), značilnega gnezdilca ekstenzivnih travnikov, niha, v daljšem obdobju pa se je populacija zmanjšala. Velikost </w:t>
      </w:r>
      <w:r w:rsidRPr="00407C7F">
        <w:rPr>
          <w:rFonts w:eastAsia="Calibri" w:cs="Arial"/>
          <w:bCs/>
          <w:szCs w:val="20"/>
          <w:lang w:val="sl-SI"/>
        </w:rPr>
        <w:t>populacije v</w:t>
      </w:r>
      <w:r w:rsidRPr="00407C7F">
        <w:rPr>
          <w:rFonts w:eastAsia="Calibri" w:cs="Arial"/>
          <w:szCs w:val="20"/>
          <w:lang w:val="sl-SI"/>
        </w:rPr>
        <w:t xml:space="preserve">elikega skovika </w:t>
      </w:r>
      <w:r w:rsidRPr="00407C7F">
        <w:rPr>
          <w:rFonts w:eastAsia="Calibri" w:cs="Arial"/>
          <w:i/>
          <w:szCs w:val="20"/>
          <w:lang w:val="sl-SI"/>
        </w:rPr>
        <w:t>(Otus scops)</w:t>
      </w:r>
      <w:r w:rsidRPr="00407C7F">
        <w:rPr>
          <w:rFonts w:eastAsia="Calibri" w:cs="Arial"/>
          <w:szCs w:val="20"/>
          <w:lang w:val="sl-SI"/>
        </w:rPr>
        <w:t xml:space="preserve">, </w:t>
      </w:r>
      <w:r w:rsidRPr="00407C7F">
        <w:rPr>
          <w:rFonts w:eastAsia="Calibri" w:cs="Arial"/>
          <w:bCs/>
          <w:szCs w:val="20"/>
          <w:lang w:val="sl-SI"/>
        </w:rPr>
        <w:t xml:space="preserve">vrste ekstenzivne kulturne krajine, upada, razen na </w:t>
      </w:r>
      <w:r w:rsidRPr="00407C7F">
        <w:rPr>
          <w:rFonts w:eastAsia="Calibri" w:cs="Arial"/>
          <w:szCs w:val="20"/>
          <w:lang w:val="sl-SI"/>
        </w:rPr>
        <w:t>Ljubljanskem barju. Po obstoječih podatkih o trendih populacij ptic ugotavljamo, da se stanje habitatov v kulturni pokrajini slabša, izgleda pa, da počasneje kot v preteklosti.</w:t>
      </w:r>
    </w:p>
    <w:p w:rsidR="00AA0294" w:rsidRPr="005771BD" w:rsidRDefault="00AA0294" w:rsidP="00AA0294">
      <w:pPr>
        <w:spacing w:after="200" w:line="276" w:lineRule="auto"/>
        <w:jc w:val="both"/>
        <w:rPr>
          <w:rFonts w:eastAsia="Calibri" w:cs="Arial"/>
          <w:szCs w:val="20"/>
          <w:lang w:val="sl-SI"/>
        </w:rPr>
      </w:pPr>
      <w:r w:rsidRPr="007F272F">
        <w:rPr>
          <w:rFonts w:eastAsia="Calibri" w:cs="Arial"/>
          <w:noProof/>
          <w:szCs w:val="20"/>
          <w:lang w:val="sl-SI" w:eastAsia="sl-SI"/>
        </w:rPr>
        <w:drawing>
          <wp:inline distT="0" distB="0" distL="0" distR="0" wp14:anchorId="2637B2C1" wp14:editId="41D16636">
            <wp:extent cx="4176979" cy="3327621"/>
            <wp:effectExtent l="19050" t="19050" r="14605" b="25400"/>
            <wp:docPr id="286" name="Slika 286" descr="http://kazalci.arso.gov.si/get_graph/?graph_id=15291&amp;lang_id=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azalci.arso.gov.si/get_graph/?graph_id=15291&amp;lang_id=302"/>
                    <pic:cNvPicPr>
                      <a:picLocks noChangeAspect="1" noChangeArrowheads="1"/>
                    </pic:cNvPicPr>
                  </pic:nvPicPr>
                  <pic:blipFill rotWithShape="1">
                    <a:blip r:embed="rId35">
                      <a:extLst>
                        <a:ext uri="{28A0092B-C50C-407E-A947-70E740481C1C}">
                          <a14:useLocalDpi xmlns:a14="http://schemas.microsoft.com/office/drawing/2010/main" val="0"/>
                        </a:ext>
                      </a:extLst>
                    </a:blip>
                    <a:srcRect b="5765"/>
                    <a:stretch/>
                  </pic:blipFill>
                  <pic:spPr bwMode="auto">
                    <a:xfrm>
                      <a:off x="0" y="0"/>
                      <a:ext cx="4180270" cy="3330243"/>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rsidR="00AA0294" w:rsidRPr="005771BD" w:rsidRDefault="00AA0294" w:rsidP="00AA0294">
      <w:pPr>
        <w:spacing w:line="276" w:lineRule="auto"/>
        <w:jc w:val="both"/>
        <w:rPr>
          <w:rFonts w:eastAsia="Calibri" w:cs="Arial"/>
          <w:i/>
          <w:szCs w:val="20"/>
          <w:lang w:val="sl-SI"/>
        </w:rPr>
      </w:pPr>
      <w:r w:rsidRPr="005771BD">
        <w:rPr>
          <w:rFonts w:eastAsia="Calibri" w:cs="Arial"/>
          <w:i/>
          <w:szCs w:val="20"/>
          <w:lang w:val="sl-SI"/>
        </w:rPr>
        <w:t xml:space="preserve">Slika </w:t>
      </w:r>
      <w:r w:rsidR="0000410C">
        <w:rPr>
          <w:rFonts w:eastAsia="Calibri" w:cs="Arial"/>
          <w:i/>
          <w:szCs w:val="20"/>
          <w:lang w:val="sl-SI"/>
        </w:rPr>
        <w:t>5</w:t>
      </w:r>
      <w:r w:rsidRPr="005771BD">
        <w:rPr>
          <w:rFonts w:eastAsia="Calibri" w:cs="Arial"/>
          <w:i/>
          <w:szCs w:val="20"/>
          <w:lang w:val="sl-SI"/>
        </w:rPr>
        <w:t xml:space="preserve">.1: Indeks ptic kmetijske krajine </w:t>
      </w:r>
    </w:p>
    <w:p w:rsidR="00AA0294" w:rsidRPr="005771BD" w:rsidRDefault="00AA0294" w:rsidP="00AA0294">
      <w:pPr>
        <w:spacing w:after="200" w:line="240" w:lineRule="auto"/>
        <w:jc w:val="both"/>
        <w:rPr>
          <w:rFonts w:eastAsia="Calibri" w:cs="Arial"/>
          <w:i/>
          <w:sz w:val="18"/>
          <w:szCs w:val="18"/>
          <w:lang w:val="sl-SI"/>
        </w:rPr>
      </w:pPr>
      <w:r w:rsidRPr="005771BD">
        <w:rPr>
          <w:rFonts w:eastAsia="Calibri" w:cs="Arial"/>
          <w:i/>
          <w:sz w:val="18"/>
          <w:szCs w:val="18"/>
          <w:lang w:val="sl-SI"/>
        </w:rPr>
        <w:t>Vir: Agencija RS za okolje, Kazalci okolja v Sloveniji (NB14-1 http://kazalci.arso.gov.si/?data=indicator&amp;ind_id=728)</w:t>
      </w:r>
    </w:p>
    <w:p w:rsidR="00AA0294" w:rsidRPr="005771BD" w:rsidRDefault="00AA0294" w:rsidP="00AA0294">
      <w:pPr>
        <w:spacing w:after="200" w:line="240" w:lineRule="auto"/>
        <w:jc w:val="both"/>
        <w:rPr>
          <w:rFonts w:eastAsia="Calibri" w:cs="Arial"/>
          <w:szCs w:val="20"/>
          <w:u w:val="single"/>
          <w:lang w:val="sl-SI"/>
        </w:rPr>
      </w:pPr>
    </w:p>
    <w:p w:rsidR="00AA0294" w:rsidRPr="005771BD" w:rsidRDefault="00AA0294" w:rsidP="00AA0294">
      <w:pPr>
        <w:spacing w:after="200" w:line="276" w:lineRule="auto"/>
        <w:jc w:val="both"/>
        <w:rPr>
          <w:rFonts w:eastAsia="Calibri" w:cs="Arial"/>
          <w:szCs w:val="20"/>
          <w:lang w:val="sl-SI"/>
        </w:rPr>
      </w:pPr>
      <w:r w:rsidRPr="007F272F">
        <w:rPr>
          <w:rFonts w:eastAsia="Calibri" w:cs="Arial"/>
          <w:noProof/>
          <w:szCs w:val="20"/>
          <w:lang w:val="sl-SI" w:eastAsia="sl-SI"/>
        </w:rPr>
        <w:drawing>
          <wp:inline distT="0" distB="0" distL="0" distR="0" wp14:anchorId="194B0621" wp14:editId="6E36D1AA">
            <wp:extent cx="4371340" cy="2377440"/>
            <wp:effectExtent l="0" t="0" r="0" b="3810"/>
            <wp:docPr id="287" name="Slika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71340" cy="2377440"/>
                    </a:xfrm>
                    <a:prstGeom prst="rect">
                      <a:avLst/>
                    </a:prstGeom>
                    <a:noFill/>
                  </pic:spPr>
                </pic:pic>
              </a:graphicData>
            </a:graphic>
          </wp:inline>
        </w:drawing>
      </w:r>
    </w:p>
    <w:p w:rsidR="00AA0294" w:rsidRPr="005771BD" w:rsidRDefault="00AA0294" w:rsidP="00AA0294">
      <w:pPr>
        <w:tabs>
          <w:tab w:val="right" w:pos="9072"/>
        </w:tabs>
        <w:spacing w:line="276" w:lineRule="auto"/>
        <w:jc w:val="both"/>
        <w:rPr>
          <w:rFonts w:eastAsia="Calibri" w:cs="Arial"/>
          <w:i/>
          <w:szCs w:val="20"/>
          <w:lang w:val="sl-SI"/>
        </w:rPr>
      </w:pPr>
      <w:r w:rsidRPr="005771BD">
        <w:rPr>
          <w:rFonts w:eastAsia="Calibri" w:cs="Arial"/>
          <w:i/>
          <w:szCs w:val="20"/>
          <w:lang w:val="sl-SI"/>
        </w:rPr>
        <w:t xml:space="preserve">Slika </w:t>
      </w:r>
      <w:r w:rsidR="0000410C">
        <w:rPr>
          <w:rFonts w:eastAsia="Calibri" w:cs="Arial"/>
          <w:i/>
          <w:szCs w:val="20"/>
          <w:lang w:val="sl-SI"/>
        </w:rPr>
        <w:t>5</w:t>
      </w:r>
      <w:r w:rsidRPr="005771BD">
        <w:rPr>
          <w:rFonts w:eastAsia="Calibri" w:cs="Arial"/>
          <w:i/>
          <w:szCs w:val="20"/>
          <w:lang w:val="sl-SI"/>
        </w:rPr>
        <w:t>.2: Populacijsko gibanje gnezdeče populacije bele štorklje (Ciconia ciconia)</w:t>
      </w:r>
    </w:p>
    <w:p w:rsidR="00AA0294" w:rsidRPr="005771BD" w:rsidRDefault="00AA0294" w:rsidP="00AA0294">
      <w:pPr>
        <w:spacing w:after="200" w:line="276" w:lineRule="auto"/>
        <w:jc w:val="both"/>
        <w:rPr>
          <w:rFonts w:eastAsia="Calibri" w:cs="Arial"/>
          <w:i/>
          <w:sz w:val="18"/>
          <w:szCs w:val="18"/>
          <w:u w:val="single"/>
          <w:lang w:val="sl-SI"/>
        </w:rPr>
      </w:pPr>
      <w:r w:rsidRPr="005771BD">
        <w:rPr>
          <w:rFonts w:eastAsia="Calibri" w:cs="Arial"/>
          <w:i/>
          <w:sz w:val="18"/>
          <w:szCs w:val="18"/>
          <w:lang w:val="sl-SI"/>
        </w:rPr>
        <w:t>Vir: Agencija RS za okolje, Kazalci okolja v Sloveniji (NB01-1 http://kazalci.arso.gov.si/?data=indicator&amp;ind_id=788)</w:t>
      </w:r>
    </w:p>
    <w:p w:rsidR="00AA0294" w:rsidRPr="005771BD" w:rsidRDefault="00AA0294" w:rsidP="00AA0294">
      <w:pPr>
        <w:spacing w:after="200" w:line="276" w:lineRule="auto"/>
        <w:jc w:val="both"/>
        <w:rPr>
          <w:rFonts w:eastAsia="Calibri" w:cs="Arial"/>
          <w:szCs w:val="20"/>
          <w:lang w:val="sl-SI"/>
        </w:rPr>
      </w:pPr>
      <w:r w:rsidRPr="007F272F">
        <w:rPr>
          <w:rFonts w:eastAsia="Calibri" w:cs="Arial"/>
          <w:noProof/>
          <w:szCs w:val="20"/>
          <w:lang w:val="sl-SI" w:eastAsia="sl-SI"/>
        </w:rPr>
        <w:drawing>
          <wp:inline distT="0" distB="0" distL="0" distR="0" wp14:anchorId="48165102" wp14:editId="1B2E82EF">
            <wp:extent cx="5742940" cy="3200400"/>
            <wp:effectExtent l="0" t="0" r="0" b="0"/>
            <wp:docPr id="288" name="Slika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42940" cy="3200400"/>
                    </a:xfrm>
                    <a:prstGeom prst="rect">
                      <a:avLst/>
                    </a:prstGeom>
                    <a:noFill/>
                  </pic:spPr>
                </pic:pic>
              </a:graphicData>
            </a:graphic>
          </wp:inline>
        </w:drawing>
      </w:r>
    </w:p>
    <w:p w:rsidR="00AA0294" w:rsidRPr="005771BD" w:rsidRDefault="00AA0294" w:rsidP="00AA0294">
      <w:pPr>
        <w:spacing w:line="276" w:lineRule="auto"/>
        <w:jc w:val="both"/>
        <w:rPr>
          <w:rFonts w:eastAsia="Calibri" w:cs="Arial"/>
          <w:i/>
          <w:szCs w:val="20"/>
          <w:lang w:val="sl-SI"/>
        </w:rPr>
      </w:pPr>
      <w:r w:rsidRPr="005771BD">
        <w:rPr>
          <w:rFonts w:eastAsia="Calibri" w:cs="Arial"/>
          <w:i/>
          <w:szCs w:val="20"/>
          <w:lang w:val="sl-SI"/>
        </w:rPr>
        <w:t xml:space="preserve">Slika </w:t>
      </w:r>
      <w:r w:rsidR="0000410C">
        <w:rPr>
          <w:rFonts w:eastAsia="Calibri" w:cs="Arial"/>
          <w:i/>
          <w:szCs w:val="20"/>
          <w:lang w:val="sl-SI"/>
        </w:rPr>
        <w:t>5</w:t>
      </w:r>
      <w:r w:rsidRPr="005771BD">
        <w:rPr>
          <w:rFonts w:eastAsia="Calibri" w:cs="Arial"/>
          <w:i/>
          <w:szCs w:val="20"/>
          <w:lang w:val="sl-SI"/>
        </w:rPr>
        <w:t xml:space="preserve">.3:   Število preštetih pojočih koscev (Crex crex) na Cerkniškem jezeru in Ljubljanskem barju </w:t>
      </w:r>
    </w:p>
    <w:p w:rsidR="00AA0294" w:rsidRPr="005771BD" w:rsidRDefault="00AA0294" w:rsidP="00AA0294">
      <w:pPr>
        <w:spacing w:after="200" w:line="276" w:lineRule="auto"/>
        <w:jc w:val="both"/>
        <w:rPr>
          <w:rFonts w:eastAsia="Calibri" w:cs="Arial"/>
          <w:i/>
          <w:sz w:val="18"/>
          <w:szCs w:val="18"/>
          <w:lang w:val="sl-SI"/>
        </w:rPr>
      </w:pPr>
      <w:r w:rsidRPr="005771BD">
        <w:rPr>
          <w:rFonts w:eastAsia="Calibri" w:cs="Arial"/>
          <w:i/>
          <w:sz w:val="18"/>
          <w:szCs w:val="18"/>
          <w:lang w:val="sl-SI"/>
        </w:rPr>
        <w:t>Vir: Agencija RS za okolje, Kazalci okolja v Sloveniji (NB01-2 http://kazalci.arso.gov.si/?data=indicator&amp;ind_id=788)</w:t>
      </w:r>
    </w:p>
    <w:p w:rsidR="00AA0294" w:rsidRPr="005771BD" w:rsidRDefault="00AA0294" w:rsidP="00AA0294">
      <w:pPr>
        <w:spacing w:after="200" w:line="276" w:lineRule="auto"/>
        <w:jc w:val="both"/>
        <w:rPr>
          <w:rFonts w:eastAsia="Calibri" w:cs="Arial"/>
          <w:b/>
          <w:szCs w:val="20"/>
          <w:lang w:val="sl-SI"/>
        </w:rPr>
      </w:pPr>
      <w:r w:rsidRPr="007F272F">
        <w:rPr>
          <w:rFonts w:eastAsia="Calibri" w:cs="Arial"/>
          <w:b/>
          <w:noProof/>
          <w:szCs w:val="20"/>
          <w:lang w:val="sl-SI" w:eastAsia="sl-SI"/>
        </w:rPr>
        <w:drawing>
          <wp:inline distT="0" distB="0" distL="0" distR="0" wp14:anchorId="6261D00E" wp14:editId="5D77A2FE">
            <wp:extent cx="5523230" cy="2773680"/>
            <wp:effectExtent l="0" t="0" r="1270" b="7620"/>
            <wp:docPr id="289" name="Slika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23230" cy="2773680"/>
                    </a:xfrm>
                    <a:prstGeom prst="rect">
                      <a:avLst/>
                    </a:prstGeom>
                    <a:noFill/>
                  </pic:spPr>
                </pic:pic>
              </a:graphicData>
            </a:graphic>
          </wp:inline>
        </w:drawing>
      </w:r>
    </w:p>
    <w:p w:rsidR="00AA0294" w:rsidRPr="005771BD" w:rsidRDefault="00AA0294" w:rsidP="00AA0294">
      <w:pPr>
        <w:spacing w:line="276" w:lineRule="auto"/>
        <w:jc w:val="both"/>
        <w:rPr>
          <w:rFonts w:eastAsia="Calibri" w:cs="Arial"/>
          <w:i/>
          <w:szCs w:val="20"/>
          <w:lang w:val="sl-SI"/>
        </w:rPr>
      </w:pPr>
      <w:r w:rsidRPr="005771BD">
        <w:rPr>
          <w:rFonts w:eastAsia="Calibri" w:cs="Arial"/>
          <w:i/>
          <w:szCs w:val="20"/>
          <w:lang w:val="sl-SI"/>
        </w:rPr>
        <w:t xml:space="preserve">Slika </w:t>
      </w:r>
      <w:r w:rsidR="0000410C">
        <w:rPr>
          <w:rFonts w:eastAsia="Calibri" w:cs="Arial"/>
          <w:i/>
          <w:szCs w:val="20"/>
          <w:lang w:val="sl-SI"/>
        </w:rPr>
        <w:t>5</w:t>
      </w:r>
      <w:r w:rsidRPr="005771BD">
        <w:rPr>
          <w:rFonts w:eastAsia="Calibri" w:cs="Arial"/>
          <w:i/>
          <w:szCs w:val="20"/>
          <w:lang w:val="sl-SI"/>
        </w:rPr>
        <w:t xml:space="preserve">.4: Velikost populacije velikega skovika </w:t>
      </w:r>
      <w:r w:rsidRPr="005771BD">
        <w:rPr>
          <w:rFonts w:eastAsia="Calibri" w:cs="Arial"/>
          <w:i/>
          <w:iCs/>
          <w:szCs w:val="20"/>
          <w:lang w:val="sl-SI"/>
        </w:rPr>
        <w:t xml:space="preserve">(Otus scops) </w:t>
      </w:r>
      <w:r w:rsidRPr="005771BD">
        <w:rPr>
          <w:rFonts w:eastAsia="Calibri" w:cs="Arial"/>
          <w:i/>
          <w:szCs w:val="20"/>
          <w:lang w:val="sl-SI"/>
        </w:rPr>
        <w:t xml:space="preserve">na Ljubljanskem barju, Krasu in Goričkem </w:t>
      </w:r>
    </w:p>
    <w:p w:rsidR="00AA0294" w:rsidRPr="005771BD" w:rsidRDefault="00AA0294" w:rsidP="00AA0294">
      <w:pPr>
        <w:spacing w:after="200" w:line="276" w:lineRule="auto"/>
        <w:jc w:val="both"/>
        <w:rPr>
          <w:rFonts w:eastAsia="Calibri" w:cs="Arial"/>
          <w:i/>
          <w:sz w:val="18"/>
          <w:szCs w:val="18"/>
          <w:lang w:val="sl-SI"/>
        </w:rPr>
      </w:pPr>
      <w:r w:rsidRPr="005771BD">
        <w:rPr>
          <w:rFonts w:eastAsia="Calibri" w:cs="Arial"/>
          <w:i/>
          <w:sz w:val="18"/>
          <w:szCs w:val="18"/>
          <w:lang w:val="sl-SI"/>
        </w:rPr>
        <w:t>Vir: Agencija RS za okolje, Kazalci okolja v Sloveniji (NB01-6 http://kazalci.arso.gov.si/?data=indicator&amp;ind_id=788)</w:t>
      </w:r>
    </w:p>
    <w:p w:rsidR="00AA0294" w:rsidRPr="005771BD" w:rsidRDefault="00AA0294" w:rsidP="00AA0294">
      <w:pPr>
        <w:spacing w:after="200" w:line="276" w:lineRule="auto"/>
        <w:jc w:val="both"/>
        <w:rPr>
          <w:rFonts w:eastAsia="Calibri" w:cs="Arial"/>
          <w:szCs w:val="20"/>
          <w:lang w:val="sl-SI"/>
        </w:rPr>
      </w:pPr>
      <w:r w:rsidRPr="005771BD">
        <w:rPr>
          <w:rFonts w:eastAsia="Calibri" w:cs="Arial"/>
          <w:szCs w:val="20"/>
          <w:lang w:val="sl-SI"/>
        </w:rPr>
        <w:t>Stanje prezimujočih vodnih ptic, ki so vezane predvsem na velike vodotoke, prikazuje kazalec populacijsko gibanje izbranih prezimujočih vrst ptic. Stanje se v zadnjih letih ne spreminja.</w:t>
      </w:r>
    </w:p>
    <w:p w:rsidR="00AA0294" w:rsidRPr="005771BD" w:rsidRDefault="00AA0294" w:rsidP="00AA0294">
      <w:pPr>
        <w:spacing w:after="200" w:line="276" w:lineRule="auto"/>
        <w:jc w:val="both"/>
        <w:rPr>
          <w:rFonts w:eastAsia="Calibri" w:cs="Arial"/>
          <w:szCs w:val="20"/>
          <w:lang w:val="sl-SI"/>
        </w:rPr>
      </w:pPr>
    </w:p>
    <w:p w:rsidR="00AA0294" w:rsidRPr="005771BD" w:rsidRDefault="00AA0294" w:rsidP="00AA0294">
      <w:pPr>
        <w:spacing w:line="276" w:lineRule="auto"/>
        <w:jc w:val="both"/>
        <w:rPr>
          <w:rFonts w:eastAsia="Calibri" w:cs="Arial"/>
          <w:bCs/>
          <w:i/>
          <w:szCs w:val="20"/>
          <w:lang w:val="sl-SI"/>
        </w:rPr>
      </w:pPr>
      <w:r w:rsidRPr="007F272F">
        <w:rPr>
          <w:rFonts w:eastAsia="Calibri" w:cs="Arial"/>
          <w:bCs/>
          <w:i/>
          <w:noProof/>
          <w:szCs w:val="20"/>
          <w:lang w:val="sl-SI" w:eastAsia="sl-SI"/>
        </w:rPr>
        <w:drawing>
          <wp:inline distT="0" distB="0" distL="0" distR="0" wp14:anchorId="51B4D86B" wp14:editId="21DF5B29">
            <wp:extent cx="5121275" cy="2932430"/>
            <wp:effectExtent l="0" t="0" r="3175" b="1270"/>
            <wp:docPr id="290" name="Slika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21275" cy="2932430"/>
                    </a:xfrm>
                    <a:prstGeom prst="rect">
                      <a:avLst/>
                    </a:prstGeom>
                    <a:noFill/>
                  </pic:spPr>
                </pic:pic>
              </a:graphicData>
            </a:graphic>
          </wp:inline>
        </w:drawing>
      </w:r>
    </w:p>
    <w:p w:rsidR="00AA0294" w:rsidRPr="005771BD" w:rsidRDefault="00AA0294" w:rsidP="00AA0294">
      <w:pPr>
        <w:spacing w:line="276" w:lineRule="auto"/>
        <w:jc w:val="both"/>
        <w:rPr>
          <w:rFonts w:eastAsia="Calibri" w:cs="Arial"/>
          <w:bCs/>
          <w:i/>
          <w:szCs w:val="20"/>
          <w:lang w:val="sl-SI"/>
        </w:rPr>
      </w:pPr>
    </w:p>
    <w:p w:rsidR="00AA0294" w:rsidRPr="005771BD" w:rsidRDefault="00AA0294" w:rsidP="00AA0294">
      <w:pPr>
        <w:spacing w:line="276" w:lineRule="auto"/>
        <w:jc w:val="both"/>
        <w:rPr>
          <w:rFonts w:eastAsia="Calibri" w:cs="Arial"/>
          <w:bCs/>
          <w:i/>
          <w:szCs w:val="20"/>
          <w:lang w:val="sl-SI"/>
        </w:rPr>
      </w:pPr>
    </w:p>
    <w:p w:rsidR="00AA0294" w:rsidRPr="005771BD" w:rsidRDefault="00AA0294" w:rsidP="00AA0294">
      <w:pPr>
        <w:spacing w:line="276" w:lineRule="auto"/>
        <w:jc w:val="both"/>
        <w:rPr>
          <w:rFonts w:eastAsia="Calibri" w:cs="Arial"/>
          <w:bCs/>
          <w:i/>
          <w:szCs w:val="20"/>
          <w:lang w:val="sl-SI"/>
        </w:rPr>
      </w:pPr>
      <w:r w:rsidRPr="005771BD">
        <w:rPr>
          <w:rFonts w:eastAsia="Calibri" w:cs="Arial"/>
          <w:bCs/>
          <w:i/>
          <w:szCs w:val="20"/>
          <w:lang w:val="sl-SI"/>
        </w:rPr>
        <w:t xml:space="preserve">Slika </w:t>
      </w:r>
      <w:r w:rsidR="0000410C">
        <w:rPr>
          <w:rFonts w:eastAsia="Calibri" w:cs="Arial"/>
          <w:bCs/>
          <w:i/>
          <w:szCs w:val="20"/>
          <w:lang w:val="sl-SI"/>
        </w:rPr>
        <w:t>5</w:t>
      </w:r>
      <w:r w:rsidRPr="005771BD">
        <w:rPr>
          <w:rFonts w:eastAsia="Calibri" w:cs="Arial"/>
          <w:bCs/>
          <w:i/>
          <w:szCs w:val="20"/>
          <w:lang w:val="sl-SI"/>
        </w:rPr>
        <w:t xml:space="preserve">.5: </w:t>
      </w:r>
      <w:r w:rsidRPr="005771BD">
        <w:rPr>
          <w:rFonts w:eastAsia="Calibri" w:cs="Arial"/>
          <w:i/>
          <w:szCs w:val="20"/>
          <w:lang w:val="sl-SI"/>
        </w:rPr>
        <w:t xml:space="preserve">  </w:t>
      </w:r>
      <w:r w:rsidRPr="005771BD">
        <w:rPr>
          <w:rFonts w:eastAsia="Calibri" w:cs="Arial"/>
          <w:bCs/>
          <w:i/>
          <w:szCs w:val="20"/>
          <w:lang w:val="sl-SI"/>
        </w:rPr>
        <w:t xml:space="preserve">Populacijsko gibanje izbranih prezimujočih vrst: kormoran (Phalacrocorax carbo), čopasta črnica (Aythya fuligula), veliki žagar (Mergus merganser), velika bela čaplja (Egretta alba), mali ponirek (Tachybaptus ruficollis), mlakarica (Anas platyrhynchos) in zvonec (Bucephala clangula) </w:t>
      </w:r>
    </w:p>
    <w:p w:rsidR="00AA0294" w:rsidRPr="005771BD" w:rsidRDefault="00AA0294" w:rsidP="00AA0294">
      <w:pPr>
        <w:spacing w:after="200" w:line="276" w:lineRule="auto"/>
        <w:jc w:val="both"/>
        <w:rPr>
          <w:rFonts w:eastAsia="Calibri" w:cs="Arial"/>
          <w:bCs/>
          <w:i/>
          <w:szCs w:val="20"/>
          <w:lang w:val="sl-SI"/>
        </w:rPr>
      </w:pPr>
      <w:r w:rsidRPr="005771BD">
        <w:rPr>
          <w:rFonts w:eastAsia="Calibri" w:cs="Arial"/>
          <w:bCs/>
          <w:i/>
          <w:szCs w:val="20"/>
          <w:lang w:val="sl-SI"/>
        </w:rPr>
        <w:t>Vir: Agencija RS za okolje, Kazalci okolja v Sloveniji (NB01-3 http://kazalci.arso.gov.si/?data=indicator&amp;ind_id=788)</w:t>
      </w:r>
    </w:p>
    <w:p w:rsidR="00AA0294" w:rsidRPr="005771BD" w:rsidRDefault="00AA0294" w:rsidP="00AA0294">
      <w:pPr>
        <w:spacing w:after="200" w:line="276" w:lineRule="auto"/>
        <w:jc w:val="both"/>
        <w:rPr>
          <w:rFonts w:eastAsia="Calibri" w:cs="Arial"/>
          <w:szCs w:val="20"/>
          <w:lang w:val="sl-SI"/>
        </w:rPr>
      </w:pPr>
      <w:r w:rsidRPr="005771BD">
        <w:rPr>
          <w:rFonts w:eastAsia="Calibri" w:cs="Arial"/>
          <w:szCs w:val="20"/>
          <w:lang w:val="sl-SI"/>
        </w:rPr>
        <w:t xml:space="preserve">Stanje gozdov prikazujejo zlasti kazalniki ohranjenost gozdov, odmrla lesna biomasa in krčitve gozdov. Gozdovi v Sloveniji so razmeroma dobro ohranjeni, še posebej glede pestrosti naravne sestave drevesnih vrst ter (navpično in vodoravno) strukturiranost sestojev. Delež ohranjenih gozdov presega 50 %, močneje spremenjenih, večinoma zasmrečenih in izmenjanih gozdov je le nekaj več kot desetino. </w:t>
      </w:r>
    </w:p>
    <w:p w:rsidR="00AA0294" w:rsidRPr="005771BD" w:rsidRDefault="00AA0294" w:rsidP="00AA0294">
      <w:pPr>
        <w:spacing w:after="200" w:line="276" w:lineRule="auto"/>
        <w:jc w:val="both"/>
        <w:rPr>
          <w:rFonts w:eastAsia="Calibri" w:cs="Arial"/>
          <w:szCs w:val="20"/>
          <w:lang w:val="sl-SI"/>
        </w:rPr>
      </w:pPr>
      <w:r w:rsidRPr="005771BD">
        <w:rPr>
          <w:rFonts w:eastAsia="Calibri" w:cs="Arial"/>
          <w:szCs w:val="20"/>
          <w:lang w:val="sl-SI"/>
        </w:rPr>
        <w:t>Odmrla lesna biomasa je pomemben habitat za favno in floro ter na ta način pripomore k biotski raznovrstnosti gozdnih ekosistemov. Za preživetje določenih vrst so pomembna stoječa odmrla drevesa, za druge pa ležeča, zato v nadaljevanju prikazujemo podatke za oboje. V letu 2012 je bilo stoječih odmrlih dreves 7,1 m</w:t>
      </w:r>
      <w:r w:rsidRPr="005771BD">
        <w:rPr>
          <w:rFonts w:eastAsia="Calibri" w:cs="Arial"/>
          <w:szCs w:val="20"/>
          <w:vertAlign w:val="superscript"/>
          <w:lang w:val="sl-SI"/>
        </w:rPr>
        <w:t>3</w:t>
      </w:r>
      <w:r w:rsidRPr="005771BD">
        <w:rPr>
          <w:rFonts w:eastAsia="Calibri" w:cs="Arial"/>
          <w:szCs w:val="20"/>
          <w:lang w:val="sl-SI"/>
        </w:rPr>
        <w:t>/ha, ležečih dreves s panji pa 12,7 m</w:t>
      </w:r>
      <w:r w:rsidRPr="005771BD">
        <w:rPr>
          <w:rFonts w:eastAsia="Calibri" w:cs="Arial"/>
          <w:szCs w:val="20"/>
          <w:vertAlign w:val="superscript"/>
          <w:lang w:val="sl-SI"/>
        </w:rPr>
        <w:t>3</w:t>
      </w:r>
      <w:r w:rsidRPr="005771BD">
        <w:rPr>
          <w:rFonts w:eastAsia="Calibri" w:cs="Arial"/>
          <w:szCs w:val="20"/>
          <w:lang w:val="sl-SI"/>
        </w:rPr>
        <w:t>/ha ali skupaj 19,8 m</w:t>
      </w:r>
      <w:r w:rsidRPr="005771BD">
        <w:rPr>
          <w:rFonts w:eastAsia="Calibri" w:cs="Arial"/>
          <w:szCs w:val="20"/>
          <w:vertAlign w:val="superscript"/>
          <w:lang w:val="sl-SI"/>
        </w:rPr>
        <w:t>3</w:t>
      </w:r>
      <w:r w:rsidRPr="005771BD">
        <w:rPr>
          <w:rFonts w:eastAsia="Calibri" w:cs="Arial"/>
          <w:szCs w:val="20"/>
          <w:lang w:val="sl-SI"/>
        </w:rPr>
        <w:t>/ha, kar je skoraj 7 % celotne lesne zaloge gozdnih sestojev. V pragozdovih je lahko ta količina celo nekaj 10-krat večja</w:t>
      </w:r>
      <w:r w:rsidRPr="005771BD">
        <w:rPr>
          <w:rFonts w:eastAsia="Calibri" w:cs="Arial"/>
          <w:szCs w:val="20"/>
          <w:vertAlign w:val="superscript"/>
          <w:lang w:val="sl-SI"/>
        </w:rPr>
        <w:footnoteReference w:id="15"/>
      </w:r>
      <w:r w:rsidRPr="005771BD">
        <w:rPr>
          <w:rFonts w:eastAsia="Calibri" w:cs="Arial"/>
          <w:szCs w:val="20"/>
          <w:lang w:val="sl-SI"/>
        </w:rPr>
        <w:t xml:space="preserve">. </w:t>
      </w:r>
    </w:p>
    <w:p w:rsidR="00AA0294" w:rsidRPr="005771BD" w:rsidRDefault="00AA0294" w:rsidP="00AA0294">
      <w:pPr>
        <w:spacing w:after="200" w:line="276" w:lineRule="auto"/>
        <w:jc w:val="both"/>
        <w:rPr>
          <w:rFonts w:eastAsia="Calibri" w:cs="Arial"/>
          <w:szCs w:val="20"/>
          <w:lang w:val="sl-SI"/>
        </w:rPr>
      </w:pPr>
      <w:r w:rsidRPr="005771BD">
        <w:rPr>
          <w:rFonts w:eastAsia="Calibri" w:cs="Arial"/>
          <w:szCs w:val="20"/>
          <w:lang w:val="sl-SI"/>
        </w:rPr>
        <w:t>Krčitve gozdov glede na površino gozda predstavljajo zanemarljiv delež. Povprečje zadnjih desetih let znaša približno 360 ha</w:t>
      </w:r>
      <w:r w:rsidR="00DE6DA9">
        <w:rPr>
          <w:rFonts w:eastAsia="Calibri" w:cs="Arial"/>
          <w:szCs w:val="20"/>
          <w:lang w:val="sl-SI"/>
        </w:rPr>
        <w:t>/leto</w:t>
      </w:r>
      <w:r w:rsidRPr="005771BD">
        <w:rPr>
          <w:rFonts w:eastAsia="Calibri" w:cs="Arial"/>
          <w:szCs w:val="20"/>
          <w:lang w:val="sl-SI"/>
        </w:rPr>
        <w:t>. Do leta 2008 je bilo največ krčitev posledica izgradnje infrastrukturnih objektov. V letu 2008 pa so se izjemno povečale krčitve gozdov za kmetijske namene, ki so v letu 2009 obsegale kar 85 % vseh izkrčenih površin in tudi v letu 2015 je bil ta delež še vedno 73 %. Večina krčitev je bila izvedena s soglasjem pristojnih in</w:t>
      </w:r>
      <w:r>
        <w:rPr>
          <w:rFonts w:eastAsia="Calibri" w:cs="Arial"/>
          <w:szCs w:val="20"/>
          <w:lang w:val="sl-SI"/>
        </w:rPr>
        <w:t>s</w:t>
      </w:r>
      <w:r w:rsidRPr="005771BD">
        <w:rPr>
          <w:rFonts w:eastAsia="Calibri" w:cs="Arial"/>
          <w:szCs w:val="20"/>
          <w:lang w:val="sl-SI"/>
        </w:rPr>
        <w:t xml:space="preserve">titucij, v letu 2009 pa se je delež krčitev, ki so izvedene brez soglasij, povzpel kar na tretjino, nato se je ta delež v naslednjih letih ponovno zmanjšal. </w:t>
      </w:r>
    </w:p>
    <w:p w:rsidR="00AA0294" w:rsidRPr="005771BD" w:rsidRDefault="00AA0294" w:rsidP="00AA0294">
      <w:pPr>
        <w:spacing w:after="200" w:line="276" w:lineRule="auto"/>
        <w:jc w:val="both"/>
        <w:rPr>
          <w:rFonts w:eastAsia="Calibri" w:cs="Arial"/>
          <w:szCs w:val="20"/>
          <w:lang w:val="sl-SI"/>
        </w:rPr>
      </w:pPr>
      <w:r w:rsidRPr="005771BD">
        <w:rPr>
          <w:rFonts w:eastAsia="Calibri" w:cs="Arial"/>
          <w:szCs w:val="20"/>
          <w:lang w:val="sl-SI"/>
        </w:rPr>
        <w:t>Drugače kot za večino slovenskih gozdov velja za nižinske poplavne gozdove, ki so soočeni s slabšanjem stanja, zlasti zaradi krčitev gozdov in neugodnih hidroloških razmer. To najbrž odraža tudi upadanje populacije srednjega detla (</w:t>
      </w:r>
      <w:r w:rsidRPr="005771BD">
        <w:rPr>
          <w:rFonts w:eastAsia="Calibri" w:cs="Arial"/>
          <w:i/>
          <w:szCs w:val="20"/>
          <w:lang w:val="sl-SI"/>
        </w:rPr>
        <w:t>Dendrocopus medius</w:t>
      </w:r>
      <w:r w:rsidRPr="005771BD">
        <w:rPr>
          <w:rFonts w:eastAsia="Calibri" w:cs="Arial"/>
          <w:szCs w:val="20"/>
          <w:lang w:val="sl-SI"/>
        </w:rPr>
        <w:t xml:space="preserve">), gnezdilca nižinskih poplavnih gozdov, od leta 2011. </w:t>
      </w:r>
    </w:p>
    <w:p w:rsidR="00AA0294" w:rsidRPr="005771BD" w:rsidRDefault="00AA0294" w:rsidP="00AA0294">
      <w:pPr>
        <w:spacing w:after="200" w:line="276" w:lineRule="auto"/>
        <w:jc w:val="both"/>
        <w:rPr>
          <w:rFonts w:eastAsia="Calibri" w:cs="Arial"/>
          <w:b/>
          <w:szCs w:val="20"/>
          <w:lang w:val="sl-SI"/>
        </w:rPr>
      </w:pPr>
      <w:r w:rsidRPr="007F272F">
        <w:rPr>
          <w:rFonts w:eastAsia="Calibri" w:cs="Arial"/>
          <w:b/>
          <w:noProof/>
          <w:szCs w:val="20"/>
          <w:lang w:val="sl-SI" w:eastAsia="sl-SI"/>
        </w:rPr>
        <w:drawing>
          <wp:inline distT="0" distB="0" distL="0" distR="0" wp14:anchorId="10B90904" wp14:editId="259B9F1E">
            <wp:extent cx="4934607" cy="3167598"/>
            <wp:effectExtent l="0" t="0" r="0" b="0"/>
            <wp:docPr id="291" name="Slika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42608" cy="3172734"/>
                    </a:xfrm>
                    <a:prstGeom prst="rect">
                      <a:avLst/>
                    </a:prstGeom>
                    <a:noFill/>
                  </pic:spPr>
                </pic:pic>
              </a:graphicData>
            </a:graphic>
          </wp:inline>
        </w:drawing>
      </w:r>
    </w:p>
    <w:p w:rsidR="00AA0294" w:rsidRPr="005771BD" w:rsidRDefault="00AA0294" w:rsidP="00AA0294">
      <w:pPr>
        <w:spacing w:line="276" w:lineRule="auto"/>
        <w:jc w:val="both"/>
        <w:rPr>
          <w:rFonts w:eastAsia="Calibri" w:cs="Arial"/>
          <w:bCs/>
          <w:i/>
          <w:szCs w:val="20"/>
          <w:lang w:val="sl-SI"/>
        </w:rPr>
      </w:pPr>
      <w:r w:rsidRPr="005771BD">
        <w:rPr>
          <w:rFonts w:eastAsia="Calibri" w:cs="Arial"/>
          <w:i/>
          <w:szCs w:val="20"/>
          <w:lang w:val="sl-SI"/>
        </w:rPr>
        <w:t xml:space="preserve">Slika </w:t>
      </w:r>
      <w:r w:rsidR="0000410C">
        <w:rPr>
          <w:rFonts w:eastAsia="Calibri" w:cs="Arial"/>
          <w:i/>
          <w:szCs w:val="20"/>
          <w:lang w:val="sl-SI"/>
        </w:rPr>
        <w:t>5</w:t>
      </w:r>
      <w:r w:rsidRPr="005771BD">
        <w:rPr>
          <w:rFonts w:eastAsia="Calibri" w:cs="Arial"/>
          <w:i/>
          <w:szCs w:val="20"/>
          <w:lang w:val="sl-SI"/>
        </w:rPr>
        <w:t xml:space="preserve">.6: </w:t>
      </w:r>
      <w:r w:rsidRPr="005771BD">
        <w:rPr>
          <w:rFonts w:eastAsia="Calibri" w:cs="Arial"/>
          <w:bCs/>
          <w:i/>
          <w:szCs w:val="20"/>
          <w:lang w:val="sl-SI"/>
        </w:rPr>
        <w:t xml:space="preserve">Ohranjenost drevesne sestave </w:t>
      </w:r>
    </w:p>
    <w:p w:rsidR="00AA0294" w:rsidRPr="005771BD" w:rsidRDefault="00AA0294" w:rsidP="00AA0294">
      <w:pPr>
        <w:spacing w:after="200" w:line="276" w:lineRule="auto"/>
        <w:jc w:val="both"/>
        <w:rPr>
          <w:rFonts w:eastAsia="Calibri" w:cs="Arial"/>
          <w:bCs/>
          <w:i/>
          <w:sz w:val="18"/>
          <w:szCs w:val="18"/>
          <w:lang w:val="sl-SI"/>
        </w:rPr>
      </w:pPr>
      <w:r w:rsidRPr="005771BD">
        <w:rPr>
          <w:rFonts w:eastAsia="Calibri" w:cs="Arial"/>
          <w:bCs/>
          <w:i/>
          <w:sz w:val="18"/>
          <w:szCs w:val="18"/>
          <w:lang w:val="sl-SI"/>
        </w:rPr>
        <w:t>Vir: Agencija RS za okolje, Kazalci okolja v Sloveniji (GZ02-1 http://kazalci.arso.gov.si/?data=indicator&amp;ind_id=584)</w:t>
      </w:r>
    </w:p>
    <w:p w:rsidR="00AA0294" w:rsidRPr="005771BD" w:rsidRDefault="00AA0294" w:rsidP="00AA0294">
      <w:pPr>
        <w:spacing w:after="200" w:line="276" w:lineRule="auto"/>
        <w:jc w:val="both"/>
        <w:rPr>
          <w:rFonts w:eastAsia="Calibri" w:cs="Arial"/>
          <w:szCs w:val="20"/>
          <w:lang w:val="sl-SI"/>
        </w:rPr>
      </w:pPr>
      <w:r w:rsidRPr="007F272F">
        <w:rPr>
          <w:rFonts w:eastAsia="Calibri" w:cs="Arial"/>
          <w:noProof/>
          <w:szCs w:val="20"/>
          <w:lang w:val="sl-SI" w:eastAsia="sl-SI"/>
        </w:rPr>
        <w:drawing>
          <wp:inline distT="0" distB="0" distL="0" distR="0" wp14:anchorId="5E34125F" wp14:editId="0EB1A380">
            <wp:extent cx="5773420" cy="2993390"/>
            <wp:effectExtent l="0" t="0" r="0" b="0"/>
            <wp:docPr id="292" name="Slika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73420" cy="2993390"/>
                    </a:xfrm>
                    <a:prstGeom prst="rect">
                      <a:avLst/>
                    </a:prstGeom>
                    <a:noFill/>
                  </pic:spPr>
                </pic:pic>
              </a:graphicData>
            </a:graphic>
          </wp:inline>
        </w:drawing>
      </w:r>
    </w:p>
    <w:p w:rsidR="00AA0294" w:rsidRPr="005771BD" w:rsidRDefault="00AA0294" w:rsidP="00AA0294">
      <w:pPr>
        <w:spacing w:line="276" w:lineRule="auto"/>
        <w:jc w:val="both"/>
        <w:rPr>
          <w:rFonts w:eastAsia="Calibri" w:cs="Arial"/>
          <w:i/>
          <w:szCs w:val="20"/>
          <w:lang w:val="sl-SI"/>
        </w:rPr>
      </w:pPr>
      <w:r w:rsidRPr="005771BD">
        <w:rPr>
          <w:rFonts w:eastAsia="Calibri" w:cs="Arial"/>
          <w:i/>
          <w:szCs w:val="20"/>
          <w:lang w:val="sl-SI"/>
        </w:rPr>
        <w:t xml:space="preserve">Slika </w:t>
      </w:r>
      <w:r w:rsidR="0000410C">
        <w:rPr>
          <w:rFonts w:eastAsia="Calibri" w:cs="Arial"/>
          <w:i/>
          <w:szCs w:val="20"/>
          <w:lang w:val="sl-SI"/>
        </w:rPr>
        <w:t>5</w:t>
      </w:r>
      <w:r w:rsidRPr="005771BD">
        <w:rPr>
          <w:rFonts w:eastAsia="Calibri" w:cs="Arial"/>
          <w:i/>
          <w:szCs w:val="20"/>
          <w:lang w:val="sl-SI"/>
        </w:rPr>
        <w:t xml:space="preserve">.7: Odmrla lesna biomasa </w:t>
      </w:r>
    </w:p>
    <w:p w:rsidR="00AA0294" w:rsidRPr="005771BD" w:rsidRDefault="00AA0294" w:rsidP="00AA0294">
      <w:pPr>
        <w:spacing w:after="200" w:line="276" w:lineRule="auto"/>
        <w:jc w:val="both"/>
        <w:rPr>
          <w:rFonts w:eastAsia="Calibri" w:cs="Arial"/>
          <w:i/>
          <w:sz w:val="18"/>
          <w:szCs w:val="18"/>
          <w:lang w:val="sl-SI"/>
        </w:rPr>
      </w:pPr>
      <w:r w:rsidRPr="005771BD">
        <w:rPr>
          <w:rFonts w:eastAsia="Calibri" w:cs="Arial"/>
          <w:i/>
          <w:sz w:val="18"/>
          <w:szCs w:val="18"/>
          <w:lang w:val="sl-SI"/>
        </w:rPr>
        <w:t>Vir: Agencija RS za okolje, Kazalci okolja v Sloveniji (GZ06-1 http://kazalci.arso.gov.si/?data=indicator&amp;ind_id=359)</w:t>
      </w:r>
    </w:p>
    <w:p w:rsidR="00AA0294" w:rsidRPr="005771BD" w:rsidRDefault="00AA0294" w:rsidP="00AA0294">
      <w:pPr>
        <w:spacing w:after="200" w:line="276" w:lineRule="auto"/>
        <w:jc w:val="both"/>
        <w:rPr>
          <w:rFonts w:eastAsia="Calibri" w:cs="Arial"/>
          <w:szCs w:val="20"/>
          <w:lang w:val="sl-SI"/>
        </w:rPr>
      </w:pPr>
      <w:r w:rsidRPr="007F272F">
        <w:rPr>
          <w:rFonts w:eastAsia="Calibri" w:cs="Arial"/>
          <w:noProof/>
          <w:szCs w:val="20"/>
          <w:lang w:val="sl-SI" w:eastAsia="sl-SI"/>
        </w:rPr>
        <w:drawing>
          <wp:inline distT="0" distB="0" distL="0" distR="0" wp14:anchorId="4FDA28EF" wp14:editId="7F6144F1">
            <wp:extent cx="4729655" cy="3121141"/>
            <wp:effectExtent l="0" t="0" r="0" b="3175"/>
            <wp:docPr id="293" name="Slika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29655" cy="3121141"/>
                    </a:xfrm>
                    <a:prstGeom prst="rect">
                      <a:avLst/>
                    </a:prstGeom>
                    <a:noFill/>
                  </pic:spPr>
                </pic:pic>
              </a:graphicData>
            </a:graphic>
          </wp:inline>
        </w:drawing>
      </w:r>
    </w:p>
    <w:p w:rsidR="00AA0294" w:rsidRPr="005771BD" w:rsidRDefault="00AA0294" w:rsidP="00AA0294">
      <w:pPr>
        <w:spacing w:line="276" w:lineRule="auto"/>
        <w:jc w:val="both"/>
        <w:rPr>
          <w:rFonts w:eastAsia="Calibri" w:cs="Arial"/>
          <w:bCs/>
          <w:i/>
          <w:szCs w:val="20"/>
          <w:lang w:val="sl-SI"/>
        </w:rPr>
      </w:pPr>
      <w:r w:rsidRPr="005771BD">
        <w:rPr>
          <w:rFonts w:eastAsia="Calibri" w:cs="Arial"/>
          <w:i/>
          <w:szCs w:val="20"/>
          <w:lang w:val="sl-SI"/>
        </w:rPr>
        <w:t xml:space="preserve">Slika </w:t>
      </w:r>
      <w:r w:rsidR="0000410C">
        <w:rPr>
          <w:rFonts w:eastAsia="Calibri" w:cs="Arial"/>
          <w:i/>
          <w:szCs w:val="20"/>
          <w:lang w:val="sl-SI"/>
        </w:rPr>
        <w:t>5</w:t>
      </w:r>
      <w:r w:rsidRPr="005771BD">
        <w:rPr>
          <w:rFonts w:eastAsia="Calibri" w:cs="Arial"/>
          <w:i/>
          <w:szCs w:val="20"/>
          <w:lang w:val="sl-SI"/>
        </w:rPr>
        <w:t xml:space="preserve">.8: </w:t>
      </w:r>
      <w:r w:rsidRPr="005771BD">
        <w:rPr>
          <w:rFonts w:eastAsia="Calibri" w:cs="Arial"/>
          <w:bCs/>
          <w:i/>
          <w:szCs w:val="20"/>
          <w:lang w:val="sl-SI"/>
        </w:rPr>
        <w:t>Populacijsko gibanje srednjega detla (</w:t>
      </w:r>
      <w:r w:rsidRPr="005771BD">
        <w:rPr>
          <w:rFonts w:eastAsia="Calibri" w:cs="Arial"/>
          <w:bCs/>
          <w:i/>
          <w:iCs/>
          <w:szCs w:val="20"/>
          <w:lang w:val="sl-SI"/>
        </w:rPr>
        <w:t xml:space="preserve">Dendrocopus medius) </w:t>
      </w:r>
      <w:r w:rsidRPr="005771BD">
        <w:rPr>
          <w:rFonts w:eastAsia="Calibri" w:cs="Arial"/>
          <w:bCs/>
          <w:i/>
          <w:szCs w:val="20"/>
          <w:lang w:val="sl-SI"/>
        </w:rPr>
        <w:t xml:space="preserve">na območju Mure in Krakovskega gozda-Šentjernejskega polja </w:t>
      </w:r>
    </w:p>
    <w:p w:rsidR="00AA0294" w:rsidRPr="005771BD" w:rsidRDefault="00AA0294" w:rsidP="00AA0294">
      <w:pPr>
        <w:spacing w:after="200" w:line="276" w:lineRule="auto"/>
        <w:jc w:val="both"/>
        <w:rPr>
          <w:rFonts w:eastAsia="Calibri" w:cs="Arial"/>
          <w:bCs/>
          <w:i/>
          <w:szCs w:val="20"/>
          <w:lang w:val="sl-SI"/>
        </w:rPr>
      </w:pPr>
      <w:r w:rsidRPr="005771BD">
        <w:rPr>
          <w:rFonts w:eastAsia="Calibri" w:cs="Arial"/>
          <w:bCs/>
          <w:i/>
          <w:szCs w:val="20"/>
          <w:lang w:val="sl-SI"/>
        </w:rPr>
        <w:t>Vir: Agencija RS za okolje, Kazalci okolja v Sloveniji (NB01-5 http://kazalci.arso.gov.si/?data=indicator&amp;ind_id=788)</w:t>
      </w:r>
    </w:p>
    <w:p w:rsidR="00AA0294" w:rsidRPr="005771BD" w:rsidRDefault="00AA0294" w:rsidP="00AA0294">
      <w:pPr>
        <w:spacing w:line="276" w:lineRule="auto"/>
        <w:jc w:val="both"/>
        <w:rPr>
          <w:rFonts w:eastAsia="Calibri" w:cs="Arial"/>
          <w:b/>
          <w:i/>
          <w:szCs w:val="20"/>
          <w:lang w:val="sl-SI"/>
        </w:rPr>
      </w:pPr>
    </w:p>
    <w:p w:rsidR="00AA0294" w:rsidRPr="005771BD" w:rsidRDefault="00AA0294" w:rsidP="00AA0294">
      <w:pPr>
        <w:spacing w:after="200" w:line="276" w:lineRule="auto"/>
        <w:jc w:val="both"/>
        <w:rPr>
          <w:rFonts w:eastAsia="Calibri" w:cs="Arial"/>
          <w:b/>
          <w:i/>
          <w:szCs w:val="20"/>
          <w:u w:val="single"/>
          <w:lang w:val="sl-SI"/>
        </w:rPr>
      </w:pPr>
      <w:r w:rsidRPr="005771BD">
        <w:rPr>
          <w:rFonts w:eastAsia="Calibri" w:cs="Arial"/>
          <w:b/>
          <w:i/>
          <w:szCs w:val="20"/>
          <w:u w:val="single"/>
          <w:lang w:val="sl-SI"/>
        </w:rPr>
        <w:t>Vrste in habitatni tipi, pomembni na ravni EU</w:t>
      </w:r>
    </w:p>
    <w:p w:rsidR="00AA0294" w:rsidRPr="005771BD" w:rsidRDefault="00AA0294" w:rsidP="00AA0294">
      <w:pPr>
        <w:spacing w:after="200" w:line="276" w:lineRule="auto"/>
        <w:jc w:val="both"/>
        <w:rPr>
          <w:rFonts w:eastAsia="Calibri" w:cs="Arial"/>
          <w:szCs w:val="20"/>
          <w:lang w:val="sl-SI"/>
        </w:rPr>
      </w:pPr>
      <w:r w:rsidRPr="005771BD">
        <w:rPr>
          <w:rFonts w:eastAsia="Calibri" w:cs="Arial"/>
          <w:szCs w:val="20"/>
          <w:lang w:val="sl-SI"/>
        </w:rPr>
        <w:t xml:space="preserve">Eden od bistvenih ciljev evropske politike ohranjanja narave je zagotavljanje ugodnega stanja ohranjenosti evropsko ogroženih (pomembnih) vrst in habitatnih tipov. Njihovo stanje ohranjenosti je odvisno od ohranjanja obsega in stabilnosti njihovih naravnih območij, razširjenosti in površin, ki jih na tem območju pokrivajo, od (tudi v prihodnosti) posebnih struktur in nalog, potrebnih za njihovo dolgoročno ohranitev, in sposobnosti, da se sami dolgoročno ohranjajo. </w:t>
      </w:r>
    </w:p>
    <w:p w:rsidR="00AA0294" w:rsidRPr="005771BD" w:rsidRDefault="00AA0294" w:rsidP="00AA0294">
      <w:pPr>
        <w:spacing w:after="200" w:line="276" w:lineRule="auto"/>
        <w:jc w:val="both"/>
        <w:rPr>
          <w:rFonts w:eastAsia="Calibri" w:cs="Arial"/>
          <w:szCs w:val="20"/>
          <w:lang w:val="sl-SI"/>
        </w:rPr>
      </w:pPr>
      <w:r w:rsidRPr="005771BD">
        <w:rPr>
          <w:rFonts w:eastAsia="Calibri" w:cs="Arial"/>
          <w:szCs w:val="20"/>
          <w:lang w:val="sl-SI"/>
        </w:rPr>
        <w:t>Kazalca, ki kažeta to stanje v Sloveniji, sta stanje ohranjenosti evropsko pomembnih vrst in stanje ohranjenosti evropsko pomembnih habitatnih tipov. V Sloveniji stanje kaže tudi populacija medveda kot pomembne krovne vrste.</w:t>
      </w:r>
    </w:p>
    <w:p w:rsidR="00AA0294" w:rsidRPr="005771BD" w:rsidRDefault="00AA0294" w:rsidP="00AA0294">
      <w:pPr>
        <w:spacing w:after="200" w:line="276" w:lineRule="auto"/>
        <w:jc w:val="both"/>
        <w:rPr>
          <w:rFonts w:eastAsia="Calibri" w:cs="Arial"/>
          <w:szCs w:val="20"/>
          <w:lang w:val="sl-SI"/>
        </w:rPr>
      </w:pPr>
      <w:r w:rsidRPr="007F272F">
        <w:rPr>
          <w:rFonts w:eastAsia="Calibri" w:cs="Arial"/>
          <w:noProof/>
          <w:szCs w:val="20"/>
          <w:lang w:val="sl-SI" w:eastAsia="sl-SI"/>
        </w:rPr>
        <w:drawing>
          <wp:inline distT="0" distB="0" distL="0" distR="0" wp14:anchorId="519ED5E0" wp14:editId="557FC3AC">
            <wp:extent cx="5481313" cy="1140031"/>
            <wp:effectExtent l="0" t="0" r="5715" b="3175"/>
            <wp:docPr id="294" name="Slika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98895" cy="1143688"/>
                    </a:xfrm>
                    <a:prstGeom prst="rect">
                      <a:avLst/>
                    </a:prstGeom>
                    <a:noFill/>
                  </pic:spPr>
                </pic:pic>
              </a:graphicData>
            </a:graphic>
          </wp:inline>
        </w:drawing>
      </w:r>
    </w:p>
    <w:p w:rsidR="00AA0294" w:rsidRPr="005771BD" w:rsidRDefault="00AA0294" w:rsidP="00AA0294">
      <w:pPr>
        <w:spacing w:line="276" w:lineRule="auto"/>
        <w:jc w:val="both"/>
        <w:rPr>
          <w:rFonts w:eastAsia="Calibri" w:cs="Arial"/>
          <w:i/>
          <w:szCs w:val="20"/>
          <w:lang w:val="sl-SI"/>
        </w:rPr>
      </w:pPr>
      <w:r w:rsidRPr="005771BD">
        <w:rPr>
          <w:rFonts w:eastAsia="Calibri" w:cs="Arial"/>
          <w:i/>
          <w:szCs w:val="20"/>
          <w:lang w:val="sl-SI"/>
        </w:rPr>
        <w:t xml:space="preserve">Slika </w:t>
      </w:r>
      <w:r w:rsidR="0000410C">
        <w:rPr>
          <w:rFonts w:eastAsia="Calibri" w:cs="Arial"/>
          <w:i/>
          <w:szCs w:val="20"/>
          <w:lang w:val="sl-SI"/>
        </w:rPr>
        <w:t>5</w:t>
      </w:r>
      <w:r w:rsidRPr="005771BD">
        <w:rPr>
          <w:rFonts w:eastAsia="Calibri" w:cs="Arial"/>
          <w:i/>
          <w:szCs w:val="20"/>
          <w:lang w:val="sl-SI"/>
        </w:rPr>
        <w:t>.9: Kratkoročni in dolgoročni trend populacij evropsko pomembnih vrst ptic v Sloveniji</w:t>
      </w:r>
    </w:p>
    <w:p w:rsidR="00AA0294" w:rsidRPr="005771BD" w:rsidRDefault="00AA0294" w:rsidP="00AA0294">
      <w:pPr>
        <w:spacing w:after="200" w:line="276" w:lineRule="auto"/>
        <w:jc w:val="both"/>
        <w:rPr>
          <w:rFonts w:eastAsia="Calibri" w:cs="Arial"/>
          <w:i/>
          <w:sz w:val="18"/>
          <w:szCs w:val="18"/>
          <w:lang w:val="sl-SI"/>
        </w:rPr>
      </w:pPr>
      <w:r w:rsidRPr="005771BD">
        <w:rPr>
          <w:rFonts w:eastAsia="Calibri" w:cs="Arial"/>
          <w:i/>
          <w:sz w:val="18"/>
          <w:szCs w:val="18"/>
          <w:lang w:val="sl-SI"/>
        </w:rPr>
        <w:t>Vir: Agencija RS za okolje, Kazalci okolja v Sloveniji (NB11-5 http://kazalci.arso.gov.si/?data=indicator&amp;ind_id=785)</w:t>
      </w:r>
    </w:p>
    <w:p w:rsidR="00AA0294" w:rsidRPr="005771BD" w:rsidRDefault="00AA0294" w:rsidP="00AA0294">
      <w:pPr>
        <w:spacing w:after="200" w:line="276" w:lineRule="auto"/>
        <w:jc w:val="both"/>
        <w:rPr>
          <w:rFonts w:eastAsia="Calibri" w:cs="Arial"/>
          <w:szCs w:val="20"/>
          <w:lang w:val="sl-SI"/>
        </w:rPr>
      </w:pPr>
      <w:r w:rsidRPr="005771BD">
        <w:rPr>
          <w:rFonts w:eastAsia="Calibri" w:cs="Arial"/>
          <w:szCs w:val="20"/>
          <w:lang w:val="sl-SI"/>
        </w:rPr>
        <w:t>Ugodno stanje ohranjenosti v Sloveniji dosega slaba polovica habitatnih tipov. V slabšem stanju so zlasti sladkovodni, mokriščni, barjanski in traviščni habitatni tipi. Stanje ohranjenosti vrst v Sloveniji kaže, da je stanje ugodno le za dobro četrtino vrst, prav tako so neugodni tudi trendi. V letih 2007–2012 se je delež vrst z ugodnim stanjem ohranjenosti sicer povečal, vendar se je povečal tudi delež vrst s slabim stanjem ohranjenosti. Stanje populacije medveda je ocenjeno kot ugodno. Rjavi medved je življenjsko vezan na velika gozdna območja, ki so v Sloveniji predvsem visoki kraški gozdovi jelke in bukve, zato kazalec hkrati posredno odraža tudi ohranjenost te gozdne krajine, večinoma uvrščene v območje omrežja Natura 2000.</w:t>
      </w:r>
    </w:p>
    <w:p w:rsidR="00AA0294" w:rsidRPr="005771BD" w:rsidRDefault="00AA0294" w:rsidP="00AA0294">
      <w:pPr>
        <w:spacing w:after="200" w:line="276" w:lineRule="auto"/>
        <w:jc w:val="both"/>
        <w:rPr>
          <w:rFonts w:eastAsia="Calibri" w:cs="Arial"/>
          <w:szCs w:val="20"/>
          <w:lang w:val="sl-SI"/>
        </w:rPr>
      </w:pPr>
      <w:r w:rsidRPr="007F272F">
        <w:rPr>
          <w:rFonts w:eastAsia="Calibri" w:cs="Arial"/>
          <w:noProof/>
          <w:szCs w:val="20"/>
          <w:lang w:val="sl-SI" w:eastAsia="sl-SI"/>
        </w:rPr>
        <w:drawing>
          <wp:inline distT="0" distB="0" distL="0" distR="0" wp14:anchorId="21827A66" wp14:editId="259E5786">
            <wp:extent cx="5479225" cy="2757107"/>
            <wp:effectExtent l="0" t="0" r="7620" b="5715"/>
            <wp:docPr id="295" name="Slika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86941" cy="2760990"/>
                    </a:xfrm>
                    <a:prstGeom prst="rect">
                      <a:avLst/>
                    </a:prstGeom>
                    <a:noFill/>
                  </pic:spPr>
                </pic:pic>
              </a:graphicData>
            </a:graphic>
          </wp:inline>
        </w:drawing>
      </w:r>
    </w:p>
    <w:p w:rsidR="00AA0294" w:rsidRPr="005771BD" w:rsidRDefault="00AA0294" w:rsidP="00AA0294">
      <w:pPr>
        <w:spacing w:line="276" w:lineRule="auto"/>
        <w:jc w:val="both"/>
        <w:rPr>
          <w:rFonts w:eastAsia="Calibri" w:cs="Arial"/>
          <w:i/>
          <w:szCs w:val="20"/>
          <w:lang w:val="sl-SI"/>
        </w:rPr>
      </w:pPr>
      <w:r w:rsidRPr="005771BD">
        <w:rPr>
          <w:rFonts w:eastAsia="Calibri" w:cs="Arial"/>
          <w:i/>
          <w:szCs w:val="20"/>
          <w:lang w:val="sl-SI"/>
        </w:rPr>
        <w:t xml:space="preserve">Slika </w:t>
      </w:r>
      <w:r w:rsidR="0000410C">
        <w:rPr>
          <w:rFonts w:eastAsia="Calibri" w:cs="Arial"/>
          <w:i/>
          <w:szCs w:val="20"/>
          <w:lang w:val="sl-SI"/>
        </w:rPr>
        <w:t>5</w:t>
      </w:r>
      <w:r w:rsidRPr="005771BD">
        <w:rPr>
          <w:rFonts w:eastAsia="Calibri" w:cs="Arial"/>
          <w:i/>
          <w:szCs w:val="20"/>
          <w:lang w:val="sl-SI"/>
        </w:rPr>
        <w:t>.10: Stanje ohranjenosti vrst po taksonomskih skupinah</w:t>
      </w:r>
      <w:r w:rsidRPr="005771BD">
        <w:rPr>
          <w:rFonts w:eastAsia="Calibri" w:cs="Arial"/>
          <w:i/>
          <w:szCs w:val="20"/>
          <w:vertAlign w:val="superscript"/>
          <w:lang w:val="sl-SI"/>
        </w:rPr>
        <w:footnoteReference w:id="16"/>
      </w:r>
    </w:p>
    <w:p w:rsidR="00AA0294" w:rsidRPr="005771BD" w:rsidRDefault="00AA0294" w:rsidP="00AA0294">
      <w:pPr>
        <w:spacing w:after="200" w:line="276" w:lineRule="auto"/>
        <w:jc w:val="both"/>
        <w:rPr>
          <w:rFonts w:eastAsia="Calibri" w:cs="Arial"/>
          <w:i/>
          <w:sz w:val="18"/>
          <w:szCs w:val="18"/>
          <w:lang w:val="sl-SI"/>
        </w:rPr>
      </w:pPr>
      <w:r w:rsidRPr="005771BD">
        <w:rPr>
          <w:rFonts w:eastAsia="Calibri" w:cs="Arial"/>
          <w:i/>
          <w:sz w:val="18"/>
          <w:szCs w:val="18"/>
          <w:lang w:val="sl-SI"/>
        </w:rPr>
        <w:t>Vir: Agencija RS za okolje, Kazalci okolja v Sloveniji (NB11-1 http://kazalci.arso.gov.si/?data=indicator&amp;ind_id=785)</w:t>
      </w:r>
    </w:p>
    <w:p w:rsidR="00AA0294" w:rsidRPr="005771BD" w:rsidRDefault="00AA0294" w:rsidP="00AA0294">
      <w:pPr>
        <w:spacing w:after="200" w:line="276" w:lineRule="auto"/>
        <w:jc w:val="both"/>
        <w:rPr>
          <w:rFonts w:eastAsia="Calibri" w:cs="Arial"/>
          <w:szCs w:val="20"/>
          <w:lang w:val="sl-SI"/>
        </w:rPr>
      </w:pPr>
      <w:r w:rsidRPr="007F272F">
        <w:rPr>
          <w:rFonts w:eastAsia="Calibri" w:cs="Arial"/>
          <w:i/>
          <w:noProof/>
          <w:szCs w:val="20"/>
          <w:lang w:val="sl-SI" w:eastAsia="sl-SI"/>
        </w:rPr>
        <w:drawing>
          <wp:inline distT="0" distB="0" distL="0" distR="0" wp14:anchorId="4690798F" wp14:editId="2F944089">
            <wp:extent cx="5545776" cy="2637938"/>
            <wp:effectExtent l="0" t="0" r="0" b="0"/>
            <wp:docPr id="296" name="Slika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45776" cy="2637938"/>
                    </a:xfrm>
                    <a:prstGeom prst="rect">
                      <a:avLst/>
                    </a:prstGeom>
                    <a:noFill/>
                  </pic:spPr>
                </pic:pic>
              </a:graphicData>
            </a:graphic>
          </wp:inline>
        </w:drawing>
      </w:r>
    </w:p>
    <w:p w:rsidR="00AA0294" w:rsidRPr="005771BD" w:rsidRDefault="00AA0294" w:rsidP="00AA0294">
      <w:pPr>
        <w:spacing w:line="276" w:lineRule="auto"/>
        <w:jc w:val="both"/>
        <w:rPr>
          <w:rFonts w:eastAsia="Calibri" w:cs="Arial"/>
          <w:i/>
          <w:szCs w:val="20"/>
          <w:lang w:val="sl-SI"/>
        </w:rPr>
      </w:pPr>
      <w:r w:rsidRPr="005771BD">
        <w:rPr>
          <w:rFonts w:eastAsia="Calibri" w:cs="Arial"/>
          <w:i/>
          <w:szCs w:val="20"/>
          <w:lang w:val="sl-SI"/>
        </w:rPr>
        <w:t xml:space="preserve">Slika </w:t>
      </w:r>
      <w:r w:rsidR="0000410C">
        <w:rPr>
          <w:rFonts w:eastAsia="Calibri" w:cs="Arial"/>
          <w:i/>
          <w:szCs w:val="20"/>
          <w:lang w:val="sl-SI"/>
        </w:rPr>
        <w:t>5</w:t>
      </w:r>
      <w:r w:rsidRPr="005771BD">
        <w:rPr>
          <w:rFonts w:eastAsia="Calibri" w:cs="Arial"/>
          <w:i/>
          <w:szCs w:val="20"/>
          <w:lang w:val="sl-SI"/>
        </w:rPr>
        <w:t>.11: Stanje ohranjenosti habitatnih tipov po skupinah habitatnih tipov</w:t>
      </w:r>
      <w:r w:rsidRPr="005771BD">
        <w:rPr>
          <w:rFonts w:eastAsia="Calibri" w:cs="Arial"/>
          <w:i/>
          <w:szCs w:val="20"/>
          <w:vertAlign w:val="superscript"/>
          <w:lang w:val="sl-SI"/>
        </w:rPr>
        <w:footnoteReference w:id="17"/>
      </w:r>
      <w:r w:rsidRPr="005771BD">
        <w:rPr>
          <w:rFonts w:eastAsia="Calibri" w:cs="Arial"/>
          <w:i/>
          <w:szCs w:val="20"/>
          <w:lang w:val="sl-SI"/>
        </w:rPr>
        <w:t xml:space="preserve"> (Opomba: številki v oklepaju pomenita število habitatnih tipov v posamezni skupini.)</w:t>
      </w:r>
    </w:p>
    <w:p w:rsidR="00AA0294" w:rsidRPr="005771BD" w:rsidRDefault="00AA0294" w:rsidP="00AA0294">
      <w:pPr>
        <w:spacing w:after="200" w:line="276" w:lineRule="auto"/>
        <w:jc w:val="both"/>
        <w:rPr>
          <w:rFonts w:eastAsia="Calibri" w:cs="Arial"/>
          <w:i/>
          <w:sz w:val="18"/>
          <w:szCs w:val="18"/>
          <w:lang w:val="sl-SI"/>
        </w:rPr>
      </w:pPr>
      <w:r w:rsidRPr="005771BD">
        <w:rPr>
          <w:rFonts w:eastAsia="Calibri" w:cs="Arial"/>
          <w:i/>
          <w:sz w:val="18"/>
          <w:szCs w:val="18"/>
          <w:lang w:val="sl-SI"/>
        </w:rPr>
        <w:t>Vir: Agencija RS za okolje, Kazalci okolja v Sloveniji (NB12-1 http://kazalci.arso.gov.si/?data=indicator&amp;ind_id=786)</w:t>
      </w:r>
    </w:p>
    <w:p w:rsidR="00AA0294" w:rsidRPr="005771BD" w:rsidRDefault="00AA0294" w:rsidP="00AA0294">
      <w:pPr>
        <w:spacing w:after="200" w:line="276" w:lineRule="auto"/>
        <w:jc w:val="both"/>
        <w:rPr>
          <w:rFonts w:eastAsia="Calibri" w:cs="Arial"/>
          <w:szCs w:val="20"/>
          <w:lang w:val="sl-SI"/>
        </w:rPr>
      </w:pPr>
      <w:r w:rsidRPr="005771BD">
        <w:rPr>
          <w:rFonts w:eastAsia="Calibri" w:cs="Arial"/>
          <w:szCs w:val="20"/>
          <w:lang w:val="sl-SI"/>
        </w:rPr>
        <w:t>Evropska unija se je v Strategiji biotske raznovrstnosti v EU zavezala do leta 2020 doseči ugodno ali izboljšano stanje vrst za 50 % in habitatnih tipov za 100 % glede na stanje v 2010. Države članice k temu cilju prispevajo v skladu z lastnimi cilji, niso pa določene obveze za posamezne članice EU.</w:t>
      </w:r>
    </w:p>
    <w:p w:rsidR="00AA0294" w:rsidRPr="005771BD" w:rsidRDefault="00AA0294" w:rsidP="00AA0294">
      <w:pPr>
        <w:spacing w:after="200" w:line="276" w:lineRule="auto"/>
        <w:jc w:val="both"/>
        <w:rPr>
          <w:rFonts w:eastAsia="Calibri" w:cs="Arial"/>
          <w:noProof/>
          <w:szCs w:val="20"/>
          <w:lang w:val="sl-SI" w:eastAsia="sl-SI"/>
        </w:rPr>
      </w:pPr>
      <w:r w:rsidRPr="007F272F">
        <w:rPr>
          <w:rFonts w:eastAsia="Calibri" w:cs="Arial"/>
          <w:noProof/>
          <w:szCs w:val="20"/>
          <w:lang w:val="sl-SI" w:eastAsia="sl-SI"/>
        </w:rPr>
        <w:drawing>
          <wp:inline distT="0" distB="0" distL="0" distR="0" wp14:anchorId="657C9C96" wp14:editId="78901801">
            <wp:extent cx="5163820" cy="3157855"/>
            <wp:effectExtent l="0" t="0" r="0" b="4445"/>
            <wp:docPr id="297" name="Slika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63820" cy="3157855"/>
                    </a:xfrm>
                    <a:prstGeom prst="rect">
                      <a:avLst/>
                    </a:prstGeom>
                    <a:noFill/>
                  </pic:spPr>
                </pic:pic>
              </a:graphicData>
            </a:graphic>
          </wp:inline>
        </w:drawing>
      </w:r>
    </w:p>
    <w:p w:rsidR="00AA0294" w:rsidRPr="005771BD" w:rsidRDefault="00AA0294" w:rsidP="00AA0294">
      <w:pPr>
        <w:spacing w:line="276" w:lineRule="auto"/>
        <w:jc w:val="both"/>
        <w:rPr>
          <w:rFonts w:eastAsia="Calibri" w:cs="Arial"/>
          <w:i/>
          <w:szCs w:val="20"/>
          <w:lang w:val="sl-SI"/>
        </w:rPr>
      </w:pPr>
      <w:r w:rsidRPr="005771BD">
        <w:rPr>
          <w:rFonts w:eastAsia="Calibri" w:cs="Arial"/>
          <w:i/>
          <w:szCs w:val="20"/>
          <w:lang w:val="sl-SI"/>
        </w:rPr>
        <w:t xml:space="preserve">Slika </w:t>
      </w:r>
      <w:r w:rsidR="0000410C">
        <w:rPr>
          <w:rFonts w:eastAsia="Calibri" w:cs="Arial"/>
          <w:i/>
          <w:szCs w:val="20"/>
          <w:lang w:val="sl-SI"/>
        </w:rPr>
        <w:t>5</w:t>
      </w:r>
      <w:r w:rsidRPr="005771BD">
        <w:rPr>
          <w:rFonts w:eastAsia="Calibri" w:cs="Arial"/>
          <w:i/>
          <w:szCs w:val="20"/>
          <w:lang w:val="sl-SI"/>
        </w:rPr>
        <w:t xml:space="preserve">.12: Povprečno število opaženih medvedov na števno mesto </w:t>
      </w:r>
    </w:p>
    <w:p w:rsidR="00AA0294" w:rsidRPr="005771BD" w:rsidRDefault="00AA0294" w:rsidP="00AA0294">
      <w:pPr>
        <w:spacing w:after="200" w:line="276" w:lineRule="auto"/>
        <w:jc w:val="both"/>
        <w:rPr>
          <w:rFonts w:eastAsia="Calibri" w:cs="Arial"/>
          <w:i/>
          <w:szCs w:val="20"/>
          <w:lang w:val="sl-SI"/>
        </w:rPr>
      </w:pPr>
      <w:r w:rsidRPr="005771BD">
        <w:rPr>
          <w:rFonts w:eastAsia="Calibri" w:cs="Arial"/>
          <w:i/>
          <w:szCs w:val="20"/>
          <w:lang w:val="sl-SI"/>
        </w:rPr>
        <w:t>Vir: Agencija RS za okolje, Kazalci okolja v Sloveniji (NB06-5 http://kazalci.arso.gov.si/?data=indicator&amp;ind_id=764)</w:t>
      </w:r>
    </w:p>
    <w:p w:rsidR="00AA0294" w:rsidRPr="005771BD" w:rsidRDefault="00AA0294" w:rsidP="00AA0294">
      <w:pPr>
        <w:spacing w:after="200" w:line="276" w:lineRule="auto"/>
        <w:jc w:val="both"/>
        <w:rPr>
          <w:rFonts w:eastAsia="Calibri" w:cs="Arial"/>
          <w:b/>
          <w:bCs/>
          <w:szCs w:val="20"/>
          <w:lang w:val="sl-SI"/>
        </w:rPr>
      </w:pPr>
    </w:p>
    <w:p w:rsidR="00AA0294" w:rsidRPr="005771BD" w:rsidRDefault="0000410C" w:rsidP="00AA0294">
      <w:pPr>
        <w:spacing w:after="200" w:line="276" w:lineRule="auto"/>
        <w:jc w:val="both"/>
        <w:rPr>
          <w:rFonts w:eastAsia="Calibri" w:cs="Arial"/>
          <w:b/>
          <w:bCs/>
          <w:szCs w:val="20"/>
          <w:u w:val="single"/>
          <w:lang w:val="sl-SI"/>
        </w:rPr>
      </w:pPr>
      <w:r>
        <w:rPr>
          <w:rFonts w:eastAsia="Calibri" w:cs="Arial"/>
          <w:b/>
          <w:bCs/>
          <w:szCs w:val="20"/>
          <w:u w:val="single"/>
          <w:lang w:val="sl-SI"/>
        </w:rPr>
        <w:t>5</w:t>
      </w:r>
      <w:r w:rsidR="00AA0294" w:rsidRPr="005771BD">
        <w:rPr>
          <w:rFonts w:eastAsia="Calibri" w:cs="Arial"/>
          <w:b/>
          <w:bCs/>
          <w:szCs w:val="20"/>
          <w:u w:val="single"/>
          <w:lang w:val="sl-SI"/>
        </w:rPr>
        <w:t>.3 Povzročitelji in razlogi</w:t>
      </w:r>
    </w:p>
    <w:p w:rsidR="00AA0294" w:rsidRPr="005771BD" w:rsidRDefault="00AA0294" w:rsidP="00AA0294">
      <w:pPr>
        <w:spacing w:after="200" w:line="276" w:lineRule="auto"/>
        <w:jc w:val="both"/>
        <w:rPr>
          <w:rFonts w:eastAsia="Calibri" w:cs="Arial"/>
          <w:szCs w:val="20"/>
          <w:lang w:val="sl-SI"/>
        </w:rPr>
      </w:pPr>
      <w:r w:rsidRPr="005771BD">
        <w:rPr>
          <w:rFonts w:eastAsia="Calibri" w:cs="Arial"/>
          <w:szCs w:val="20"/>
          <w:lang w:val="sl-SI"/>
        </w:rPr>
        <w:t xml:space="preserve">Glavni </w:t>
      </w:r>
      <w:r w:rsidRPr="00D93DFE">
        <w:rPr>
          <w:rFonts w:eastAsia="Calibri" w:cs="Arial"/>
          <w:szCs w:val="20"/>
          <w:lang w:val="sl-SI"/>
        </w:rPr>
        <w:t>pritiski i</w:t>
      </w:r>
      <w:r w:rsidRPr="005771BD">
        <w:rPr>
          <w:rFonts w:eastAsia="Calibri" w:cs="Arial"/>
          <w:szCs w:val="20"/>
          <w:lang w:val="sl-SI"/>
        </w:rPr>
        <w:t xml:space="preserve">n gonilne sile za izginjanje vrst so </w:t>
      </w:r>
      <w:r>
        <w:rPr>
          <w:rFonts w:eastAsia="Calibri" w:cs="Arial"/>
          <w:szCs w:val="20"/>
          <w:lang w:val="sl-SI"/>
        </w:rPr>
        <w:t>večinoma</w:t>
      </w:r>
      <w:r w:rsidRPr="005771BD">
        <w:rPr>
          <w:rFonts w:eastAsia="Calibri" w:cs="Arial"/>
          <w:szCs w:val="20"/>
          <w:lang w:val="sl-SI"/>
        </w:rPr>
        <w:t xml:space="preserve"> povezani z zmanjševanjem raznovrstnosti ekosistemov, pomembnejši dejavniki pa so fragmentacija oziroma degradacija habitatov in njihovo uničevanje zaradi spremembe rabe tal (širjenje urbanih naselij, sprememb</w:t>
      </w:r>
      <w:r w:rsidR="00DE6DA9">
        <w:rPr>
          <w:rFonts w:eastAsia="Calibri" w:cs="Arial"/>
          <w:szCs w:val="20"/>
          <w:lang w:val="sl-SI"/>
        </w:rPr>
        <w:t>a namenske rabe prostora</w:t>
      </w:r>
      <w:r w:rsidRPr="005771BD">
        <w:rPr>
          <w:rFonts w:eastAsia="Calibri" w:cs="Arial"/>
          <w:szCs w:val="20"/>
          <w:lang w:val="sl-SI"/>
        </w:rPr>
        <w:t>, gradnja prometne in energetske infrastrukture, intenzifikacija kmetijstva), vnos invazivnih vrst, prekomerno izkoriščanje vrst (lov ali nabiranje) ter onesnaževanje okolja. Pogosto dejavniki delujejo povezano, zaradi česar so vzroki za izgubo biotske raznovrstnosti še težje določljivi. K tem pritiskom je treba dodati še vpliv podnebnih sprememb.</w:t>
      </w:r>
    </w:p>
    <w:p w:rsidR="00AA0294" w:rsidRPr="005771BD" w:rsidRDefault="00AA0294" w:rsidP="00AA0294">
      <w:pPr>
        <w:spacing w:after="200" w:line="276" w:lineRule="auto"/>
        <w:jc w:val="both"/>
        <w:rPr>
          <w:rFonts w:eastAsia="Calibri" w:cs="Arial"/>
          <w:noProof/>
          <w:szCs w:val="20"/>
          <w:lang w:val="sl-SI" w:eastAsia="sl-SI"/>
        </w:rPr>
      </w:pPr>
      <w:r w:rsidRPr="007F272F">
        <w:rPr>
          <w:rFonts w:eastAsia="Calibri" w:cs="Arial"/>
          <w:noProof/>
          <w:szCs w:val="20"/>
          <w:lang w:val="sl-SI" w:eastAsia="sl-SI"/>
        </w:rPr>
        <w:drawing>
          <wp:inline distT="0" distB="0" distL="0" distR="0" wp14:anchorId="4AF5E5AF" wp14:editId="56794610">
            <wp:extent cx="5139558" cy="2941736"/>
            <wp:effectExtent l="0" t="0" r="4445" b="0"/>
            <wp:docPr id="298" name="Slika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39032" cy="2941435"/>
                    </a:xfrm>
                    <a:prstGeom prst="rect">
                      <a:avLst/>
                    </a:prstGeom>
                    <a:noFill/>
                  </pic:spPr>
                </pic:pic>
              </a:graphicData>
            </a:graphic>
          </wp:inline>
        </w:drawing>
      </w:r>
    </w:p>
    <w:p w:rsidR="00AA0294" w:rsidRPr="005771BD" w:rsidRDefault="00AA0294" w:rsidP="00AA0294">
      <w:pPr>
        <w:spacing w:line="276" w:lineRule="auto"/>
        <w:jc w:val="both"/>
        <w:rPr>
          <w:rFonts w:eastAsia="Calibri" w:cs="Arial"/>
          <w:i/>
          <w:szCs w:val="20"/>
          <w:lang w:val="sl-SI"/>
        </w:rPr>
      </w:pPr>
      <w:r w:rsidRPr="005771BD">
        <w:rPr>
          <w:rFonts w:eastAsia="Calibri" w:cs="Arial"/>
          <w:i/>
          <w:szCs w:val="20"/>
          <w:lang w:val="sl-SI"/>
        </w:rPr>
        <w:t xml:space="preserve">Slika </w:t>
      </w:r>
      <w:r w:rsidR="0000410C">
        <w:rPr>
          <w:rFonts w:eastAsia="Calibri" w:cs="Arial"/>
          <w:i/>
          <w:szCs w:val="20"/>
          <w:lang w:val="sl-SI"/>
        </w:rPr>
        <w:t>5</w:t>
      </w:r>
      <w:r w:rsidRPr="005771BD">
        <w:rPr>
          <w:rFonts w:eastAsia="Calibri" w:cs="Arial"/>
          <w:i/>
          <w:szCs w:val="20"/>
          <w:lang w:val="sl-SI"/>
        </w:rPr>
        <w:t xml:space="preserve">.13: Evidentirani pritiski in grožnje za evropsko pomembne vrste v Sloveniji </w:t>
      </w:r>
    </w:p>
    <w:p w:rsidR="00AA0294" w:rsidRPr="005771BD" w:rsidRDefault="00AA0294" w:rsidP="00AA0294">
      <w:pPr>
        <w:spacing w:after="200" w:line="276" w:lineRule="auto"/>
        <w:jc w:val="both"/>
        <w:rPr>
          <w:rFonts w:eastAsia="Calibri" w:cs="Arial"/>
          <w:i/>
          <w:sz w:val="18"/>
          <w:szCs w:val="18"/>
          <w:u w:val="single"/>
          <w:lang w:val="sl-SI"/>
        </w:rPr>
      </w:pPr>
      <w:r w:rsidRPr="005771BD">
        <w:rPr>
          <w:rFonts w:eastAsia="Calibri" w:cs="Arial"/>
          <w:i/>
          <w:sz w:val="18"/>
          <w:szCs w:val="18"/>
          <w:lang w:val="sl-SI"/>
        </w:rPr>
        <w:t>Vir: Agencija RS za okolje, Kazalci okolja v Sloveniji (NB11-3 http://kazalci.arso.gov.si/?data=indicator&amp;ind_id=785)</w:t>
      </w:r>
    </w:p>
    <w:p w:rsidR="00AA0294" w:rsidRPr="005771BD" w:rsidRDefault="00AA0294" w:rsidP="00AA0294">
      <w:pPr>
        <w:spacing w:after="200" w:line="276" w:lineRule="auto"/>
        <w:jc w:val="both"/>
        <w:rPr>
          <w:rFonts w:eastAsia="Calibri" w:cs="Arial"/>
          <w:b/>
          <w:szCs w:val="20"/>
          <w:lang w:val="sl-SI"/>
        </w:rPr>
      </w:pPr>
      <w:r w:rsidRPr="007F272F">
        <w:rPr>
          <w:rFonts w:eastAsia="Calibri" w:cs="Arial"/>
          <w:b/>
          <w:noProof/>
          <w:szCs w:val="20"/>
          <w:lang w:val="sl-SI" w:eastAsia="sl-SI"/>
        </w:rPr>
        <w:drawing>
          <wp:inline distT="0" distB="0" distL="0" distR="0" wp14:anchorId="0581A557" wp14:editId="59B09FB2">
            <wp:extent cx="5139558" cy="2604826"/>
            <wp:effectExtent l="0" t="0" r="4445" b="5080"/>
            <wp:docPr id="299" name="Slika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42445" cy="2606289"/>
                    </a:xfrm>
                    <a:prstGeom prst="rect">
                      <a:avLst/>
                    </a:prstGeom>
                    <a:noFill/>
                  </pic:spPr>
                </pic:pic>
              </a:graphicData>
            </a:graphic>
          </wp:inline>
        </w:drawing>
      </w:r>
    </w:p>
    <w:p w:rsidR="00AA0294" w:rsidRPr="005771BD" w:rsidRDefault="00AA0294" w:rsidP="00AA0294">
      <w:pPr>
        <w:spacing w:line="276" w:lineRule="auto"/>
        <w:jc w:val="both"/>
        <w:rPr>
          <w:rFonts w:eastAsia="Calibri" w:cs="Arial"/>
          <w:i/>
          <w:szCs w:val="20"/>
          <w:lang w:val="sl-SI"/>
        </w:rPr>
      </w:pPr>
      <w:r w:rsidRPr="005771BD">
        <w:rPr>
          <w:rFonts w:eastAsia="Calibri" w:cs="Arial"/>
          <w:i/>
          <w:szCs w:val="20"/>
          <w:lang w:val="sl-SI"/>
        </w:rPr>
        <w:t xml:space="preserve">Slika </w:t>
      </w:r>
      <w:r w:rsidR="0000410C">
        <w:rPr>
          <w:rFonts w:eastAsia="Calibri" w:cs="Arial"/>
          <w:i/>
          <w:szCs w:val="20"/>
          <w:lang w:val="sl-SI"/>
        </w:rPr>
        <w:t>5</w:t>
      </w:r>
      <w:r w:rsidRPr="005771BD">
        <w:rPr>
          <w:rFonts w:eastAsia="Calibri" w:cs="Arial"/>
          <w:i/>
          <w:szCs w:val="20"/>
          <w:lang w:val="sl-SI"/>
        </w:rPr>
        <w:t xml:space="preserve">.14: Evidentirani pritiski in grožnje za evropsko pomembne habitatne tipe v Sloveniji </w:t>
      </w:r>
    </w:p>
    <w:p w:rsidR="00AA0294" w:rsidRPr="005771BD" w:rsidRDefault="00AA0294" w:rsidP="00AA0294">
      <w:pPr>
        <w:spacing w:after="200" w:line="276" w:lineRule="auto"/>
        <w:jc w:val="both"/>
        <w:rPr>
          <w:rFonts w:eastAsia="Calibri" w:cs="Arial"/>
          <w:i/>
          <w:sz w:val="18"/>
          <w:szCs w:val="18"/>
          <w:u w:val="single"/>
          <w:lang w:val="sl-SI"/>
        </w:rPr>
      </w:pPr>
      <w:r w:rsidRPr="005771BD">
        <w:rPr>
          <w:rFonts w:eastAsia="Calibri" w:cs="Arial"/>
          <w:i/>
          <w:sz w:val="18"/>
          <w:szCs w:val="18"/>
          <w:lang w:val="sl-SI"/>
        </w:rPr>
        <w:t>Vir: Agencija RS za okolje, Kazalci okolja v Sloveniji (NB12-3 http://kazalci.arso.gov.si/?data=indicator&amp;ind_id=786)</w:t>
      </w:r>
    </w:p>
    <w:p w:rsidR="00AA0294" w:rsidRPr="005771BD" w:rsidRDefault="00AA0294" w:rsidP="00AA0294">
      <w:pPr>
        <w:spacing w:after="200" w:line="276" w:lineRule="auto"/>
        <w:jc w:val="both"/>
        <w:rPr>
          <w:rFonts w:eastAsia="Calibri" w:cs="Arial"/>
          <w:i/>
          <w:iCs/>
          <w:szCs w:val="20"/>
          <w:u w:val="single"/>
          <w:lang w:val="sl-SI"/>
        </w:rPr>
      </w:pPr>
      <w:r w:rsidRPr="005771BD">
        <w:rPr>
          <w:rFonts w:eastAsia="Calibri" w:cs="Arial"/>
          <w:i/>
          <w:iCs/>
          <w:szCs w:val="20"/>
          <w:u w:val="single"/>
          <w:lang w:val="sl-SI"/>
        </w:rPr>
        <w:t>Sprememba tal z nepovratnim uničenjem, urbanizacija in industrializacija</w:t>
      </w:r>
    </w:p>
    <w:p w:rsidR="00AA0294" w:rsidRPr="005771BD" w:rsidRDefault="00AA0294" w:rsidP="00AA0294">
      <w:pPr>
        <w:spacing w:after="200" w:line="276" w:lineRule="auto"/>
        <w:jc w:val="both"/>
        <w:rPr>
          <w:rFonts w:eastAsia="Calibri" w:cs="Arial"/>
          <w:szCs w:val="20"/>
          <w:lang w:val="sl-SI"/>
        </w:rPr>
      </w:pPr>
      <w:r w:rsidRPr="005771BD">
        <w:rPr>
          <w:rFonts w:eastAsia="Calibri" w:cs="Arial"/>
          <w:i/>
          <w:szCs w:val="20"/>
          <w:lang w:val="sl-SI"/>
        </w:rPr>
        <w:t>Sprememba tal</w:t>
      </w:r>
      <w:r w:rsidRPr="005771BD">
        <w:rPr>
          <w:rFonts w:eastAsia="Calibri" w:cs="Arial"/>
          <w:szCs w:val="20"/>
          <w:lang w:val="sl-SI"/>
        </w:rPr>
        <w:t xml:space="preserve"> z nepovratnim uničenjem (pozidava) se je v Sloveniji nadaljevala tudi v zadnjem obdobju. Natančnih podatkov ni, različne ocene pa se gibljejo od nekaj deset do nekaj tisoč ha letno. Več kot polovica uničenih površin so kmetijska zemljišča. V nižinah Slovenije in bliže urbanih središč so to praviloma intenzivne kmetijske površine.</w:t>
      </w:r>
    </w:p>
    <w:p w:rsidR="00AA0294" w:rsidRPr="005771BD" w:rsidRDefault="00AA0294" w:rsidP="00AA0294">
      <w:pPr>
        <w:spacing w:after="200" w:line="276" w:lineRule="auto"/>
        <w:jc w:val="both"/>
        <w:rPr>
          <w:rFonts w:eastAsia="Calibri" w:cs="Arial"/>
          <w:i/>
          <w:iCs/>
          <w:szCs w:val="20"/>
          <w:lang w:val="sl-SI"/>
        </w:rPr>
      </w:pPr>
      <w:r w:rsidRPr="005771BD">
        <w:rPr>
          <w:rFonts w:eastAsia="Calibri" w:cs="Arial"/>
          <w:iCs/>
          <w:szCs w:val="20"/>
          <w:lang w:val="sl-SI"/>
        </w:rPr>
        <w:t>Obseg urbanizacije in industrializacije</w:t>
      </w:r>
      <w:r w:rsidRPr="005771BD">
        <w:rPr>
          <w:rFonts w:eastAsia="Calibri" w:cs="Arial"/>
          <w:i/>
          <w:iCs/>
          <w:szCs w:val="20"/>
          <w:lang w:val="sl-SI"/>
        </w:rPr>
        <w:t xml:space="preserve"> </w:t>
      </w:r>
      <w:r w:rsidRPr="005771BD">
        <w:rPr>
          <w:rFonts w:eastAsia="Calibri" w:cs="Arial"/>
          <w:iCs/>
          <w:szCs w:val="20"/>
          <w:lang w:val="sl-SI"/>
        </w:rPr>
        <w:t>je v primerih, ko se izvaja na nepozidanih stavbnih zemljiščih izven naselij in starih industrijskih con, velik povzročitelj izgube habitata in njegove fragmentacije. Natančnih podatkov o obsegu urbaniziranih in industrializiranih površin po posameznih letih ni. Obseg zahtev po pozidavi se je (glede na število postopkov) povečeval do leta 2008, nato se je v 2009 zmanjšal, od takrat pa se zopet povečuje. Velik del spremembe tal z nepovratnim uničenjem je v zadnjem desetletju v Sloveniji mogoče pripisati urbanizaciji in industrializaciji, ki pomenita</w:t>
      </w:r>
      <w:r>
        <w:rPr>
          <w:rFonts w:eastAsia="Calibri" w:cs="Arial"/>
          <w:iCs/>
          <w:szCs w:val="20"/>
          <w:lang w:val="sl-SI"/>
        </w:rPr>
        <w:t xml:space="preserve"> </w:t>
      </w:r>
      <w:r w:rsidRPr="005771BD">
        <w:rPr>
          <w:rFonts w:eastAsia="Calibri" w:cs="Arial"/>
          <w:iCs/>
          <w:szCs w:val="20"/>
          <w:lang w:val="sl-SI"/>
        </w:rPr>
        <w:t>velik</w:t>
      </w:r>
      <w:r>
        <w:rPr>
          <w:rFonts w:eastAsia="Calibri" w:cs="Arial"/>
          <w:iCs/>
          <w:szCs w:val="20"/>
          <w:lang w:val="sl-SI"/>
        </w:rPr>
        <w:t>o</w:t>
      </w:r>
      <w:r w:rsidRPr="005771BD">
        <w:rPr>
          <w:rFonts w:eastAsia="Calibri" w:cs="Arial"/>
          <w:iCs/>
          <w:szCs w:val="20"/>
          <w:lang w:val="sl-SI"/>
        </w:rPr>
        <w:t xml:space="preserve"> </w:t>
      </w:r>
      <w:r>
        <w:rPr>
          <w:rFonts w:eastAsia="Calibri" w:cs="Arial"/>
          <w:iCs/>
          <w:szCs w:val="20"/>
          <w:lang w:val="sl-SI"/>
        </w:rPr>
        <w:t>dodatno</w:t>
      </w:r>
      <w:r w:rsidRPr="005771BD">
        <w:rPr>
          <w:rFonts w:eastAsia="Calibri" w:cs="Arial"/>
          <w:iCs/>
          <w:szCs w:val="20"/>
          <w:lang w:val="sl-SI"/>
        </w:rPr>
        <w:t xml:space="preserve"> </w:t>
      </w:r>
      <w:r>
        <w:rPr>
          <w:rFonts w:eastAsia="Calibri" w:cs="Arial"/>
          <w:iCs/>
          <w:szCs w:val="20"/>
          <w:lang w:val="sl-SI"/>
        </w:rPr>
        <w:t>obremenitev</w:t>
      </w:r>
      <w:r w:rsidRPr="005771BD">
        <w:rPr>
          <w:rFonts w:eastAsia="Calibri" w:cs="Arial"/>
          <w:iCs/>
          <w:szCs w:val="20"/>
          <w:lang w:val="sl-SI"/>
        </w:rPr>
        <w:t xml:space="preserve"> tam, kjer zahtevata dodatno zagotavljanje protipoplavne varnosti in s tem obsežno antropogeno spreminjanje vodnih ekosistemov.</w:t>
      </w:r>
    </w:p>
    <w:p w:rsidR="00AA0294" w:rsidRPr="005771BD" w:rsidRDefault="00AA0294" w:rsidP="00AA0294">
      <w:pPr>
        <w:spacing w:after="200" w:line="276" w:lineRule="auto"/>
        <w:jc w:val="both"/>
        <w:rPr>
          <w:rFonts w:eastAsia="Calibri" w:cs="Arial"/>
          <w:i/>
          <w:iCs/>
          <w:szCs w:val="20"/>
          <w:u w:val="single"/>
          <w:lang w:val="sl-SI"/>
        </w:rPr>
      </w:pPr>
      <w:r w:rsidRPr="005771BD">
        <w:rPr>
          <w:rFonts w:eastAsia="Calibri" w:cs="Arial"/>
          <w:i/>
          <w:iCs/>
          <w:szCs w:val="20"/>
          <w:u w:val="single"/>
          <w:lang w:val="sl-SI"/>
        </w:rPr>
        <w:t>Obseg cestnega prometa</w:t>
      </w:r>
    </w:p>
    <w:p w:rsidR="00AA0294" w:rsidRPr="005771BD" w:rsidRDefault="00AA0294" w:rsidP="00AA0294">
      <w:pPr>
        <w:spacing w:after="200" w:line="276" w:lineRule="auto"/>
        <w:jc w:val="both"/>
        <w:rPr>
          <w:rFonts w:eastAsia="Calibri" w:cs="Arial"/>
          <w:i/>
          <w:szCs w:val="20"/>
          <w:lang w:val="sl-SI"/>
        </w:rPr>
      </w:pPr>
      <w:r w:rsidRPr="005771BD">
        <w:rPr>
          <w:rFonts w:eastAsia="Calibri" w:cs="Arial"/>
          <w:iCs/>
          <w:szCs w:val="20"/>
          <w:lang w:val="sl-SI"/>
        </w:rPr>
        <w:t>Obseg cestnega prometa z gradnjo novih cest povzroča izgubo habitata in njegovo fragmentacijo. Prav tako v določenih primerih vpliva na povečano smrtnost ogroženih živalskih vrst. Obseg prometa se je (glede na porabo goriv/energije) povečeval do leta 2008, nato se je v 2009 zmanjšal, od takrat pa se zopet povečuje. Nadaljnji velik del spremembe tal z nepovratnim uničenjem je mogoče pripisati povečevanju obsega cest, vendar je bil</w:t>
      </w:r>
      <w:r>
        <w:rPr>
          <w:rFonts w:eastAsia="Calibri" w:cs="Arial"/>
          <w:iCs/>
          <w:szCs w:val="20"/>
          <w:lang w:val="sl-SI"/>
        </w:rPr>
        <w:t>a</w:t>
      </w:r>
      <w:r w:rsidRPr="005771BD">
        <w:rPr>
          <w:rFonts w:eastAsia="Calibri" w:cs="Arial"/>
          <w:iCs/>
          <w:szCs w:val="20"/>
          <w:lang w:val="sl-SI"/>
        </w:rPr>
        <w:t xml:space="preserve"> ta </w:t>
      </w:r>
      <w:r>
        <w:rPr>
          <w:rFonts w:eastAsia="Calibri" w:cs="Arial"/>
          <w:iCs/>
          <w:szCs w:val="20"/>
          <w:lang w:val="sl-SI"/>
        </w:rPr>
        <w:t>obremenitev</w:t>
      </w:r>
      <w:r w:rsidRPr="005771BD">
        <w:rPr>
          <w:rFonts w:eastAsia="Calibri" w:cs="Arial"/>
          <w:iCs/>
          <w:szCs w:val="20"/>
          <w:lang w:val="sl-SI"/>
        </w:rPr>
        <w:t xml:space="preserve"> večj</w:t>
      </w:r>
      <w:r>
        <w:rPr>
          <w:rFonts w:eastAsia="Calibri" w:cs="Arial"/>
          <w:iCs/>
          <w:szCs w:val="20"/>
          <w:lang w:val="sl-SI"/>
        </w:rPr>
        <w:t>a</w:t>
      </w:r>
      <w:r w:rsidRPr="005771BD">
        <w:rPr>
          <w:rFonts w:eastAsia="Calibri" w:cs="Arial"/>
          <w:iCs/>
          <w:szCs w:val="20"/>
          <w:lang w:val="sl-SI"/>
        </w:rPr>
        <w:t xml:space="preserve"> pred obdobjem, ki ga zajema to poročilo. </w:t>
      </w:r>
    </w:p>
    <w:p w:rsidR="00AA0294" w:rsidRPr="005771BD" w:rsidRDefault="00AA0294" w:rsidP="00AA0294">
      <w:pPr>
        <w:spacing w:after="200" w:line="276" w:lineRule="auto"/>
        <w:jc w:val="both"/>
        <w:rPr>
          <w:rFonts w:eastAsia="Calibri" w:cs="Arial"/>
          <w:i/>
          <w:iCs/>
          <w:szCs w:val="20"/>
          <w:u w:val="single"/>
          <w:lang w:val="sl-SI"/>
        </w:rPr>
      </w:pPr>
      <w:r w:rsidRPr="005771BD">
        <w:rPr>
          <w:rFonts w:eastAsia="Calibri" w:cs="Arial"/>
          <w:i/>
          <w:iCs/>
          <w:szCs w:val="20"/>
          <w:u w:val="single"/>
          <w:lang w:val="sl-SI"/>
        </w:rPr>
        <w:t>Intenzivnost kmetijstva</w:t>
      </w:r>
    </w:p>
    <w:p w:rsidR="00DE6DA9" w:rsidRPr="00993FB7" w:rsidRDefault="00DE6DA9" w:rsidP="00DE6DA9">
      <w:pPr>
        <w:spacing w:after="200" w:line="276" w:lineRule="auto"/>
        <w:jc w:val="both"/>
        <w:rPr>
          <w:rFonts w:eastAsia="Calibri" w:cs="Arial"/>
          <w:iCs/>
          <w:szCs w:val="20"/>
          <w:lang w:val="sl-SI"/>
        </w:rPr>
      </w:pPr>
      <w:r w:rsidRPr="00993FB7">
        <w:rPr>
          <w:rFonts w:eastAsia="Calibri" w:cs="Arial"/>
          <w:iCs/>
          <w:szCs w:val="20"/>
          <w:lang w:val="sl-SI"/>
        </w:rPr>
        <w:t>Intenzivnost kmetijstva se v Sloveniji ohranja. Sprememba rabe kmetijskih površin (SURS) kaže, da se izgubljene (pozidane) njive nadomešča, zato je upad obsega njiv majhen, največji pa je upad obsega travnikov. Travniki so od kmetijske krajine daleč najpomembnejši za ohranjanje biotske raznovrstnosti, zato upad obsega travnikov</w:t>
      </w:r>
      <w:r>
        <w:rPr>
          <w:rFonts w:eastAsia="Calibri" w:cs="Arial"/>
          <w:iCs/>
          <w:szCs w:val="20"/>
          <w:lang w:val="sl-SI"/>
        </w:rPr>
        <w:t>, katerih gonilna sila so</w:t>
      </w:r>
      <w:r>
        <w:t xml:space="preserve"> pozidava, infrastrukturni projekti ter širjenje obrtnih in poslovnih con</w:t>
      </w:r>
      <w:r w:rsidRPr="00993FB7">
        <w:rPr>
          <w:rFonts w:eastAsia="Calibri" w:cs="Arial"/>
          <w:iCs/>
          <w:szCs w:val="20"/>
          <w:lang w:val="sl-SI"/>
        </w:rPr>
        <w:t xml:space="preserve"> v veliki meri negativno vplivata na evropsko pomembne vrste in habitatne tipe.</w:t>
      </w:r>
      <w:r>
        <w:rPr>
          <w:rFonts w:eastAsia="Calibri" w:cs="Arial"/>
          <w:iCs/>
          <w:szCs w:val="20"/>
          <w:lang w:val="sl-SI"/>
        </w:rPr>
        <w:t xml:space="preserve"> Svoj prispevek </w:t>
      </w:r>
      <w:r w:rsidR="00B05C4D">
        <w:rPr>
          <w:rFonts w:eastAsia="Calibri" w:cs="Arial"/>
          <w:iCs/>
          <w:szCs w:val="20"/>
          <w:lang w:val="sl-SI"/>
        </w:rPr>
        <w:t>k temu ne</w:t>
      </w:r>
      <w:r>
        <w:rPr>
          <w:rFonts w:eastAsia="Calibri" w:cs="Arial"/>
          <w:iCs/>
          <w:szCs w:val="20"/>
          <w:lang w:val="sl-SI"/>
        </w:rPr>
        <w:t>g</w:t>
      </w:r>
      <w:r w:rsidR="00B05C4D">
        <w:rPr>
          <w:rFonts w:eastAsia="Calibri" w:cs="Arial"/>
          <w:iCs/>
          <w:szCs w:val="20"/>
          <w:lang w:val="sl-SI"/>
        </w:rPr>
        <w:t>a</w:t>
      </w:r>
      <w:r>
        <w:rPr>
          <w:rFonts w:eastAsia="Calibri" w:cs="Arial"/>
          <w:iCs/>
          <w:szCs w:val="20"/>
          <w:lang w:val="sl-SI"/>
        </w:rPr>
        <w:t>tivnemu vplivu prispeva tudi večanje hektarskega donosa na travnikih in stranske posledice večanja hektarskega donosa njiv in sadovnjakov (več ostankov hranil in pesticidov).</w:t>
      </w:r>
    </w:p>
    <w:p w:rsidR="00AA0294" w:rsidRPr="005771BD" w:rsidRDefault="00AA0294" w:rsidP="00AA0294">
      <w:pPr>
        <w:spacing w:after="200" w:line="276" w:lineRule="auto"/>
        <w:jc w:val="both"/>
        <w:rPr>
          <w:rFonts w:eastAsia="Calibri" w:cs="Arial"/>
          <w:iCs/>
          <w:szCs w:val="20"/>
          <w:lang w:val="sl-SI"/>
        </w:rPr>
      </w:pPr>
      <w:r w:rsidRPr="005771BD">
        <w:rPr>
          <w:rFonts w:eastAsia="Calibri" w:cs="Arial"/>
          <w:iCs/>
          <w:szCs w:val="20"/>
          <w:lang w:val="sl-SI"/>
        </w:rPr>
        <w:t>Bilanca dušika (</w:t>
      </w:r>
      <w:r w:rsidRPr="005771BD">
        <w:rPr>
          <w:rFonts w:eastAsia="Calibri" w:cs="Arial"/>
          <w:szCs w:val="20"/>
          <w:lang w:val="sl-SI"/>
        </w:rPr>
        <w:t xml:space="preserve">razlika med vnosom in odvzemom dušika s kmetijskih zemljišč) je posredni splošni kazalnik intenzivnosti kmetijstva ter pokazatelj </w:t>
      </w:r>
      <w:r>
        <w:rPr>
          <w:rFonts w:eastAsia="Calibri" w:cs="Arial"/>
          <w:szCs w:val="20"/>
          <w:lang w:val="sl-SI"/>
        </w:rPr>
        <w:t>obremenitve</w:t>
      </w:r>
      <w:r w:rsidRPr="005771BD">
        <w:rPr>
          <w:rFonts w:eastAsia="Calibri" w:cs="Arial"/>
          <w:szCs w:val="20"/>
          <w:lang w:val="sl-SI"/>
        </w:rPr>
        <w:t xml:space="preserve"> zlasti </w:t>
      </w:r>
      <w:r>
        <w:rPr>
          <w:rFonts w:eastAsia="Calibri" w:cs="Arial"/>
          <w:szCs w:val="20"/>
          <w:lang w:val="sl-SI"/>
        </w:rPr>
        <w:t>za</w:t>
      </w:r>
      <w:r w:rsidRPr="005771BD">
        <w:rPr>
          <w:rFonts w:eastAsia="Calibri" w:cs="Arial"/>
          <w:szCs w:val="20"/>
          <w:lang w:val="sl-SI"/>
        </w:rPr>
        <w:t xml:space="preserve"> travnike, ki so biotsko zelo raznovrstni zaradi mineralno revnih tal. Bilanca dušika je v obdobju, ki ga zajema to poročilo, nižja kot je bila npr. ob koncu 90-tih let, ostaja pa z nihanji v tem obdobju  na enaki ravni. </w:t>
      </w:r>
      <w:r w:rsidRPr="005771BD">
        <w:rPr>
          <w:rFonts w:eastAsia="Calibri" w:cs="Arial"/>
          <w:iCs/>
          <w:szCs w:val="20"/>
          <w:lang w:val="sl-SI"/>
        </w:rPr>
        <w:t xml:space="preserve">Poraba mineralnih gnojil je od leta 2010 enaka (podatki SURS).    </w:t>
      </w:r>
    </w:p>
    <w:p w:rsidR="00AA0294" w:rsidRPr="005771BD" w:rsidRDefault="00AA0294" w:rsidP="00AA0294">
      <w:pPr>
        <w:spacing w:after="200" w:line="276" w:lineRule="auto"/>
        <w:jc w:val="both"/>
        <w:rPr>
          <w:rFonts w:eastAsia="Calibri" w:cs="Arial"/>
          <w:iCs/>
          <w:szCs w:val="20"/>
          <w:lang w:val="sl-SI"/>
        </w:rPr>
      </w:pPr>
      <w:r w:rsidRPr="005771BD">
        <w:rPr>
          <w:rFonts w:eastAsia="Calibri" w:cs="Arial"/>
          <w:iCs/>
          <w:szCs w:val="20"/>
          <w:lang w:val="sl-SI"/>
        </w:rPr>
        <w:t>Hektarski donos pomembnejših kmetijskih kultur od leta 2010 sicer niha, vendar se povečuje pri nekaterih z vidika negativnega vpliva na biotsko raznovrstnost pomembnejših kulturah (npr. koruza). To posredno kaže na povečevanje pritiska na ohranjanj</w:t>
      </w:r>
      <w:r>
        <w:rPr>
          <w:rFonts w:eastAsia="Calibri" w:cs="Arial"/>
          <w:iCs/>
          <w:szCs w:val="20"/>
          <w:lang w:val="sl-SI"/>
        </w:rPr>
        <w:t>e</w:t>
      </w:r>
      <w:r w:rsidRPr="005771BD">
        <w:rPr>
          <w:rFonts w:eastAsia="Calibri" w:cs="Arial"/>
          <w:iCs/>
          <w:szCs w:val="20"/>
          <w:lang w:val="sl-SI"/>
        </w:rPr>
        <w:t xml:space="preserve"> biotske raznovrstnosti.</w:t>
      </w:r>
    </w:p>
    <w:p w:rsidR="00AA0294" w:rsidRPr="005771BD" w:rsidRDefault="00AA0294" w:rsidP="00AA0294">
      <w:pPr>
        <w:spacing w:after="200" w:line="276" w:lineRule="auto"/>
        <w:jc w:val="both"/>
        <w:rPr>
          <w:rFonts w:eastAsia="Calibri" w:cs="Arial"/>
          <w:i/>
          <w:szCs w:val="20"/>
          <w:u w:val="single"/>
          <w:lang w:val="sl-SI"/>
        </w:rPr>
      </w:pPr>
      <w:r w:rsidRPr="005771BD">
        <w:rPr>
          <w:rFonts w:eastAsia="Calibri" w:cs="Arial"/>
          <w:i/>
          <w:iCs/>
          <w:szCs w:val="20"/>
          <w:u w:val="single"/>
          <w:lang w:val="sl-SI"/>
        </w:rPr>
        <w:t>Proizvodnja in poraba energije, obnovljivi viri energije</w:t>
      </w:r>
    </w:p>
    <w:p w:rsidR="00AA0294" w:rsidRPr="005771BD" w:rsidRDefault="00AA0294" w:rsidP="00AA0294">
      <w:pPr>
        <w:spacing w:after="200" w:line="276" w:lineRule="auto"/>
        <w:jc w:val="both"/>
        <w:rPr>
          <w:rFonts w:eastAsia="Calibri" w:cs="Arial"/>
          <w:szCs w:val="20"/>
          <w:lang w:val="sl-SI"/>
        </w:rPr>
      </w:pPr>
      <w:r w:rsidRPr="005771BD">
        <w:rPr>
          <w:rFonts w:eastAsia="Calibri" w:cs="Arial"/>
          <w:szCs w:val="20"/>
          <w:lang w:val="sl-SI"/>
        </w:rPr>
        <w:t xml:space="preserve">Proizvodnja energije, zlasti iz obnovljivih virov, pomeni precej velik pritisk na biotsko raznovrstnost, ki pa deluje specifično (zlasti na določene vodne vrste in habitatne tipe ter določeno skupino ptic) in lokalno (kjer so proizvodne kapacitete na točkah, pomembnih za posamezne vrste). </w:t>
      </w:r>
    </w:p>
    <w:p w:rsidR="00AA0294" w:rsidRPr="005771BD" w:rsidRDefault="00AA0294" w:rsidP="00AA0294">
      <w:pPr>
        <w:spacing w:after="200" w:line="276" w:lineRule="auto"/>
        <w:jc w:val="both"/>
        <w:rPr>
          <w:rFonts w:eastAsia="Calibri" w:cs="Arial"/>
          <w:i/>
          <w:szCs w:val="20"/>
          <w:u w:val="single"/>
          <w:lang w:val="sl-SI"/>
        </w:rPr>
      </w:pPr>
      <w:r w:rsidRPr="005771BD">
        <w:rPr>
          <w:rFonts w:eastAsia="Calibri" w:cs="Arial"/>
          <w:szCs w:val="20"/>
          <w:lang w:val="sl-SI"/>
        </w:rPr>
        <w:t xml:space="preserve"> </w:t>
      </w:r>
      <w:r w:rsidRPr="005771BD">
        <w:rPr>
          <w:rFonts w:eastAsia="Calibri" w:cs="Arial"/>
          <w:i/>
          <w:szCs w:val="20"/>
          <w:u w:val="single"/>
          <w:lang w:val="sl-SI"/>
        </w:rPr>
        <w:t>Podnebne spremembe</w:t>
      </w:r>
    </w:p>
    <w:p w:rsidR="00AA0294" w:rsidRPr="005771BD" w:rsidRDefault="00AA0294" w:rsidP="00AA0294">
      <w:pPr>
        <w:spacing w:after="200" w:line="276" w:lineRule="auto"/>
        <w:jc w:val="both"/>
        <w:rPr>
          <w:rFonts w:eastAsia="Calibri" w:cs="Arial"/>
          <w:szCs w:val="20"/>
          <w:lang w:val="sl-SI"/>
        </w:rPr>
      </w:pPr>
      <w:r w:rsidRPr="005771BD">
        <w:rPr>
          <w:rFonts w:eastAsia="Calibri" w:cs="Arial"/>
          <w:szCs w:val="20"/>
          <w:lang w:val="sl-SI"/>
        </w:rPr>
        <w:t>Podnebne spremembe bodo po ocenah strokovnjakov na nekatere vrste in habitatne tipe imele dodatni bistveni negativni vpliv. V našem prostoru se takšni učinki pričakujejo zaradi sprememb vodnih režimov, sprememb začetka, konca ali trajanja in intenzitete hladnih in toplih obdobij, pogostejših ekstremnih vremenskih pojavov ipd. Tudi nekatere naše aktivnosti blaženja učinkov podnebnih sprememb lahko imajo še dodatni negativni učinek, če te aktivnosti niso premišljene in dorečene tudi glede njihovega vpliva na biotsko raznovrstnosti.</w:t>
      </w:r>
    </w:p>
    <w:p w:rsidR="00AA0294" w:rsidRPr="005771BD" w:rsidRDefault="00AA0294" w:rsidP="00AA0294">
      <w:pPr>
        <w:spacing w:after="200" w:line="276" w:lineRule="auto"/>
        <w:jc w:val="both"/>
        <w:rPr>
          <w:rFonts w:eastAsia="Calibri" w:cs="Arial"/>
          <w:i/>
          <w:szCs w:val="20"/>
          <w:u w:val="single"/>
          <w:lang w:val="sl-SI"/>
        </w:rPr>
      </w:pPr>
    </w:p>
    <w:p w:rsidR="00AA0294" w:rsidRPr="005771BD" w:rsidRDefault="00AA0294" w:rsidP="00AA0294">
      <w:pPr>
        <w:spacing w:after="200" w:line="276" w:lineRule="auto"/>
        <w:jc w:val="both"/>
        <w:rPr>
          <w:rFonts w:eastAsia="Calibri" w:cs="Arial"/>
          <w:i/>
          <w:szCs w:val="20"/>
          <w:u w:val="single"/>
          <w:lang w:val="sl-SI"/>
        </w:rPr>
      </w:pPr>
      <w:r w:rsidRPr="005771BD">
        <w:rPr>
          <w:rFonts w:eastAsia="Calibri" w:cs="Arial"/>
          <w:i/>
          <w:szCs w:val="20"/>
          <w:u w:val="single"/>
          <w:lang w:val="sl-SI"/>
        </w:rPr>
        <w:t>Invazivne vrste</w:t>
      </w:r>
    </w:p>
    <w:p w:rsidR="00AA0294" w:rsidRPr="005771BD" w:rsidRDefault="00AA0294" w:rsidP="0000410C">
      <w:pPr>
        <w:spacing w:after="360" w:line="276" w:lineRule="auto"/>
        <w:jc w:val="both"/>
        <w:rPr>
          <w:rFonts w:eastAsia="Calibri" w:cs="Arial"/>
          <w:szCs w:val="20"/>
          <w:lang w:val="sl-SI"/>
        </w:rPr>
      </w:pPr>
      <w:r w:rsidRPr="005771BD">
        <w:rPr>
          <w:rFonts w:eastAsia="Calibri" w:cs="Arial"/>
          <w:szCs w:val="20"/>
          <w:lang w:val="sl-SI"/>
        </w:rPr>
        <w:t>Invazivne vrste so v vedno bolj povezanem svetu z vedno manj fizičnimi ovirami postale velika grožnja ohranjanju bio</w:t>
      </w:r>
      <w:r>
        <w:rPr>
          <w:rFonts w:eastAsia="Calibri" w:cs="Arial"/>
          <w:szCs w:val="20"/>
          <w:lang w:val="sl-SI"/>
        </w:rPr>
        <w:t>tske</w:t>
      </w:r>
      <w:r w:rsidRPr="005771BD">
        <w:rPr>
          <w:rFonts w:eastAsia="Calibri" w:cs="Arial"/>
          <w:szCs w:val="20"/>
          <w:lang w:val="sl-SI"/>
        </w:rPr>
        <w:t xml:space="preserve"> raznovrstnosti. Pogosto </w:t>
      </w:r>
      <w:r>
        <w:rPr>
          <w:rFonts w:eastAsia="Calibri" w:cs="Arial"/>
          <w:szCs w:val="20"/>
          <w:lang w:val="sl-SI"/>
        </w:rPr>
        <w:t>pomenijo dodatno obremenitev</w:t>
      </w:r>
      <w:r w:rsidRPr="005771BD">
        <w:rPr>
          <w:rFonts w:eastAsia="Calibri" w:cs="Arial"/>
          <w:szCs w:val="20"/>
          <w:lang w:val="sl-SI"/>
        </w:rPr>
        <w:t xml:space="preserve"> v povezavi z drugimi zgoraj navedenimi pritiski, </w:t>
      </w:r>
      <w:r>
        <w:rPr>
          <w:rFonts w:eastAsia="Calibri" w:cs="Arial"/>
          <w:szCs w:val="20"/>
          <w:lang w:val="sl-SI"/>
        </w:rPr>
        <w:t xml:space="preserve">in povečujejo njihov </w:t>
      </w:r>
      <w:r w:rsidRPr="005771BD">
        <w:rPr>
          <w:rFonts w:eastAsia="Calibri" w:cs="Arial"/>
          <w:szCs w:val="20"/>
          <w:lang w:val="sl-SI"/>
        </w:rPr>
        <w:t>negativni učinek ali pa otežujejo izvajanje ukrepov za izboljševanje stanja ogroženih vrst oziroma habitatnih tipov.</w:t>
      </w:r>
    </w:p>
    <w:p w:rsidR="00AA0294" w:rsidRPr="005771BD" w:rsidRDefault="0000410C" w:rsidP="00AA0294">
      <w:pPr>
        <w:spacing w:after="200" w:line="276" w:lineRule="auto"/>
        <w:jc w:val="both"/>
        <w:rPr>
          <w:rFonts w:eastAsia="Calibri" w:cs="Arial"/>
          <w:b/>
          <w:bCs/>
          <w:szCs w:val="20"/>
          <w:u w:val="single"/>
          <w:lang w:val="sl-SI"/>
        </w:rPr>
      </w:pPr>
      <w:r>
        <w:rPr>
          <w:rFonts w:eastAsia="Calibri" w:cs="Arial"/>
          <w:b/>
          <w:bCs/>
          <w:szCs w:val="20"/>
          <w:u w:val="single"/>
          <w:lang w:val="sl-SI"/>
        </w:rPr>
        <w:t>5</w:t>
      </w:r>
      <w:r w:rsidR="00AA0294" w:rsidRPr="005771BD">
        <w:rPr>
          <w:rFonts w:eastAsia="Calibri" w:cs="Arial"/>
          <w:b/>
          <w:bCs/>
          <w:szCs w:val="20"/>
          <w:u w:val="single"/>
          <w:lang w:val="sl-SI"/>
        </w:rPr>
        <w:t>.4 Obvladovanje obremenjevanja</w:t>
      </w:r>
    </w:p>
    <w:p w:rsidR="00AA0294" w:rsidRPr="005771BD" w:rsidRDefault="00AA0294" w:rsidP="00AA0294">
      <w:pPr>
        <w:spacing w:after="200" w:line="276" w:lineRule="auto"/>
        <w:jc w:val="both"/>
        <w:rPr>
          <w:rFonts w:eastAsia="Calibri" w:cs="Arial"/>
          <w:szCs w:val="20"/>
          <w:lang w:val="sl-SI"/>
        </w:rPr>
      </w:pPr>
      <w:r w:rsidRPr="005771BD">
        <w:rPr>
          <w:rFonts w:eastAsia="Calibri" w:cs="Arial"/>
          <w:szCs w:val="20"/>
          <w:lang w:val="sl-SI"/>
        </w:rPr>
        <w:t xml:space="preserve">Sistem mehanizmov in ukrepov za obvladovanje prekomernih pritiskov na naravo in naravne vire deluje v mednarodnem okviru ohranjanja narave in trajnostnega razvoja. Trajnostni razvoj kot »zadovoljevanje potreb sedanjih generacij, ne da bi bile s tem ogrožene možnosti prihodnjih generacij za zadovoljevanje njihovih«, mora priznavati tudi ohranjeno naravo kot kakovost in  zbirko sestavin, ki je danes ne uporabljamo v celoti, potrebovale pa jo bodo prihodnje generacije. Za dosego takšnega razvoja je treba zahteve po ohranjanju narave upoštevati pri izrabi prostora in abiotskih naravnih virov. Gospodarske in nekatere družbene dejavnosti z izkoriščanjem naravnih virov (npr. sestavin biotske raznovrstnosti, vode, zemljišč, mineralnih surovin) ali s poseganjem v prostor bistveno vplivajo na ohranjenost narave. </w:t>
      </w:r>
    </w:p>
    <w:p w:rsidR="00AA0294" w:rsidRPr="005771BD" w:rsidRDefault="00AA0294" w:rsidP="00AA0294">
      <w:pPr>
        <w:spacing w:after="200" w:line="276" w:lineRule="auto"/>
        <w:jc w:val="both"/>
        <w:rPr>
          <w:rFonts w:eastAsia="Calibri" w:cs="Arial"/>
          <w:szCs w:val="20"/>
          <w:lang w:val="sl-SI"/>
        </w:rPr>
      </w:pPr>
      <w:r w:rsidRPr="005771BD">
        <w:rPr>
          <w:rFonts w:eastAsia="Calibri" w:cs="Arial"/>
          <w:szCs w:val="20"/>
          <w:u w:val="single"/>
          <w:lang w:val="sl-SI"/>
        </w:rPr>
        <w:t>Začetni mehanizem</w:t>
      </w:r>
      <w:r w:rsidRPr="005771BD">
        <w:rPr>
          <w:rFonts w:eastAsia="Calibri" w:cs="Arial"/>
          <w:szCs w:val="20"/>
          <w:lang w:val="sl-SI"/>
        </w:rPr>
        <w:t xml:space="preserve"> obvladovanja obremenjevanja je </w:t>
      </w:r>
      <w:r w:rsidRPr="005771BD">
        <w:rPr>
          <w:rFonts w:eastAsia="Calibri" w:cs="Arial"/>
          <w:szCs w:val="20"/>
          <w:u w:val="single"/>
          <w:lang w:val="sl-SI"/>
        </w:rPr>
        <w:t>vključevanje</w:t>
      </w:r>
      <w:r w:rsidRPr="005771BD">
        <w:rPr>
          <w:rFonts w:eastAsia="Calibri" w:cs="Arial"/>
          <w:szCs w:val="20"/>
          <w:lang w:val="sl-SI"/>
        </w:rPr>
        <w:t xml:space="preserve"> ohranjanja in trajnostne rabe sestavin biotske raznovrstnosti oziroma naravnih vrednot </w:t>
      </w:r>
      <w:r w:rsidRPr="005771BD">
        <w:rPr>
          <w:rFonts w:eastAsia="Calibri" w:cs="Arial"/>
          <w:szCs w:val="20"/>
          <w:u w:val="single"/>
          <w:lang w:val="sl-SI"/>
        </w:rPr>
        <w:t>v ustrezne sektorske in medsektorske načrte, programe in politike</w:t>
      </w:r>
      <w:r w:rsidRPr="005771BD">
        <w:rPr>
          <w:rFonts w:eastAsia="Calibri" w:cs="Arial"/>
          <w:szCs w:val="20"/>
          <w:lang w:val="sl-SI"/>
        </w:rPr>
        <w:t>. Vključevanje zagotavljanja ohranjanja narave je bistveno pri pripravi in izvajanju predpisov, strategij, programov in drugih dokumentov, ki določajo rabo naravnih dobrin, urejanje prostora, upravljanje voda, regionalni razvoj, energetiko, promet, razvoj turizma. Pri teh procesih je ključna vloga resornega ministrstva, ki mora najprej sodelovati pri oblikovanju mednarodnega okvira, zlasti zakonodajnega na ravni EU, nato pa pri oblikovanju slovenske politike ohranjanja narave, pripravi zakonodajnih rešitev in njihovi vključitvi v druge politike.</w:t>
      </w:r>
    </w:p>
    <w:p w:rsidR="00AA0294" w:rsidRPr="005771BD" w:rsidRDefault="00AA0294" w:rsidP="00AA0294">
      <w:pPr>
        <w:spacing w:after="200" w:line="276" w:lineRule="auto"/>
        <w:jc w:val="both"/>
        <w:rPr>
          <w:rFonts w:eastAsia="Calibri" w:cs="Arial"/>
          <w:szCs w:val="20"/>
          <w:lang w:val="sl-SI"/>
        </w:rPr>
      </w:pPr>
      <w:r w:rsidRPr="005771BD">
        <w:rPr>
          <w:rFonts w:eastAsia="Calibri" w:cs="Arial"/>
          <w:szCs w:val="20"/>
          <w:u w:val="single"/>
          <w:lang w:val="sl-SI"/>
        </w:rPr>
        <w:t>Posebno prizadevanja</w:t>
      </w:r>
      <w:r w:rsidRPr="005771BD">
        <w:rPr>
          <w:rFonts w:eastAsia="Calibri" w:cs="Arial"/>
          <w:szCs w:val="20"/>
          <w:lang w:val="sl-SI"/>
        </w:rPr>
        <w:t xml:space="preserve"> so potrebna na območjih, ki so </w:t>
      </w:r>
      <w:r w:rsidRPr="005771BD">
        <w:rPr>
          <w:rFonts w:eastAsia="Calibri" w:cs="Arial"/>
          <w:szCs w:val="20"/>
          <w:u w:val="single"/>
          <w:lang w:val="sl-SI"/>
        </w:rPr>
        <w:t>izstopajočega pomena za ohranjanje biotske pestrosti in naravnih vrednot</w:t>
      </w:r>
      <w:r w:rsidRPr="005771BD">
        <w:rPr>
          <w:rFonts w:eastAsia="Calibri" w:cs="Arial"/>
          <w:szCs w:val="20"/>
          <w:lang w:val="sl-SI"/>
        </w:rPr>
        <w:t xml:space="preserve">. Za ohranjanje evropsko pomembnih vrst in habitatnih tipov so ključne izstopajoče površine njihovega pojavljanja, znane kot območja Natura 2000. Naravna vrednota je določena tam, kjer se pojavlja redek, dragocen ali znamenit naravni pojav, drug vredni pojav, del žive ali nežive narave, naravno območje ali del naravnega območja, ekosistem, krajina ali oblikovana narava. Zavarovana območja narave pa so ožja in širša. Širša zavarovana območja so območja narave, kjer je velika abiotska, biotska in krajinska raznovrstnost ter velika gostota in raznolikost naravnih vrednot, ki so lahko tudi kompleksno in funkcionalno med seboj povezane. Na vseh teh območjih se presojajo posegi v naravo in izvajajo proaktivni ukrepi za ohranjanje vrst in njihovega življenjskega okolja, na zavarovanih območjih pa so določeni tudi dodatni varstveni režimi. </w:t>
      </w:r>
    </w:p>
    <w:p w:rsidR="00AA0294" w:rsidRPr="005771BD" w:rsidRDefault="00AA0294" w:rsidP="00AA0294">
      <w:pPr>
        <w:spacing w:line="276" w:lineRule="auto"/>
        <w:jc w:val="both"/>
        <w:rPr>
          <w:rFonts w:eastAsia="Calibri" w:cs="Arial"/>
          <w:szCs w:val="20"/>
          <w:lang w:val="sl-SI"/>
        </w:rPr>
      </w:pPr>
      <w:r w:rsidRPr="005771BD">
        <w:rPr>
          <w:rFonts w:eastAsia="Calibri" w:cs="Arial"/>
          <w:szCs w:val="20"/>
          <w:u w:val="single"/>
          <w:lang w:val="sl-SI"/>
        </w:rPr>
        <w:t>Organizacijski okvir</w:t>
      </w:r>
      <w:r w:rsidRPr="005771BD">
        <w:rPr>
          <w:rFonts w:eastAsia="Calibri" w:cs="Arial"/>
          <w:szCs w:val="20"/>
          <w:lang w:val="sl-SI"/>
        </w:rPr>
        <w:t xml:space="preserve"> institucionalnega delovanja varstva narave ureja Zakon o ohranjanju narave:</w:t>
      </w:r>
    </w:p>
    <w:p w:rsidR="00AA0294" w:rsidRPr="005771BD" w:rsidRDefault="00AA0294" w:rsidP="00AA0294">
      <w:pPr>
        <w:numPr>
          <w:ilvl w:val="0"/>
          <w:numId w:val="77"/>
        </w:numPr>
        <w:spacing w:before="60" w:line="276" w:lineRule="auto"/>
        <w:jc w:val="both"/>
        <w:rPr>
          <w:rFonts w:eastAsia="Calibri" w:cs="Arial"/>
          <w:szCs w:val="20"/>
          <w:lang w:val="sl-SI"/>
        </w:rPr>
      </w:pPr>
      <w:r w:rsidRPr="005771BD">
        <w:rPr>
          <w:rFonts w:eastAsia="Calibri" w:cs="Arial"/>
          <w:szCs w:val="20"/>
          <w:lang w:val="sl-SI"/>
        </w:rPr>
        <w:t>Ministrstvo za okolje in prostor, Direktorat za okolje, Sektor za ohranjanje narave ima temeljne programsko-zakonodajne pristojnosti na državni in mednarodni ravni (priprava programov, strategij in zakonodaje, financiranje, usklajevanje),</w:t>
      </w:r>
    </w:p>
    <w:p w:rsidR="00AA0294" w:rsidRPr="005771BD" w:rsidRDefault="00AA0294" w:rsidP="00AA0294">
      <w:pPr>
        <w:numPr>
          <w:ilvl w:val="0"/>
          <w:numId w:val="77"/>
        </w:numPr>
        <w:spacing w:before="60" w:line="276" w:lineRule="auto"/>
        <w:jc w:val="both"/>
        <w:rPr>
          <w:rFonts w:eastAsia="Calibri" w:cs="Arial"/>
          <w:szCs w:val="20"/>
          <w:lang w:val="sl-SI"/>
        </w:rPr>
      </w:pPr>
      <w:r w:rsidRPr="005771BD">
        <w:rPr>
          <w:rFonts w:eastAsia="Calibri" w:cs="Arial"/>
          <w:szCs w:val="20"/>
          <w:lang w:val="sl-SI"/>
        </w:rPr>
        <w:t>Agencija RS za okolje, Urad za okolje, Sektor za varstvo narave izvaja predpise s področja varstva narave z odločanjem v upravnih postopkih ter zagotavlja javno dostopne zbirke podatkov (evidence, registri) s tega področja,</w:t>
      </w:r>
    </w:p>
    <w:p w:rsidR="00AA0294" w:rsidRPr="005771BD" w:rsidRDefault="00AA0294" w:rsidP="00AA0294">
      <w:pPr>
        <w:numPr>
          <w:ilvl w:val="0"/>
          <w:numId w:val="77"/>
        </w:numPr>
        <w:spacing w:before="60" w:line="276" w:lineRule="auto"/>
        <w:jc w:val="both"/>
        <w:rPr>
          <w:rFonts w:eastAsia="Calibri" w:cs="Arial"/>
          <w:szCs w:val="20"/>
          <w:lang w:val="sl-SI"/>
        </w:rPr>
      </w:pPr>
      <w:r w:rsidRPr="005771BD">
        <w:rPr>
          <w:rFonts w:eastAsia="Calibri" w:cs="Arial"/>
          <w:szCs w:val="20"/>
          <w:lang w:val="sl-SI"/>
        </w:rPr>
        <w:t>Inšpektorat RS za okolje in prostor (inšpektorji za okolje in naravo) nadzorujejo izvajanje zakonov, drugih predpisov, splošnih in posebnih aktov ter dovoljenj in soglasij s področja ohranjanja narave,</w:t>
      </w:r>
    </w:p>
    <w:p w:rsidR="00AA0294" w:rsidRPr="005771BD" w:rsidRDefault="00AA0294" w:rsidP="00AA0294">
      <w:pPr>
        <w:numPr>
          <w:ilvl w:val="0"/>
          <w:numId w:val="77"/>
        </w:numPr>
        <w:spacing w:before="60" w:line="276" w:lineRule="auto"/>
        <w:jc w:val="both"/>
        <w:rPr>
          <w:rFonts w:eastAsia="Calibri" w:cs="Arial"/>
          <w:szCs w:val="20"/>
          <w:lang w:val="sl-SI"/>
        </w:rPr>
      </w:pPr>
      <w:r w:rsidRPr="005771BD">
        <w:rPr>
          <w:rFonts w:eastAsia="Calibri" w:cs="Arial"/>
          <w:szCs w:val="20"/>
          <w:lang w:val="sl-SI"/>
        </w:rPr>
        <w:t>Zavod RS za varstvo narave je osrednja strokovna ustanova za varstvo narave, ki zagotavlja strokovna izhodišča za zakonodajne in programske odločitve na državni in lokalni ravni ter za upravne odločitve. Njegovo temeljno poslanstvo je poglabljanje znanja, pomembnega za uspešno ohranjanje biotske raznovrstnosti ter zbiranje, vodenje in povezovanje podatkovnih zbirk s tega področja,</w:t>
      </w:r>
    </w:p>
    <w:p w:rsidR="00AA0294" w:rsidRPr="005771BD" w:rsidRDefault="00AA0294" w:rsidP="00AA0294">
      <w:pPr>
        <w:numPr>
          <w:ilvl w:val="0"/>
          <w:numId w:val="77"/>
        </w:numPr>
        <w:spacing w:before="60" w:after="200" w:line="276" w:lineRule="auto"/>
        <w:jc w:val="both"/>
        <w:rPr>
          <w:rFonts w:eastAsia="Calibri" w:cs="Arial"/>
          <w:szCs w:val="20"/>
          <w:lang w:val="sl-SI"/>
        </w:rPr>
      </w:pPr>
      <w:r w:rsidRPr="005771BD">
        <w:rPr>
          <w:rFonts w:eastAsia="Calibri" w:cs="Arial"/>
          <w:szCs w:val="20"/>
          <w:lang w:val="sl-SI"/>
        </w:rPr>
        <w:t>upravljavci zavarovanih območij narave uresničujejo varstvene cilje zavarovanih območij, ki jim je s posebnimi predpisi določeno parkovno varstvo, in ob hkratnem varovanju zagotavljajo lokalni razvoj ter omogočajo spoznavanje in doživljanje narave širše javnosti. Upravljavske naloge izvajajo državni javni zavodi, organizirani za upravljanje parkov, in organizacije, ki jim je bilo zaupano upravljanje s koncesijo.</w:t>
      </w:r>
    </w:p>
    <w:p w:rsidR="00AA0294" w:rsidRPr="005771BD" w:rsidRDefault="00AA0294" w:rsidP="00AA0294">
      <w:pPr>
        <w:spacing w:after="200" w:line="276" w:lineRule="auto"/>
        <w:jc w:val="both"/>
        <w:rPr>
          <w:rFonts w:eastAsia="Calibri" w:cs="Arial"/>
          <w:szCs w:val="20"/>
          <w:lang w:val="sl-SI"/>
        </w:rPr>
      </w:pPr>
      <w:r w:rsidRPr="005771BD">
        <w:rPr>
          <w:rFonts w:eastAsia="Calibri" w:cs="Arial"/>
          <w:szCs w:val="20"/>
          <w:u w:val="single"/>
          <w:lang w:val="sl-SI"/>
        </w:rPr>
        <w:t>Območja Natura 2000</w:t>
      </w:r>
      <w:r w:rsidRPr="005771BD">
        <w:rPr>
          <w:rFonts w:eastAsia="Calibri" w:cs="Arial"/>
          <w:szCs w:val="20"/>
          <w:lang w:val="sl-SI"/>
        </w:rPr>
        <w:t xml:space="preserve"> so v Sloveniji določena za zagotavljanje ugodnega stanja 236 evropsko pomembnih vrst in 60 habitatnih tipov, obsegajo pa na 355 območjih 7.678 km</w:t>
      </w:r>
      <w:r w:rsidRPr="005771BD">
        <w:rPr>
          <w:rFonts w:eastAsia="Calibri" w:cs="Arial"/>
          <w:szCs w:val="20"/>
          <w:vertAlign w:val="superscript"/>
          <w:lang w:val="sl-SI"/>
        </w:rPr>
        <w:t>2</w:t>
      </w:r>
      <w:r w:rsidRPr="005771BD">
        <w:rPr>
          <w:rFonts w:eastAsia="Calibri" w:cs="Arial"/>
          <w:szCs w:val="20"/>
          <w:lang w:val="sl-SI"/>
        </w:rPr>
        <w:t xml:space="preserve"> na kopnem in 6 km</w:t>
      </w:r>
      <w:r w:rsidRPr="005771BD">
        <w:rPr>
          <w:rFonts w:eastAsia="Calibri" w:cs="Arial"/>
          <w:szCs w:val="20"/>
          <w:vertAlign w:val="superscript"/>
          <w:lang w:val="sl-SI"/>
        </w:rPr>
        <w:t>2</w:t>
      </w:r>
      <w:r w:rsidRPr="005771BD">
        <w:rPr>
          <w:rFonts w:eastAsia="Calibri" w:cs="Arial"/>
          <w:szCs w:val="20"/>
          <w:lang w:val="sl-SI"/>
        </w:rPr>
        <w:t xml:space="preserve"> na morju. Z indeksom zadost</w:t>
      </w:r>
      <w:r>
        <w:rPr>
          <w:rFonts w:eastAsia="Calibri" w:cs="Arial"/>
          <w:szCs w:val="20"/>
          <w:lang w:val="sl-SI"/>
        </w:rPr>
        <w:t>n</w:t>
      </w:r>
      <w:r w:rsidRPr="005771BD">
        <w:rPr>
          <w:rFonts w:eastAsia="Calibri" w:cs="Arial"/>
          <w:szCs w:val="20"/>
          <w:lang w:val="sl-SI"/>
        </w:rPr>
        <w:t>osti se preverja ustreznost obsega teh območij. Slovenija je z dopolnitvami omrežja Natura 2000 v letu 2013 in 2016 praktično izpolnila obveze, urediti je treba še zagotavljanje ugodnega stanja ohranjenosti nekaj vrst na morju.</w:t>
      </w:r>
    </w:p>
    <w:p w:rsidR="00AA0294" w:rsidRPr="005771BD" w:rsidRDefault="00AA0294" w:rsidP="00AA0294">
      <w:pPr>
        <w:spacing w:after="200" w:line="276" w:lineRule="auto"/>
        <w:jc w:val="both"/>
        <w:rPr>
          <w:rFonts w:eastAsia="Calibri" w:cs="Arial"/>
          <w:noProof/>
          <w:szCs w:val="20"/>
          <w:lang w:val="sl-SI" w:eastAsia="sl-SI"/>
        </w:rPr>
      </w:pPr>
      <w:r w:rsidRPr="007F272F">
        <w:rPr>
          <w:rFonts w:eastAsia="Calibri" w:cs="Arial"/>
          <w:noProof/>
          <w:szCs w:val="20"/>
          <w:lang w:val="sl-SI" w:eastAsia="sl-SI"/>
        </w:rPr>
        <w:drawing>
          <wp:inline distT="0" distB="0" distL="0" distR="0" wp14:anchorId="67EB4621" wp14:editId="47EE515B">
            <wp:extent cx="4803775" cy="2731135"/>
            <wp:effectExtent l="0" t="0" r="0" b="0"/>
            <wp:docPr id="300" name="Slika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03775" cy="2731135"/>
                    </a:xfrm>
                    <a:prstGeom prst="rect">
                      <a:avLst/>
                    </a:prstGeom>
                    <a:noFill/>
                  </pic:spPr>
                </pic:pic>
              </a:graphicData>
            </a:graphic>
          </wp:inline>
        </w:drawing>
      </w:r>
    </w:p>
    <w:p w:rsidR="00AA0294" w:rsidRPr="005771BD" w:rsidRDefault="0000410C" w:rsidP="00AA0294">
      <w:pPr>
        <w:spacing w:line="276" w:lineRule="auto"/>
        <w:jc w:val="both"/>
        <w:rPr>
          <w:rFonts w:eastAsia="Calibri" w:cs="Arial"/>
          <w:i/>
          <w:szCs w:val="20"/>
          <w:lang w:val="sl-SI"/>
        </w:rPr>
      </w:pPr>
      <w:r>
        <w:rPr>
          <w:rFonts w:eastAsia="Calibri" w:cs="Arial"/>
          <w:i/>
          <w:szCs w:val="20"/>
          <w:lang w:val="sl-SI"/>
        </w:rPr>
        <w:t>Slika 5</w:t>
      </w:r>
      <w:r w:rsidR="00AA0294" w:rsidRPr="005771BD">
        <w:rPr>
          <w:rFonts w:eastAsia="Calibri" w:cs="Arial"/>
          <w:i/>
          <w:szCs w:val="20"/>
          <w:lang w:val="sl-SI"/>
        </w:rPr>
        <w:t>.15: Indeks zadostnosti 2012, 2014 in 2016</w:t>
      </w:r>
    </w:p>
    <w:p w:rsidR="00AA0294" w:rsidRPr="005771BD" w:rsidRDefault="00AA0294" w:rsidP="00AA0294">
      <w:pPr>
        <w:spacing w:after="200" w:line="276" w:lineRule="auto"/>
        <w:jc w:val="both"/>
        <w:rPr>
          <w:rFonts w:eastAsia="Calibri" w:cs="Arial"/>
          <w:i/>
          <w:sz w:val="18"/>
          <w:szCs w:val="18"/>
          <w:lang w:val="sl-SI"/>
        </w:rPr>
      </w:pPr>
      <w:r w:rsidRPr="005771BD">
        <w:rPr>
          <w:rFonts w:eastAsia="Calibri" w:cs="Arial"/>
          <w:i/>
          <w:sz w:val="18"/>
          <w:szCs w:val="18"/>
          <w:lang w:val="sl-SI"/>
        </w:rPr>
        <w:t>Vir: Zavod za varstvo narave, 2016</w:t>
      </w:r>
    </w:p>
    <w:p w:rsidR="00AA0294" w:rsidRPr="005771BD" w:rsidRDefault="00AA0294" w:rsidP="00AA0294">
      <w:pPr>
        <w:spacing w:line="276" w:lineRule="auto"/>
        <w:jc w:val="both"/>
        <w:rPr>
          <w:rFonts w:eastAsia="Calibri" w:cs="Arial"/>
          <w:szCs w:val="20"/>
          <w:lang w:val="sl-SI"/>
        </w:rPr>
      </w:pPr>
      <w:r w:rsidRPr="005771BD">
        <w:rPr>
          <w:rFonts w:eastAsia="Calibri" w:cs="Arial"/>
          <w:szCs w:val="20"/>
          <w:lang w:val="sl-SI"/>
        </w:rPr>
        <w:t>Legenda:</w:t>
      </w:r>
    </w:p>
    <w:p w:rsidR="00AA0294" w:rsidRPr="005771BD" w:rsidRDefault="00AA0294" w:rsidP="00AA0294">
      <w:pPr>
        <w:spacing w:line="276" w:lineRule="auto"/>
        <w:jc w:val="both"/>
        <w:rPr>
          <w:rFonts w:eastAsia="Calibri" w:cs="Arial"/>
          <w:sz w:val="18"/>
          <w:szCs w:val="18"/>
          <w:lang w:val="sl-SI"/>
        </w:rPr>
      </w:pPr>
      <w:r w:rsidRPr="005771BD">
        <w:rPr>
          <w:rFonts w:eastAsia="Calibri" w:cs="Arial"/>
          <w:sz w:val="18"/>
          <w:szCs w:val="18"/>
          <w:lang w:val="sl-SI"/>
        </w:rPr>
        <w:t>SUF – zadostna določitev</w:t>
      </w:r>
    </w:p>
    <w:p w:rsidR="00AA0294" w:rsidRPr="005771BD" w:rsidRDefault="00AA0294" w:rsidP="00AA0294">
      <w:pPr>
        <w:spacing w:line="276" w:lineRule="auto"/>
        <w:jc w:val="both"/>
        <w:rPr>
          <w:rFonts w:eastAsia="Calibri" w:cs="Arial"/>
          <w:sz w:val="18"/>
          <w:szCs w:val="18"/>
          <w:lang w:val="sl-SI"/>
        </w:rPr>
      </w:pPr>
      <w:r w:rsidRPr="005771BD">
        <w:rPr>
          <w:rFonts w:eastAsia="Calibri" w:cs="Arial"/>
          <w:sz w:val="18"/>
          <w:szCs w:val="18"/>
          <w:lang w:val="sl-SI"/>
        </w:rPr>
        <w:t>IN MIN – minimalni popravki – dodajanje v obstoječa območja Natura 2000</w:t>
      </w:r>
    </w:p>
    <w:p w:rsidR="00AA0294" w:rsidRPr="005771BD" w:rsidRDefault="00AA0294" w:rsidP="00AA0294">
      <w:pPr>
        <w:spacing w:line="276" w:lineRule="auto"/>
        <w:jc w:val="both"/>
        <w:rPr>
          <w:rFonts w:eastAsia="Calibri" w:cs="Arial"/>
          <w:sz w:val="18"/>
          <w:szCs w:val="18"/>
          <w:lang w:val="sl-SI"/>
        </w:rPr>
      </w:pPr>
      <w:r w:rsidRPr="005771BD">
        <w:rPr>
          <w:rFonts w:eastAsia="Calibri" w:cs="Arial"/>
          <w:sz w:val="18"/>
          <w:szCs w:val="18"/>
          <w:lang w:val="sl-SI"/>
        </w:rPr>
        <w:t>IN MOD – popravki območij – popravek meja območij</w:t>
      </w:r>
    </w:p>
    <w:p w:rsidR="00AA0294" w:rsidRPr="005771BD" w:rsidRDefault="00AA0294" w:rsidP="00AA0294">
      <w:pPr>
        <w:spacing w:line="276" w:lineRule="auto"/>
        <w:jc w:val="both"/>
        <w:rPr>
          <w:rFonts w:eastAsia="Calibri" w:cs="Arial"/>
          <w:sz w:val="18"/>
          <w:szCs w:val="18"/>
          <w:lang w:val="sl-SI"/>
        </w:rPr>
      </w:pPr>
      <w:r w:rsidRPr="005771BD">
        <w:rPr>
          <w:rFonts w:eastAsia="Calibri" w:cs="Arial"/>
          <w:sz w:val="18"/>
          <w:szCs w:val="18"/>
          <w:lang w:val="sl-SI"/>
        </w:rPr>
        <w:t>IN MAJ – večja nezadostnost – dodajanje novih območij</w:t>
      </w:r>
    </w:p>
    <w:p w:rsidR="00AA0294" w:rsidRPr="005771BD" w:rsidRDefault="00AA0294" w:rsidP="00AA0294">
      <w:pPr>
        <w:spacing w:line="276" w:lineRule="auto"/>
        <w:jc w:val="both"/>
        <w:rPr>
          <w:rFonts w:eastAsia="Calibri" w:cs="Arial"/>
          <w:sz w:val="18"/>
          <w:szCs w:val="18"/>
          <w:lang w:val="sl-SI"/>
        </w:rPr>
      </w:pPr>
      <w:r w:rsidRPr="005771BD">
        <w:rPr>
          <w:rFonts w:eastAsia="Calibri" w:cs="Arial"/>
          <w:sz w:val="18"/>
          <w:szCs w:val="18"/>
          <w:lang w:val="sl-SI"/>
        </w:rPr>
        <w:t>SR – znanstveni pridržek – potrebne raziskave ali študije</w:t>
      </w:r>
    </w:p>
    <w:p w:rsidR="00AA0294" w:rsidRPr="005771BD" w:rsidRDefault="00AA0294" w:rsidP="00AA0294">
      <w:pPr>
        <w:spacing w:after="200" w:line="276" w:lineRule="auto"/>
        <w:jc w:val="both"/>
        <w:rPr>
          <w:rFonts w:eastAsia="Calibri" w:cs="Arial"/>
          <w:szCs w:val="20"/>
          <w:lang w:val="sl-SI"/>
        </w:rPr>
      </w:pPr>
    </w:p>
    <w:p w:rsidR="00AA0294" w:rsidRPr="005771BD" w:rsidRDefault="00AA0294" w:rsidP="00AA0294">
      <w:pPr>
        <w:spacing w:after="200" w:line="276" w:lineRule="auto"/>
        <w:jc w:val="both"/>
        <w:rPr>
          <w:rFonts w:eastAsia="Calibri" w:cs="Arial"/>
          <w:szCs w:val="20"/>
          <w:u w:val="single"/>
          <w:lang w:val="sl-SI"/>
        </w:rPr>
      </w:pPr>
      <w:r w:rsidRPr="005771BD">
        <w:rPr>
          <w:rFonts w:eastAsia="Calibri" w:cs="Arial"/>
          <w:szCs w:val="20"/>
          <w:u w:val="single"/>
          <w:lang w:val="sl-SI"/>
        </w:rPr>
        <w:t>Zavarovana območja narave</w:t>
      </w:r>
      <w:r w:rsidRPr="005771BD">
        <w:rPr>
          <w:rFonts w:eastAsia="Calibri" w:cs="Arial"/>
          <w:szCs w:val="20"/>
          <w:lang w:val="sl-SI"/>
        </w:rPr>
        <w:t xml:space="preserve"> obsegajo skoraj 14 % površine Slovenije. Zavarovana površina se je v zadnjih letih povečala. V Sloveniji imamo en narodni park, tri regijske parke, 45 krajinskih parkov, en strogi naravni rezervat, 55 naravnih rezervatov in 1.164 naravnih spomenikov, ki so zavarovani z državnimi ali občinskimi akti.</w:t>
      </w:r>
    </w:p>
    <w:p w:rsidR="00AA0294" w:rsidRPr="005771BD" w:rsidRDefault="00AA0294" w:rsidP="00AA0294">
      <w:pPr>
        <w:spacing w:after="200" w:line="276" w:lineRule="auto"/>
        <w:jc w:val="both"/>
        <w:rPr>
          <w:rFonts w:eastAsia="Calibri" w:cs="Arial"/>
          <w:szCs w:val="20"/>
          <w:lang w:val="sl-SI"/>
        </w:rPr>
      </w:pPr>
      <w:r w:rsidRPr="007F272F">
        <w:rPr>
          <w:rFonts w:eastAsia="Calibri" w:cs="Arial"/>
          <w:noProof/>
          <w:szCs w:val="20"/>
          <w:lang w:val="sl-SI" w:eastAsia="sl-SI"/>
        </w:rPr>
        <w:drawing>
          <wp:inline distT="0" distB="0" distL="0" distR="0" wp14:anchorId="1CB3E315" wp14:editId="3C1B59FF">
            <wp:extent cx="5467350" cy="4003587"/>
            <wp:effectExtent l="19050" t="19050" r="19050" b="16510"/>
            <wp:docPr id="301" name="Slika 301" descr="http://kazalci.arso.gov.si/get_graph/?graph_id=16224&amp;lang_id=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kazalci.arso.gov.si/get_graph/?graph_id=16224&amp;lang_id=302"/>
                    <pic:cNvPicPr>
                      <a:picLocks noChangeAspect="1" noChangeArrowheads="1"/>
                    </pic:cNvPicPr>
                  </pic:nvPicPr>
                  <pic:blipFill rotWithShape="1">
                    <a:blip r:embed="rId50">
                      <a:extLst>
                        <a:ext uri="{28A0092B-C50C-407E-A947-70E740481C1C}">
                          <a14:useLocalDpi xmlns:a14="http://schemas.microsoft.com/office/drawing/2010/main" val="0"/>
                        </a:ext>
                      </a:extLst>
                    </a:blip>
                    <a:srcRect r="3761" b="16639"/>
                    <a:stretch/>
                  </pic:blipFill>
                  <pic:spPr bwMode="auto">
                    <a:xfrm>
                      <a:off x="0" y="0"/>
                      <a:ext cx="5488964" cy="4019415"/>
                    </a:xfrm>
                    <a:prstGeom prst="rect">
                      <a:avLst/>
                    </a:prstGeom>
                    <a:noFill/>
                    <a:ln w="3175">
                      <a:solidFill>
                        <a:sysClr val="windowText" lastClr="000000"/>
                      </a:solidFill>
                    </a:ln>
                    <a:extLst>
                      <a:ext uri="{53640926-AAD7-44D8-BBD7-CCE9431645EC}">
                        <a14:shadowObscured xmlns:a14="http://schemas.microsoft.com/office/drawing/2010/main"/>
                      </a:ext>
                    </a:extLst>
                  </pic:spPr>
                </pic:pic>
              </a:graphicData>
            </a:graphic>
          </wp:inline>
        </w:drawing>
      </w:r>
    </w:p>
    <w:p w:rsidR="00AA0294" w:rsidRPr="005771BD" w:rsidRDefault="00AA0294" w:rsidP="00AA0294">
      <w:pPr>
        <w:spacing w:line="276" w:lineRule="auto"/>
        <w:jc w:val="both"/>
        <w:rPr>
          <w:rFonts w:eastAsia="Calibri" w:cs="Arial"/>
          <w:i/>
          <w:szCs w:val="20"/>
          <w:lang w:val="sl-SI"/>
        </w:rPr>
      </w:pPr>
      <w:r w:rsidRPr="005771BD">
        <w:rPr>
          <w:rFonts w:eastAsia="Calibri" w:cs="Arial"/>
          <w:i/>
          <w:szCs w:val="20"/>
          <w:lang w:val="sl-SI"/>
        </w:rPr>
        <w:t xml:space="preserve">Slika </w:t>
      </w:r>
      <w:r w:rsidR="0000410C">
        <w:rPr>
          <w:rFonts w:eastAsia="Calibri" w:cs="Arial"/>
          <w:i/>
          <w:szCs w:val="20"/>
          <w:lang w:val="sl-SI"/>
        </w:rPr>
        <w:t>5</w:t>
      </w:r>
      <w:r w:rsidRPr="005771BD">
        <w:rPr>
          <w:rFonts w:eastAsia="Calibri" w:cs="Arial"/>
          <w:i/>
          <w:szCs w:val="20"/>
          <w:lang w:val="sl-SI"/>
        </w:rPr>
        <w:t xml:space="preserve">.16: Delež zavarovanih površin po skupinah v Sloveniji </w:t>
      </w:r>
    </w:p>
    <w:p w:rsidR="00AA0294" w:rsidRPr="005771BD" w:rsidRDefault="00AA0294" w:rsidP="00AA0294">
      <w:pPr>
        <w:spacing w:after="360" w:line="276" w:lineRule="auto"/>
        <w:jc w:val="both"/>
        <w:rPr>
          <w:rFonts w:eastAsia="Calibri" w:cs="Arial"/>
          <w:i/>
          <w:szCs w:val="20"/>
          <w:lang w:val="sl-SI"/>
        </w:rPr>
      </w:pPr>
      <w:r w:rsidRPr="005771BD">
        <w:rPr>
          <w:rFonts w:eastAsia="Calibri" w:cs="Arial"/>
          <w:i/>
          <w:szCs w:val="20"/>
          <w:lang w:val="sl-SI"/>
        </w:rPr>
        <w:t>Vir: Agencija RS za okolje, Kazalci okolja v Sloveniji (NV02-2 http://kazalci.arso.gov.si/?data=indicator&amp;ind_id=755)</w:t>
      </w:r>
    </w:p>
    <w:p w:rsidR="00AA0294" w:rsidRPr="005771BD" w:rsidRDefault="00AA0294" w:rsidP="00AA0294">
      <w:pPr>
        <w:spacing w:after="200" w:line="276" w:lineRule="auto"/>
        <w:jc w:val="both"/>
        <w:rPr>
          <w:rFonts w:eastAsia="Calibri" w:cs="Arial"/>
          <w:szCs w:val="20"/>
          <w:lang w:val="sl-SI"/>
        </w:rPr>
      </w:pPr>
      <w:r w:rsidRPr="005771BD">
        <w:rPr>
          <w:rFonts w:eastAsia="Calibri" w:cs="Arial"/>
          <w:szCs w:val="20"/>
          <w:lang w:val="sl-SI"/>
        </w:rPr>
        <w:t xml:space="preserve">Status </w:t>
      </w:r>
      <w:r w:rsidRPr="005771BD">
        <w:rPr>
          <w:rFonts w:eastAsia="Calibri" w:cs="Arial"/>
          <w:szCs w:val="20"/>
          <w:u w:val="single"/>
          <w:lang w:val="sl-SI"/>
        </w:rPr>
        <w:t>naravne vrednote</w:t>
      </w:r>
      <w:r w:rsidRPr="005771BD">
        <w:rPr>
          <w:rFonts w:eastAsia="Calibri" w:cs="Arial"/>
          <w:szCs w:val="20"/>
          <w:lang w:val="sl-SI"/>
        </w:rPr>
        <w:t xml:space="preserve"> ima na ozemlju Slovenije 16.115 vrednih delov narave, od tega je 10.725 podzemnih jam.</w:t>
      </w:r>
    </w:p>
    <w:p w:rsidR="00AA0294" w:rsidRPr="005771BD" w:rsidRDefault="00AA0294" w:rsidP="00AA0294">
      <w:pPr>
        <w:spacing w:after="200" w:line="276" w:lineRule="auto"/>
        <w:jc w:val="both"/>
        <w:rPr>
          <w:rFonts w:eastAsia="Calibri" w:cs="Arial"/>
          <w:szCs w:val="20"/>
          <w:lang w:val="sl-SI"/>
        </w:rPr>
      </w:pPr>
      <w:r w:rsidRPr="005771BD">
        <w:rPr>
          <w:rFonts w:eastAsia="Calibri" w:cs="Arial"/>
          <w:szCs w:val="20"/>
          <w:u w:val="single"/>
          <w:lang w:val="sl-SI"/>
        </w:rPr>
        <w:t>Odškodnine za škodo, ki jo povzročijo živali zavarovanih vrst</w:t>
      </w:r>
      <w:r w:rsidRPr="005771BD">
        <w:rPr>
          <w:rFonts w:eastAsia="Calibri" w:cs="Arial"/>
          <w:szCs w:val="20"/>
          <w:lang w:val="sl-SI"/>
        </w:rPr>
        <w:t>, so dosegle vrh v letu 2008, od takrat pa se zmanjšujejo, opazno pa je nihanje števila škodnih dogodkov v posameznih letih. Velike zveri (rjavi medved, volk, ris) so v povprečju povzročile škodo v 78 % škodnih dogodkov (najmanj 60 % v letu 2007 in največ  90 % v letu 2010), za katere je bilo odobreno izplačilo odškodnine. Največ škode je izplačane na drobnici, geografsko pa v JZ Sloveniji.</w:t>
      </w:r>
    </w:p>
    <w:p w:rsidR="00AA0294" w:rsidRPr="005771BD" w:rsidRDefault="00AA0294" w:rsidP="00AA0294">
      <w:pPr>
        <w:spacing w:after="200" w:line="276" w:lineRule="auto"/>
        <w:jc w:val="both"/>
        <w:rPr>
          <w:rFonts w:eastAsia="Calibri" w:cs="Arial"/>
          <w:szCs w:val="20"/>
          <w:lang w:val="sl-SI"/>
        </w:rPr>
      </w:pPr>
      <w:r w:rsidRPr="007F272F">
        <w:rPr>
          <w:rFonts w:eastAsia="Calibri" w:cs="Arial"/>
          <w:noProof/>
          <w:szCs w:val="20"/>
          <w:lang w:val="sl-SI" w:eastAsia="sl-SI"/>
        </w:rPr>
        <w:drawing>
          <wp:inline distT="0" distB="0" distL="0" distR="0" wp14:anchorId="00585C6A" wp14:editId="58DDFAA4">
            <wp:extent cx="4803775" cy="2280285"/>
            <wp:effectExtent l="0" t="0" r="0" b="5715"/>
            <wp:docPr id="302" name="Slika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803775" cy="2280285"/>
                    </a:xfrm>
                    <a:prstGeom prst="rect">
                      <a:avLst/>
                    </a:prstGeom>
                    <a:noFill/>
                  </pic:spPr>
                </pic:pic>
              </a:graphicData>
            </a:graphic>
          </wp:inline>
        </w:drawing>
      </w:r>
    </w:p>
    <w:p w:rsidR="00AA0294" w:rsidRPr="005771BD" w:rsidRDefault="00AA0294" w:rsidP="00AA0294">
      <w:pPr>
        <w:spacing w:line="276" w:lineRule="auto"/>
        <w:jc w:val="both"/>
        <w:rPr>
          <w:rFonts w:eastAsia="Calibri" w:cs="Arial"/>
          <w:i/>
          <w:szCs w:val="20"/>
          <w:lang w:val="sl-SI"/>
        </w:rPr>
      </w:pPr>
      <w:r w:rsidRPr="005771BD">
        <w:rPr>
          <w:rFonts w:eastAsia="Calibri" w:cs="Arial"/>
          <w:i/>
          <w:szCs w:val="20"/>
          <w:lang w:val="sl-SI"/>
        </w:rPr>
        <w:t xml:space="preserve">Slika </w:t>
      </w:r>
      <w:r w:rsidR="0000410C">
        <w:rPr>
          <w:rFonts w:eastAsia="Calibri" w:cs="Arial"/>
          <w:i/>
          <w:szCs w:val="20"/>
          <w:lang w:val="sl-SI"/>
        </w:rPr>
        <w:t>5</w:t>
      </w:r>
      <w:r w:rsidRPr="005771BD">
        <w:rPr>
          <w:rFonts w:eastAsia="Calibri" w:cs="Arial"/>
          <w:i/>
          <w:szCs w:val="20"/>
          <w:lang w:val="sl-SI"/>
        </w:rPr>
        <w:t xml:space="preserve">.17: Število  škodnih dogodkov na leto </w:t>
      </w:r>
    </w:p>
    <w:p w:rsidR="00AA0294" w:rsidRPr="005771BD" w:rsidRDefault="00AA0294" w:rsidP="00AA0294">
      <w:pPr>
        <w:spacing w:after="200" w:line="276" w:lineRule="auto"/>
        <w:jc w:val="both"/>
        <w:rPr>
          <w:rFonts w:eastAsia="Calibri" w:cs="Arial"/>
          <w:i/>
          <w:sz w:val="18"/>
          <w:szCs w:val="18"/>
          <w:lang w:val="sl-SI"/>
        </w:rPr>
      </w:pPr>
      <w:r w:rsidRPr="005771BD">
        <w:rPr>
          <w:rFonts w:eastAsia="Calibri" w:cs="Arial"/>
          <w:i/>
          <w:sz w:val="18"/>
          <w:szCs w:val="18"/>
          <w:lang w:val="sl-SI"/>
        </w:rPr>
        <w:t>Vir: Agencija RS za okolje, Kazalci okolja v Sloveniji (NB07-4 http://kazalci.arso.gov.si/?data=indicator&amp;ind_id=750)</w:t>
      </w:r>
    </w:p>
    <w:p w:rsidR="00AA0294" w:rsidRPr="005771BD" w:rsidRDefault="00AA0294" w:rsidP="00AA0294">
      <w:pPr>
        <w:spacing w:after="200" w:line="276" w:lineRule="auto"/>
        <w:jc w:val="both"/>
        <w:rPr>
          <w:rFonts w:eastAsia="Calibri" w:cs="Arial"/>
          <w:i/>
          <w:sz w:val="18"/>
          <w:szCs w:val="18"/>
          <w:lang w:val="sl-SI"/>
        </w:rPr>
      </w:pPr>
    </w:p>
    <w:p w:rsidR="00AA0294" w:rsidRPr="005771BD" w:rsidRDefault="00AA0294" w:rsidP="00AA0294">
      <w:pPr>
        <w:spacing w:after="200" w:line="276" w:lineRule="auto"/>
        <w:jc w:val="both"/>
        <w:rPr>
          <w:rFonts w:eastAsia="Calibri" w:cs="Arial"/>
          <w:szCs w:val="20"/>
          <w:lang w:val="sl-SI"/>
        </w:rPr>
      </w:pPr>
      <w:r w:rsidRPr="007F272F">
        <w:rPr>
          <w:rFonts w:eastAsia="Calibri" w:cs="Arial"/>
          <w:noProof/>
          <w:szCs w:val="20"/>
          <w:lang w:val="sl-SI" w:eastAsia="sl-SI"/>
        </w:rPr>
        <w:drawing>
          <wp:inline distT="0" distB="0" distL="0" distR="0" wp14:anchorId="56E53EE5" wp14:editId="33AAACD6">
            <wp:extent cx="4857750" cy="3160314"/>
            <wp:effectExtent l="0" t="0" r="0" b="2540"/>
            <wp:docPr id="303" name="Slika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56009" cy="3159181"/>
                    </a:xfrm>
                    <a:prstGeom prst="rect">
                      <a:avLst/>
                    </a:prstGeom>
                    <a:noFill/>
                  </pic:spPr>
                </pic:pic>
              </a:graphicData>
            </a:graphic>
          </wp:inline>
        </w:drawing>
      </w:r>
    </w:p>
    <w:p w:rsidR="00AA0294" w:rsidRPr="005771BD" w:rsidRDefault="00AA0294" w:rsidP="00AA0294">
      <w:pPr>
        <w:spacing w:line="276" w:lineRule="auto"/>
        <w:jc w:val="both"/>
        <w:rPr>
          <w:rFonts w:eastAsia="Calibri" w:cs="Arial"/>
          <w:i/>
          <w:szCs w:val="20"/>
          <w:lang w:val="sl-SI"/>
        </w:rPr>
      </w:pPr>
      <w:r w:rsidRPr="005771BD">
        <w:rPr>
          <w:rFonts w:eastAsia="Calibri" w:cs="Arial"/>
          <w:i/>
          <w:szCs w:val="20"/>
          <w:lang w:val="sl-SI"/>
        </w:rPr>
        <w:t xml:space="preserve">Slika </w:t>
      </w:r>
      <w:r w:rsidR="0000410C">
        <w:rPr>
          <w:rFonts w:eastAsia="Calibri" w:cs="Arial"/>
          <w:i/>
          <w:szCs w:val="20"/>
          <w:lang w:val="sl-SI"/>
        </w:rPr>
        <w:t>5</w:t>
      </w:r>
      <w:r w:rsidRPr="005771BD">
        <w:rPr>
          <w:rFonts w:eastAsia="Calibri" w:cs="Arial"/>
          <w:i/>
          <w:szCs w:val="20"/>
          <w:lang w:val="sl-SI"/>
        </w:rPr>
        <w:t xml:space="preserve">.18: Škoda, ki so jo povzročile živali zavarovanih vrst  </w:t>
      </w:r>
    </w:p>
    <w:p w:rsidR="00AA0294" w:rsidRPr="005771BD" w:rsidRDefault="00AA0294" w:rsidP="00AA0294">
      <w:pPr>
        <w:spacing w:after="200" w:line="276" w:lineRule="auto"/>
        <w:jc w:val="both"/>
        <w:rPr>
          <w:rFonts w:eastAsia="Calibri" w:cs="Arial"/>
          <w:i/>
          <w:sz w:val="18"/>
          <w:szCs w:val="18"/>
          <w:lang w:val="sl-SI"/>
        </w:rPr>
      </w:pPr>
      <w:r w:rsidRPr="005771BD">
        <w:rPr>
          <w:rFonts w:eastAsia="Calibri" w:cs="Arial"/>
          <w:i/>
          <w:sz w:val="18"/>
          <w:szCs w:val="18"/>
          <w:lang w:val="sl-SI"/>
        </w:rPr>
        <w:t>Vir: Agencija RS za okolje, Kazalci okolja v Sloveniji (NB07-0 http://kazalci.arso.gov.si/?data=indicator&amp;ind_id=750)</w:t>
      </w:r>
    </w:p>
    <w:p w:rsidR="00AA0294" w:rsidRPr="005771BD" w:rsidRDefault="00AA0294" w:rsidP="00AA0294">
      <w:pPr>
        <w:spacing w:after="200" w:line="276" w:lineRule="auto"/>
        <w:jc w:val="both"/>
        <w:rPr>
          <w:rFonts w:eastAsia="Calibri" w:cs="Arial"/>
          <w:b/>
          <w:bCs/>
          <w:szCs w:val="20"/>
          <w:u w:val="single"/>
          <w:lang w:val="sl-SI"/>
        </w:rPr>
      </w:pPr>
    </w:p>
    <w:p w:rsidR="00AA0294" w:rsidRPr="005771BD" w:rsidRDefault="001323F1" w:rsidP="00AA0294">
      <w:pPr>
        <w:spacing w:after="200" w:line="276" w:lineRule="auto"/>
        <w:jc w:val="both"/>
        <w:rPr>
          <w:rFonts w:eastAsia="Calibri" w:cs="Arial"/>
          <w:b/>
          <w:bCs/>
          <w:szCs w:val="20"/>
          <w:u w:val="single"/>
          <w:lang w:val="sl-SI"/>
        </w:rPr>
      </w:pPr>
      <w:r>
        <w:rPr>
          <w:rFonts w:eastAsia="Calibri" w:cs="Arial"/>
          <w:b/>
          <w:bCs/>
          <w:szCs w:val="20"/>
          <w:u w:val="single"/>
          <w:lang w:val="sl-SI"/>
        </w:rPr>
        <w:t>5</w:t>
      </w:r>
      <w:r w:rsidR="00AA0294" w:rsidRPr="005771BD">
        <w:rPr>
          <w:rFonts w:eastAsia="Calibri" w:cs="Arial"/>
          <w:b/>
          <w:bCs/>
          <w:szCs w:val="20"/>
          <w:u w:val="single"/>
          <w:lang w:val="sl-SI"/>
        </w:rPr>
        <w:t>.5  Napotki za prihodnja ravnanja</w:t>
      </w:r>
    </w:p>
    <w:p w:rsidR="00AA0294" w:rsidRPr="005771BD" w:rsidRDefault="00AA0294" w:rsidP="00AA0294">
      <w:pPr>
        <w:spacing w:after="200" w:line="276" w:lineRule="auto"/>
        <w:jc w:val="both"/>
        <w:rPr>
          <w:rFonts w:eastAsia="Calibri" w:cs="Arial"/>
          <w:szCs w:val="20"/>
          <w:lang w:val="sl-SI"/>
        </w:rPr>
      </w:pPr>
      <w:r w:rsidRPr="005771BD">
        <w:rPr>
          <w:rFonts w:eastAsia="Calibri" w:cs="Arial"/>
          <w:szCs w:val="20"/>
          <w:lang w:val="sl-SI"/>
        </w:rPr>
        <w:t>Za zmanjšanje splošnih pritiskov, ki povzročajo zmanjševanje biotske raznovrstnosti, je ključen trajnostni razvoj, kjer vsi potrošniki stremimo k bolj gospodarni porabi dobrin ter vedno manjši porabi naravnih virov in energije za njihovo zagotavljanje. Dodatni prispevek k temu je krožno gospodarstvo, ki že odvzete naravne vire ponovno uporablja. Prehod na trajnostno gospodarjenje je z vidika ohranjanja narave ključen zlasti pri kmetijstvu, prometu, urbanizaciji in industrializaciji ter porabi energije.</w:t>
      </w:r>
    </w:p>
    <w:p w:rsidR="00AA0294" w:rsidRPr="005771BD" w:rsidRDefault="00AA0294" w:rsidP="00AA0294">
      <w:pPr>
        <w:spacing w:after="200" w:line="276" w:lineRule="auto"/>
        <w:jc w:val="both"/>
        <w:rPr>
          <w:rFonts w:eastAsia="Calibri" w:cs="Arial"/>
          <w:szCs w:val="20"/>
          <w:lang w:val="sl-SI"/>
        </w:rPr>
      </w:pPr>
      <w:r w:rsidRPr="005771BD">
        <w:rPr>
          <w:rFonts w:eastAsia="Calibri" w:cs="Arial"/>
          <w:szCs w:val="20"/>
          <w:lang w:val="sl-SI"/>
        </w:rPr>
        <w:t>Za ohranjanje biotske raznovrstnosti in preprečevanje njenega upada pa so potrebni ciljni napori, ki zmanjšujejo specifične grožnje ohranjanju biotske raznovrstnosti (npr. invazivne vrste), in nadalje naslavljajo ogrožene vrste in habitatne tipe ter zanje ključna območja. V Sloveniji so to zagotovo zavarovana območja in druga varovana območja, zlasti ta, ki so slovenski prispevek k evropskemu omrežju Natura 2000. Njihova določitev je blizu dokončanju (slika Indeks zadostnosti 2012, 14 in 16), zato je ključno ustrezno njihovo upravljanje. Upravljanje območij Natura 2000 podrobneje določa Program upravljanja območij Natura 2000, za zavarovana območja pa načrti upravljanja zavarovanih območij</w:t>
      </w:r>
      <w:r w:rsidR="00B05C4D">
        <w:rPr>
          <w:rFonts w:eastAsia="Calibri" w:cs="Arial"/>
          <w:szCs w:val="20"/>
          <w:lang w:val="sl-SI"/>
        </w:rPr>
        <w:t xml:space="preserve"> (sprejetih je 5 od 11)</w:t>
      </w:r>
      <w:r w:rsidRPr="005771BD">
        <w:rPr>
          <w:rFonts w:eastAsia="Calibri" w:cs="Arial"/>
          <w:szCs w:val="20"/>
          <w:lang w:val="sl-SI"/>
        </w:rPr>
        <w:t xml:space="preserve">. V prihodnosti je pomembno zagotavljati predpogoje za uspešno izvajanje teh programov, zlasti ustrezno kadrovsko zasedbo, zadostne finance in primerno informacijsko podporo. </w:t>
      </w:r>
    </w:p>
    <w:p w:rsidR="00AA0294" w:rsidRPr="005771BD" w:rsidRDefault="00AA0294" w:rsidP="00AA0294">
      <w:pPr>
        <w:spacing w:after="200" w:line="276" w:lineRule="auto"/>
        <w:jc w:val="both"/>
        <w:rPr>
          <w:rFonts w:eastAsia="Calibri" w:cs="Arial"/>
          <w:szCs w:val="20"/>
          <w:lang w:val="sl-SI"/>
        </w:rPr>
      </w:pPr>
      <w:r w:rsidRPr="005771BD">
        <w:rPr>
          <w:rFonts w:eastAsia="Calibri" w:cs="Arial"/>
          <w:szCs w:val="20"/>
          <w:lang w:val="sl-SI"/>
        </w:rPr>
        <w:t>Bistveni del finančnih sredstev za izvedbo ukrepov iz omenjenih programov prihaja iz skladov EU. Ključno je zgodnje vključevanje v oblikovanje pravil za črpanje teh sredstev za prihajajočo finančno obdobje EU 2021–27 na ravni EU, nato pa ustrezna vključitev financiranja ukrepov varstva narave in horizontalnih vsebin v programe za črpanje sredstev EU.</w:t>
      </w:r>
    </w:p>
    <w:p w:rsidR="00AA0294" w:rsidRPr="005771BD" w:rsidRDefault="00AA0294" w:rsidP="00AA0294">
      <w:pPr>
        <w:spacing w:after="200" w:line="276" w:lineRule="auto"/>
        <w:jc w:val="both"/>
        <w:rPr>
          <w:rFonts w:eastAsia="Calibri" w:cs="Arial"/>
          <w:szCs w:val="20"/>
          <w:lang w:val="sl-SI"/>
        </w:rPr>
      </w:pPr>
      <w:r w:rsidRPr="005771BD">
        <w:rPr>
          <w:rFonts w:eastAsia="Calibri" w:cs="Arial"/>
          <w:szCs w:val="20"/>
          <w:lang w:val="sl-SI"/>
        </w:rPr>
        <w:t xml:space="preserve">Dokončna dopolnitev sicer že dobro vzpostavljenega in na nekaterih segmentih kadrovsko zapolnjenega organizacijskega okvira institucionalnega delovanja varstva narave (organi za strokovno in podatkovno podporo ministrstvu) je zato na prvem mestu. Ključna je vloga ministrstva pri sooblikovanju mednarodnih politik, politik EU in slovenskih politik ter oblikovanju zakonodajnih rešitev in njihovi vključitvi v politike in programe drugih sektorjev. Človeški viri ministrstva za to ne zadoščajo, saj v preteklosti njihov obseg in usposobljenost nista zadoščala za povečani obseg nalog.  </w:t>
      </w:r>
    </w:p>
    <w:p w:rsidR="00AA0294" w:rsidRPr="005771BD" w:rsidRDefault="00AA0294" w:rsidP="00AA0294">
      <w:pPr>
        <w:spacing w:after="200" w:line="276" w:lineRule="auto"/>
        <w:jc w:val="both"/>
        <w:rPr>
          <w:rFonts w:eastAsia="Cambria" w:cs="Arial"/>
          <w:szCs w:val="20"/>
          <w:lang w:val="sl-SI"/>
        </w:rPr>
      </w:pPr>
      <w:r w:rsidRPr="005771BD">
        <w:rPr>
          <w:rFonts w:eastAsia="Cambria" w:cs="Arial"/>
          <w:szCs w:val="20"/>
          <w:lang w:val="sl-SI"/>
        </w:rPr>
        <w:t>Vzpostaviti je treba tudi sistem spremljanja stanja biotske raznovrstnosti na podlagi sklopa kazalcev (stanje, pritiski, odzivi) in nenehnega posodabljanja zbirke podatkov o pojavljanju vrst in habitatov ter izpopolniti sistem ugotavljanja ogroženosti vrst in habitatnih tipov. To je nujno za ciljno in učinkovito izvajanje ukrepov ter odzivanje na izzive, kakor tudi za zadovoljivo poročanje mednarodnim institucijam (EU, organi konvencij ipd.) in javnosti.</w:t>
      </w:r>
    </w:p>
    <w:p w:rsidR="00AA0294" w:rsidRPr="005771BD" w:rsidRDefault="00AA0294" w:rsidP="00AA0294">
      <w:pPr>
        <w:spacing w:after="200" w:line="276" w:lineRule="auto"/>
        <w:jc w:val="both"/>
        <w:rPr>
          <w:rFonts w:eastAsia="Cambria" w:cs="Arial"/>
          <w:szCs w:val="20"/>
          <w:lang w:val="sl-SI"/>
        </w:rPr>
      </w:pPr>
      <w:r w:rsidRPr="005771BD">
        <w:rPr>
          <w:rFonts w:eastAsia="Cambria" w:cs="Arial"/>
          <w:szCs w:val="20"/>
          <w:lang w:val="sl-SI"/>
        </w:rPr>
        <w:t xml:space="preserve">Za trajnostni razvoj in izvajanje ravnanj, ki ohranjajo biotsko raznovrstnost, je nujno izobraževanje na vseh stopnjah šolanja in ozaveščanje javnosti o pomenu biotske raznovrstnosti s poudarkom na omrežju Natura 2000. </w:t>
      </w:r>
    </w:p>
    <w:p w:rsidR="00AA0294" w:rsidRPr="005771BD" w:rsidRDefault="00AA0294" w:rsidP="00AA0294">
      <w:pPr>
        <w:spacing w:after="200" w:line="276" w:lineRule="auto"/>
        <w:jc w:val="both"/>
        <w:rPr>
          <w:rFonts w:eastAsia="Cambria" w:cs="Arial"/>
          <w:szCs w:val="20"/>
          <w:lang w:val="sl-SI"/>
        </w:rPr>
      </w:pPr>
      <w:r w:rsidRPr="005771BD">
        <w:rPr>
          <w:rFonts w:eastAsia="Cambria" w:cs="Arial"/>
          <w:szCs w:val="20"/>
          <w:lang w:val="sl-SI"/>
        </w:rPr>
        <w:t xml:space="preserve">Ohranjena biotska raznovrstnost prinaša družbi koristi s t. i. ekosistemskimi storitvami. Ovrednotenje teh storitev na vseh upravnih ravneh (in prikaz v računih države) ter njihovo prostorsko umeščanje in upoštevanje pri prostorskem in razvojnem načrtovanju so pomembne naloge, prepoznane na mednarodni ravni že leta 2010. Na tem področju mora Slovenija še narediti pomemben korak. Uporaba genskih virov in delitev koristi od njihove uporabe pa je </w:t>
      </w:r>
      <w:r>
        <w:rPr>
          <w:rFonts w:eastAsia="Cambria" w:cs="Arial"/>
          <w:szCs w:val="20"/>
          <w:lang w:val="sl-SI"/>
        </w:rPr>
        <w:t xml:space="preserve">prav tako ena od </w:t>
      </w:r>
      <w:r w:rsidRPr="005771BD">
        <w:rPr>
          <w:rFonts w:eastAsia="Cambria" w:cs="Arial"/>
          <w:szCs w:val="20"/>
          <w:lang w:val="sl-SI"/>
        </w:rPr>
        <w:t>nalog, ki jih bo še treba opraviti.</w:t>
      </w:r>
    </w:p>
    <w:p w:rsidR="00AA0294" w:rsidRPr="005771BD" w:rsidRDefault="00AA0294" w:rsidP="00AA0294">
      <w:pPr>
        <w:spacing w:line="276" w:lineRule="auto"/>
        <w:jc w:val="both"/>
        <w:rPr>
          <w:rFonts w:eastAsia="Calibri" w:cs="Arial"/>
          <w:szCs w:val="20"/>
          <w:u w:val="single"/>
          <w:lang w:val="sl-SI"/>
        </w:rPr>
      </w:pPr>
      <w:r w:rsidRPr="005771BD">
        <w:rPr>
          <w:rFonts w:eastAsia="Calibri" w:cs="Arial"/>
          <w:szCs w:val="20"/>
          <w:u w:val="single"/>
          <w:lang w:val="sl-SI"/>
        </w:rPr>
        <w:t>Ključni izzivi:</w:t>
      </w:r>
    </w:p>
    <w:p w:rsidR="00AA0294" w:rsidRPr="005771BD" w:rsidRDefault="00AA0294" w:rsidP="00AA0294">
      <w:pPr>
        <w:numPr>
          <w:ilvl w:val="0"/>
          <w:numId w:val="76"/>
        </w:numPr>
        <w:spacing w:before="60" w:line="276" w:lineRule="auto"/>
        <w:ind w:left="284" w:hanging="284"/>
        <w:jc w:val="both"/>
        <w:rPr>
          <w:rFonts w:eastAsia="Calibri" w:cs="Arial"/>
          <w:szCs w:val="20"/>
          <w:lang w:val="sl-SI"/>
        </w:rPr>
      </w:pPr>
      <w:r w:rsidRPr="005771BD">
        <w:rPr>
          <w:rFonts w:eastAsia="Calibri" w:cs="Arial"/>
          <w:szCs w:val="20"/>
          <w:lang w:val="sl-SI"/>
        </w:rPr>
        <w:t>dopolnitev sicer že dobro vzpostavljenega okvira institucionalnega delovanja varstva narave, zlasti zaradi odzivanja na nove vsebine ter krepitev nadzora,</w:t>
      </w:r>
    </w:p>
    <w:p w:rsidR="00AA0294" w:rsidRPr="005771BD" w:rsidRDefault="00AA0294" w:rsidP="00AA0294">
      <w:pPr>
        <w:numPr>
          <w:ilvl w:val="0"/>
          <w:numId w:val="76"/>
        </w:numPr>
        <w:spacing w:before="60" w:line="276" w:lineRule="auto"/>
        <w:ind w:left="284" w:hanging="284"/>
        <w:jc w:val="both"/>
        <w:rPr>
          <w:rFonts w:eastAsia="Calibri" w:cs="Arial"/>
          <w:szCs w:val="20"/>
          <w:lang w:val="sl-SI"/>
        </w:rPr>
      </w:pPr>
      <w:r w:rsidRPr="005771BD">
        <w:rPr>
          <w:rFonts w:eastAsia="Calibri" w:cs="Arial"/>
          <w:szCs w:val="20"/>
          <w:lang w:val="sl-SI"/>
        </w:rPr>
        <w:t>okrepiti  vlogo ministrstva pri oblikovanju  ter izvajanju mednarodnih politik, politik EU in slovenskih politik,</w:t>
      </w:r>
    </w:p>
    <w:p w:rsidR="00AA0294" w:rsidRPr="005771BD" w:rsidRDefault="00AA0294" w:rsidP="00AA0294">
      <w:pPr>
        <w:numPr>
          <w:ilvl w:val="0"/>
          <w:numId w:val="76"/>
        </w:numPr>
        <w:spacing w:before="60" w:line="276" w:lineRule="auto"/>
        <w:ind w:left="284" w:hanging="284"/>
        <w:jc w:val="both"/>
        <w:rPr>
          <w:rFonts w:eastAsia="Calibri" w:cs="Arial"/>
          <w:szCs w:val="20"/>
          <w:lang w:val="sl-SI"/>
        </w:rPr>
      </w:pPr>
      <w:r w:rsidRPr="005771BD">
        <w:rPr>
          <w:rFonts w:eastAsia="Calibri" w:cs="Arial"/>
          <w:szCs w:val="20"/>
          <w:lang w:val="sl-SI"/>
        </w:rPr>
        <w:t>vključevanje politike varstva narave v politike in programe drugih resorjev ter oblikovanje skupnih zakonodajnih rešitev,</w:t>
      </w:r>
    </w:p>
    <w:p w:rsidR="00AA0294" w:rsidRPr="005771BD" w:rsidRDefault="00AA0294" w:rsidP="00AA0294">
      <w:pPr>
        <w:numPr>
          <w:ilvl w:val="0"/>
          <w:numId w:val="76"/>
        </w:numPr>
        <w:spacing w:before="60" w:line="276" w:lineRule="auto"/>
        <w:ind w:left="284" w:hanging="284"/>
        <w:jc w:val="both"/>
        <w:rPr>
          <w:rFonts w:eastAsia="Calibri" w:cs="Arial"/>
          <w:szCs w:val="20"/>
          <w:lang w:val="sl-SI"/>
        </w:rPr>
      </w:pPr>
      <w:r w:rsidRPr="005771BD">
        <w:rPr>
          <w:rFonts w:eastAsia="Calibri" w:cs="Arial"/>
          <w:szCs w:val="20"/>
          <w:lang w:val="sl-SI"/>
        </w:rPr>
        <w:t>kadrovska krepitev za obvladovanje novih vsebin, kakor so uporaba genskih virov in delitev koristi od njihove uporabe, obvladovanje invazivnih vrst, krepitev inšpekcijskega in naravovarstvenega nadzora,</w:t>
      </w:r>
    </w:p>
    <w:p w:rsidR="00AA0294" w:rsidRPr="005771BD" w:rsidRDefault="00AA0294" w:rsidP="00AA0294">
      <w:pPr>
        <w:numPr>
          <w:ilvl w:val="0"/>
          <w:numId w:val="76"/>
        </w:numPr>
        <w:spacing w:before="60" w:line="276" w:lineRule="auto"/>
        <w:ind w:left="284" w:hanging="284"/>
        <w:jc w:val="both"/>
        <w:rPr>
          <w:rFonts w:eastAsia="Calibri" w:cs="Arial"/>
          <w:szCs w:val="20"/>
          <w:lang w:val="sl-SI"/>
        </w:rPr>
      </w:pPr>
      <w:r w:rsidRPr="005771BD">
        <w:rPr>
          <w:rFonts w:eastAsia="Calibri" w:cs="Arial"/>
          <w:szCs w:val="20"/>
          <w:lang w:val="sl-SI"/>
        </w:rPr>
        <w:t>krepitev  financiranja ukrepov varstva narave v vseh skladih EU, za kar je ključna zgodnja in ustrezna vključitev v oblikovanje pravil črpanja teh sredstev in programe za njihovo črpanje,</w:t>
      </w:r>
    </w:p>
    <w:p w:rsidR="00AA0294" w:rsidRPr="005771BD" w:rsidRDefault="00AA0294" w:rsidP="00AA0294">
      <w:pPr>
        <w:numPr>
          <w:ilvl w:val="0"/>
          <w:numId w:val="76"/>
        </w:numPr>
        <w:spacing w:before="60" w:line="276" w:lineRule="auto"/>
        <w:ind w:left="284" w:hanging="284"/>
        <w:jc w:val="both"/>
        <w:rPr>
          <w:rFonts w:eastAsia="Calibri" w:cs="Arial"/>
          <w:szCs w:val="20"/>
          <w:lang w:val="sl-SI"/>
        </w:rPr>
      </w:pPr>
      <w:r w:rsidRPr="005771BD">
        <w:rPr>
          <w:rFonts w:eastAsia="Calibri" w:cs="Arial"/>
          <w:szCs w:val="20"/>
          <w:lang w:val="sl-SI"/>
        </w:rPr>
        <w:t>krepitev sistema spremljanja stanja biotske raznovrstnosti in zagotavljanje uporabniku prijazne dostopnosti zbranih podatkov,</w:t>
      </w:r>
    </w:p>
    <w:p w:rsidR="00AA0294" w:rsidRPr="005771BD" w:rsidRDefault="00AA0294" w:rsidP="0000410C">
      <w:pPr>
        <w:numPr>
          <w:ilvl w:val="0"/>
          <w:numId w:val="76"/>
        </w:numPr>
        <w:spacing w:before="60" w:after="360" w:line="276" w:lineRule="auto"/>
        <w:ind w:left="284" w:hanging="284"/>
        <w:jc w:val="both"/>
        <w:rPr>
          <w:rFonts w:eastAsia="Calibri" w:cs="Arial"/>
          <w:szCs w:val="20"/>
          <w:lang w:val="sl-SI"/>
        </w:rPr>
      </w:pPr>
      <w:r w:rsidRPr="005771BD">
        <w:rPr>
          <w:rFonts w:eastAsia="Calibri" w:cs="Arial"/>
          <w:szCs w:val="20"/>
          <w:lang w:val="sl-SI"/>
        </w:rPr>
        <w:t xml:space="preserve">uvrstitev tematike varstva narave v programe šolajoče se mladine in ozaveščevalne aktivnosti. </w:t>
      </w:r>
    </w:p>
    <w:p w:rsidR="00993FB7" w:rsidRPr="00993FB7" w:rsidRDefault="0000410C" w:rsidP="00993FB7">
      <w:pPr>
        <w:spacing w:after="200" w:line="276" w:lineRule="auto"/>
        <w:jc w:val="both"/>
        <w:rPr>
          <w:rFonts w:eastAsia="Calibri" w:cs="Arial"/>
          <w:b/>
          <w:bCs/>
          <w:szCs w:val="20"/>
          <w:u w:val="single"/>
          <w:lang w:val="sl-SI"/>
        </w:rPr>
      </w:pPr>
      <w:r>
        <w:rPr>
          <w:rFonts w:eastAsia="Calibri" w:cs="Arial"/>
          <w:b/>
          <w:bCs/>
          <w:szCs w:val="20"/>
          <w:u w:val="single"/>
          <w:lang w:val="sl-SI"/>
        </w:rPr>
        <w:t>5</w:t>
      </w:r>
      <w:r w:rsidR="00993FB7" w:rsidRPr="00993FB7">
        <w:rPr>
          <w:rFonts w:eastAsia="Calibri" w:cs="Arial"/>
          <w:b/>
          <w:bCs/>
          <w:szCs w:val="20"/>
          <w:u w:val="single"/>
          <w:lang w:val="sl-SI"/>
        </w:rPr>
        <w:t>.6 Uporabljeni kazalci stanja okolja</w:t>
      </w:r>
    </w:p>
    <w:p w:rsidR="00993FB7" w:rsidRPr="00993FB7" w:rsidRDefault="00615811" w:rsidP="00993FB7">
      <w:pPr>
        <w:spacing w:line="276" w:lineRule="auto"/>
        <w:jc w:val="both"/>
        <w:rPr>
          <w:rFonts w:eastAsia="Calibri" w:cs="Arial"/>
          <w:szCs w:val="20"/>
          <w:lang w:val="sl-SI"/>
        </w:rPr>
      </w:pPr>
      <w:r>
        <w:rPr>
          <w:rFonts w:eastAsia="Calibri" w:cs="Arial"/>
          <w:szCs w:val="20"/>
          <w:lang w:val="sl-SI"/>
        </w:rPr>
        <w:t>[</w:t>
      </w:r>
      <w:r w:rsidR="00993FB7" w:rsidRPr="00993FB7">
        <w:rPr>
          <w:rFonts w:eastAsia="Calibri" w:cs="Arial"/>
          <w:szCs w:val="20"/>
          <w:lang w:val="sl-SI"/>
        </w:rPr>
        <w:t>NB01</w:t>
      </w:r>
      <w:r>
        <w:rPr>
          <w:rFonts w:eastAsia="Calibri" w:cs="Arial"/>
          <w:szCs w:val="20"/>
          <w:lang w:val="sl-SI"/>
        </w:rPr>
        <w:t>]</w:t>
      </w:r>
      <w:r w:rsidR="00993FB7" w:rsidRPr="00993FB7">
        <w:rPr>
          <w:rFonts w:eastAsia="Calibri" w:cs="Arial"/>
          <w:szCs w:val="20"/>
          <w:lang w:val="sl-SI"/>
        </w:rPr>
        <w:t xml:space="preserve"> Velikost populacij izbranih vrst ptic</w:t>
      </w:r>
    </w:p>
    <w:p w:rsidR="00993FB7" w:rsidRPr="00993FB7" w:rsidRDefault="00615811" w:rsidP="00993FB7">
      <w:pPr>
        <w:spacing w:line="276" w:lineRule="auto"/>
        <w:jc w:val="both"/>
        <w:rPr>
          <w:rFonts w:eastAsia="Calibri" w:cs="Arial"/>
          <w:szCs w:val="20"/>
          <w:lang w:val="sl-SI"/>
        </w:rPr>
      </w:pPr>
      <w:r>
        <w:rPr>
          <w:rFonts w:eastAsia="Calibri" w:cs="Arial"/>
          <w:szCs w:val="20"/>
          <w:lang w:val="sl-SI"/>
        </w:rPr>
        <w:t>[</w:t>
      </w:r>
      <w:r w:rsidR="00993FB7" w:rsidRPr="00993FB7">
        <w:rPr>
          <w:rFonts w:eastAsia="Calibri" w:cs="Arial"/>
          <w:szCs w:val="20"/>
          <w:lang w:val="sl-SI"/>
        </w:rPr>
        <w:t>NB02</w:t>
      </w:r>
      <w:r>
        <w:rPr>
          <w:rFonts w:eastAsia="Calibri" w:cs="Arial"/>
          <w:szCs w:val="20"/>
          <w:lang w:val="sl-SI"/>
        </w:rPr>
        <w:t>]</w:t>
      </w:r>
      <w:r w:rsidR="00993FB7" w:rsidRPr="00993FB7">
        <w:rPr>
          <w:rFonts w:eastAsia="Calibri" w:cs="Arial"/>
          <w:szCs w:val="20"/>
          <w:lang w:val="sl-SI"/>
        </w:rPr>
        <w:t xml:space="preserve"> Ogrožene vrste</w:t>
      </w:r>
    </w:p>
    <w:p w:rsidR="00993FB7" w:rsidRPr="00993FB7" w:rsidRDefault="00615811" w:rsidP="00993FB7">
      <w:pPr>
        <w:spacing w:line="276" w:lineRule="auto"/>
        <w:jc w:val="both"/>
        <w:rPr>
          <w:rFonts w:eastAsia="Calibri" w:cs="Arial"/>
          <w:szCs w:val="20"/>
          <w:lang w:val="sl-SI"/>
        </w:rPr>
      </w:pPr>
      <w:r>
        <w:rPr>
          <w:rFonts w:eastAsia="Calibri" w:cs="Arial"/>
          <w:szCs w:val="20"/>
          <w:lang w:val="sl-SI"/>
        </w:rPr>
        <w:t>[</w:t>
      </w:r>
      <w:r w:rsidR="00993FB7" w:rsidRPr="00993FB7">
        <w:rPr>
          <w:rFonts w:eastAsia="Calibri" w:cs="Arial"/>
          <w:szCs w:val="20"/>
          <w:lang w:val="sl-SI"/>
        </w:rPr>
        <w:t>NB06</w:t>
      </w:r>
      <w:r>
        <w:rPr>
          <w:rFonts w:eastAsia="Calibri" w:cs="Arial"/>
          <w:szCs w:val="20"/>
          <w:lang w:val="sl-SI"/>
        </w:rPr>
        <w:t>]</w:t>
      </w:r>
      <w:r w:rsidR="00993FB7" w:rsidRPr="00993FB7">
        <w:rPr>
          <w:rFonts w:eastAsia="Calibri" w:cs="Arial"/>
          <w:szCs w:val="20"/>
          <w:lang w:val="sl-SI"/>
        </w:rPr>
        <w:t xml:space="preserve"> Rjavi medved</w:t>
      </w:r>
    </w:p>
    <w:p w:rsidR="00993FB7" w:rsidRPr="00993FB7" w:rsidRDefault="00615811" w:rsidP="00993FB7">
      <w:pPr>
        <w:spacing w:line="276" w:lineRule="auto"/>
        <w:jc w:val="both"/>
        <w:rPr>
          <w:rFonts w:eastAsia="Calibri" w:cs="Arial"/>
          <w:szCs w:val="20"/>
          <w:lang w:val="sl-SI"/>
        </w:rPr>
      </w:pPr>
      <w:r>
        <w:rPr>
          <w:rFonts w:eastAsia="Calibri" w:cs="Arial"/>
          <w:szCs w:val="20"/>
          <w:lang w:val="sl-SI"/>
        </w:rPr>
        <w:t>[</w:t>
      </w:r>
      <w:r w:rsidR="00993FB7" w:rsidRPr="00993FB7">
        <w:rPr>
          <w:rFonts w:eastAsia="Calibri" w:cs="Arial"/>
          <w:szCs w:val="20"/>
          <w:lang w:val="sl-SI"/>
        </w:rPr>
        <w:t>NB07</w:t>
      </w:r>
      <w:r>
        <w:rPr>
          <w:rFonts w:eastAsia="Calibri" w:cs="Arial"/>
          <w:szCs w:val="20"/>
          <w:lang w:val="sl-SI"/>
        </w:rPr>
        <w:t>]</w:t>
      </w:r>
      <w:r w:rsidR="00993FB7" w:rsidRPr="00993FB7">
        <w:rPr>
          <w:rFonts w:eastAsia="Calibri" w:cs="Arial"/>
          <w:szCs w:val="20"/>
          <w:lang w:val="sl-SI"/>
        </w:rPr>
        <w:t xml:space="preserve"> Odškodnine za škodo, ki jo povzročijo živali zavarovanih vrst</w:t>
      </w:r>
    </w:p>
    <w:p w:rsidR="00993FB7" w:rsidRPr="00993FB7" w:rsidRDefault="00615811" w:rsidP="00993FB7">
      <w:pPr>
        <w:spacing w:line="276" w:lineRule="auto"/>
        <w:jc w:val="both"/>
        <w:rPr>
          <w:rFonts w:eastAsia="Calibri" w:cs="Arial"/>
          <w:szCs w:val="20"/>
          <w:lang w:val="sl-SI"/>
        </w:rPr>
      </w:pPr>
      <w:r>
        <w:rPr>
          <w:rFonts w:eastAsia="Calibri" w:cs="Arial"/>
          <w:szCs w:val="20"/>
          <w:lang w:val="sl-SI"/>
        </w:rPr>
        <w:t>[</w:t>
      </w:r>
      <w:r w:rsidR="00993FB7" w:rsidRPr="00993FB7">
        <w:rPr>
          <w:rFonts w:eastAsia="Calibri" w:cs="Arial"/>
          <w:szCs w:val="20"/>
          <w:lang w:val="sl-SI"/>
        </w:rPr>
        <w:t>NB09</w:t>
      </w:r>
      <w:r>
        <w:rPr>
          <w:rFonts w:eastAsia="Calibri" w:cs="Arial"/>
          <w:szCs w:val="20"/>
          <w:lang w:val="sl-SI"/>
        </w:rPr>
        <w:t>]</w:t>
      </w:r>
      <w:r w:rsidR="00993FB7" w:rsidRPr="00993FB7">
        <w:rPr>
          <w:rFonts w:eastAsia="Calibri" w:cs="Arial"/>
          <w:szCs w:val="20"/>
          <w:lang w:val="sl-SI"/>
        </w:rPr>
        <w:t xml:space="preserve"> Rastline - invazivne vrste</w:t>
      </w:r>
    </w:p>
    <w:p w:rsidR="00993FB7" w:rsidRPr="00993FB7" w:rsidRDefault="00615811" w:rsidP="00993FB7">
      <w:pPr>
        <w:spacing w:line="276" w:lineRule="auto"/>
        <w:jc w:val="both"/>
        <w:rPr>
          <w:rFonts w:eastAsia="Calibri" w:cs="Arial"/>
          <w:szCs w:val="20"/>
          <w:lang w:val="sl-SI"/>
        </w:rPr>
      </w:pPr>
      <w:r>
        <w:rPr>
          <w:rFonts w:eastAsia="Calibri" w:cs="Arial"/>
          <w:szCs w:val="20"/>
          <w:lang w:val="sl-SI"/>
        </w:rPr>
        <w:t>[</w:t>
      </w:r>
      <w:r w:rsidR="00993FB7" w:rsidRPr="00993FB7">
        <w:rPr>
          <w:rFonts w:eastAsia="Calibri" w:cs="Arial"/>
          <w:szCs w:val="20"/>
          <w:lang w:val="sl-SI"/>
        </w:rPr>
        <w:t>NV01</w:t>
      </w:r>
      <w:r>
        <w:rPr>
          <w:rFonts w:eastAsia="Calibri" w:cs="Arial"/>
          <w:szCs w:val="20"/>
          <w:lang w:val="sl-SI"/>
        </w:rPr>
        <w:t>]</w:t>
      </w:r>
      <w:r w:rsidR="00993FB7" w:rsidRPr="00993FB7">
        <w:rPr>
          <w:rFonts w:eastAsia="Calibri" w:cs="Arial"/>
          <w:szCs w:val="20"/>
          <w:lang w:val="sl-SI"/>
        </w:rPr>
        <w:t xml:space="preserve"> Varovana območja narave</w:t>
      </w:r>
    </w:p>
    <w:p w:rsidR="00993FB7" w:rsidRPr="00993FB7" w:rsidRDefault="00615811" w:rsidP="00993FB7">
      <w:pPr>
        <w:spacing w:line="276" w:lineRule="auto"/>
        <w:jc w:val="both"/>
        <w:rPr>
          <w:rFonts w:eastAsia="Calibri" w:cs="Arial"/>
          <w:szCs w:val="20"/>
          <w:lang w:val="sl-SI"/>
        </w:rPr>
      </w:pPr>
      <w:r>
        <w:rPr>
          <w:rFonts w:eastAsia="Calibri" w:cs="Arial"/>
          <w:szCs w:val="20"/>
          <w:lang w:val="sl-SI"/>
        </w:rPr>
        <w:t>[</w:t>
      </w:r>
      <w:r w:rsidR="00993FB7" w:rsidRPr="00993FB7">
        <w:rPr>
          <w:rFonts w:eastAsia="Calibri" w:cs="Arial"/>
          <w:szCs w:val="20"/>
          <w:lang w:val="sl-SI"/>
        </w:rPr>
        <w:t>NV02</w:t>
      </w:r>
      <w:r>
        <w:rPr>
          <w:rFonts w:eastAsia="Calibri" w:cs="Arial"/>
          <w:szCs w:val="20"/>
          <w:lang w:val="sl-SI"/>
        </w:rPr>
        <w:t>]</w:t>
      </w:r>
      <w:r w:rsidR="00993FB7" w:rsidRPr="00993FB7">
        <w:rPr>
          <w:rFonts w:eastAsia="Calibri" w:cs="Arial"/>
          <w:szCs w:val="20"/>
          <w:lang w:val="sl-SI"/>
        </w:rPr>
        <w:t xml:space="preserve"> Zavarovana območja</w:t>
      </w:r>
    </w:p>
    <w:p w:rsidR="00993FB7" w:rsidRPr="00993FB7" w:rsidRDefault="00615811" w:rsidP="00993FB7">
      <w:pPr>
        <w:spacing w:line="276" w:lineRule="auto"/>
        <w:jc w:val="both"/>
        <w:rPr>
          <w:rFonts w:eastAsia="Calibri" w:cs="Arial"/>
          <w:szCs w:val="20"/>
          <w:lang w:val="sl-SI"/>
        </w:rPr>
      </w:pPr>
      <w:r>
        <w:rPr>
          <w:rFonts w:eastAsia="Calibri" w:cs="Arial"/>
          <w:szCs w:val="20"/>
          <w:lang w:val="sl-SI"/>
        </w:rPr>
        <w:t>[</w:t>
      </w:r>
      <w:r w:rsidR="00993FB7" w:rsidRPr="00993FB7">
        <w:rPr>
          <w:rFonts w:eastAsia="Calibri" w:cs="Arial"/>
          <w:szCs w:val="20"/>
          <w:lang w:val="sl-SI"/>
        </w:rPr>
        <w:t>NV03</w:t>
      </w:r>
      <w:r>
        <w:rPr>
          <w:rFonts w:eastAsia="Calibri" w:cs="Arial"/>
          <w:szCs w:val="20"/>
          <w:lang w:val="sl-SI"/>
        </w:rPr>
        <w:t>]</w:t>
      </w:r>
      <w:r w:rsidR="00993FB7" w:rsidRPr="00993FB7">
        <w:rPr>
          <w:rFonts w:eastAsia="Calibri" w:cs="Arial"/>
          <w:szCs w:val="20"/>
          <w:lang w:val="sl-SI"/>
        </w:rPr>
        <w:t xml:space="preserve"> Natura 2000</w:t>
      </w:r>
    </w:p>
    <w:p w:rsidR="00993FB7" w:rsidRPr="00993FB7" w:rsidRDefault="00615811" w:rsidP="00993FB7">
      <w:pPr>
        <w:spacing w:line="276" w:lineRule="auto"/>
        <w:jc w:val="both"/>
        <w:rPr>
          <w:rFonts w:eastAsia="Calibri" w:cs="Arial"/>
          <w:szCs w:val="20"/>
          <w:lang w:val="sl-SI"/>
        </w:rPr>
      </w:pPr>
      <w:r>
        <w:rPr>
          <w:rFonts w:eastAsia="Calibri" w:cs="Arial"/>
          <w:szCs w:val="20"/>
          <w:lang w:val="sl-SI"/>
        </w:rPr>
        <w:t>[</w:t>
      </w:r>
      <w:r w:rsidR="00993FB7" w:rsidRPr="00993FB7">
        <w:rPr>
          <w:rFonts w:eastAsia="Calibri" w:cs="Arial"/>
          <w:szCs w:val="20"/>
          <w:lang w:val="sl-SI"/>
        </w:rPr>
        <w:t>NV04</w:t>
      </w:r>
      <w:r>
        <w:rPr>
          <w:rFonts w:eastAsia="Calibri" w:cs="Arial"/>
          <w:szCs w:val="20"/>
          <w:lang w:val="sl-SI"/>
        </w:rPr>
        <w:t>]</w:t>
      </w:r>
      <w:r w:rsidR="00993FB7" w:rsidRPr="00993FB7">
        <w:rPr>
          <w:rFonts w:eastAsia="Calibri" w:cs="Arial"/>
          <w:szCs w:val="20"/>
          <w:lang w:val="sl-SI"/>
        </w:rPr>
        <w:t xml:space="preserve"> Naravne vrednote</w:t>
      </w:r>
    </w:p>
    <w:p w:rsidR="00993FB7" w:rsidRPr="00993FB7" w:rsidRDefault="00615811" w:rsidP="00993FB7">
      <w:pPr>
        <w:spacing w:line="276" w:lineRule="auto"/>
        <w:jc w:val="both"/>
        <w:rPr>
          <w:rFonts w:eastAsia="Calibri" w:cs="Arial"/>
          <w:szCs w:val="20"/>
          <w:lang w:val="sl-SI"/>
        </w:rPr>
      </w:pPr>
      <w:r>
        <w:rPr>
          <w:rFonts w:eastAsia="Calibri" w:cs="Arial"/>
          <w:szCs w:val="20"/>
          <w:lang w:val="sl-SI"/>
        </w:rPr>
        <w:t>[</w:t>
      </w:r>
      <w:r w:rsidR="00993FB7" w:rsidRPr="00993FB7">
        <w:rPr>
          <w:rFonts w:eastAsia="Calibri" w:cs="Arial"/>
          <w:szCs w:val="20"/>
          <w:lang w:val="sl-SI"/>
        </w:rPr>
        <w:t>EN16</w:t>
      </w:r>
      <w:r>
        <w:rPr>
          <w:rFonts w:eastAsia="Calibri" w:cs="Arial"/>
          <w:szCs w:val="20"/>
          <w:lang w:val="sl-SI"/>
        </w:rPr>
        <w:t>]</w:t>
      </w:r>
      <w:r w:rsidR="00993FB7" w:rsidRPr="00993FB7">
        <w:rPr>
          <w:rFonts w:eastAsia="Calibri" w:cs="Arial"/>
          <w:szCs w:val="20"/>
          <w:lang w:val="sl-SI"/>
        </w:rPr>
        <w:t xml:space="preserve"> Skupna raba energije po gorivih</w:t>
      </w:r>
    </w:p>
    <w:p w:rsidR="00993FB7" w:rsidRPr="00993FB7" w:rsidRDefault="00615811" w:rsidP="00993FB7">
      <w:pPr>
        <w:spacing w:line="276" w:lineRule="auto"/>
        <w:jc w:val="both"/>
        <w:rPr>
          <w:rFonts w:eastAsia="Calibri" w:cs="Arial"/>
          <w:szCs w:val="20"/>
          <w:lang w:val="sl-SI"/>
        </w:rPr>
      </w:pPr>
      <w:r>
        <w:rPr>
          <w:rFonts w:eastAsia="Calibri" w:cs="Arial"/>
          <w:szCs w:val="20"/>
          <w:lang w:val="sl-SI"/>
        </w:rPr>
        <w:t>[</w:t>
      </w:r>
      <w:r w:rsidR="00993FB7" w:rsidRPr="00993FB7">
        <w:rPr>
          <w:rFonts w:eastAsia="Calibri" w:cs="Arial"/>
          <w:szCs w:val="20"/>
          <w:lang w:val="sl-SI"/>
        </w:rPr>
        <w:t>EN19</w:t>
      </w:r>
      <w:r>
        <w:rPr>
          <w:rFonts w:eastAsia="Calibri" w:cs="Arial"/>
          <w:szCs w:val="20"/>
          <w:lang w:val="sl-SI"/>
        </w:rPr>
        <w:t>]</w:t>
      </w:r>
      <w:r w:rsidR="00993FB7" w:rsidRPr="00993FB7">
        <w:rPr>
          <w:rFonts w:eastAsia="Calibri" w:cs="Arial"/>
          <w:szCs w:val="20"/>
          <w:lang w:val="sl-SI"/>
        </w:rPr>
        <w:t xml:space="preserve"> Proizvodnja električne energije iz obnovljivih virov energije</w:t>
      </w:r>
    </w:p>
    <w:p w:rsidR="00993FB7" w:rsidRPr="00993FB7" w:rsidRDefault="00615811" w:rsidP="00993FB7">
      <w:pPr>
        <w:spacing w:line="276" w:lineRule="auto"/>
        <w:jc w:val="both"/>
        <w:rPr>
          <w:rFonts w:eastAsia="Calibri" w:cs="Arial"/>
          <w:szCs w:val="20"/>
          <w:lang w:val="sl-SI"/>
        </w:rPr>
      </w:pPr>
      <w:r>
        <w:rPr>
          <w:rFonts w:eastAsia="Calibri" w:cs="Arial"/>
          <w:szCs w:val="20"/>
          <w:lang w:val="sl-SI"/>
        </w:rPr>
        <w:t>[</w:t>
      </w:r>
      <w:r w:rsidR="00993FB7" w:rsidRPr="00993FB7">
        <w:rPr>
          <w:rFonts w:eastAsia="Calibri" w:cs="Arial"/>
          <w:szCs w:val="20"/>
          <w:lang w:val="sl-SI"/>
        </w:rPr>
        <w:t>EN22</w:t>
      </w:r>
      <w:r>
        <w:rPr>
          <w:rFonts w:eastAsia="Calibri" w:cs="Arial"/>
          <w:szCs w:val="20"/>
          <w:lang w:val="sl-SI"/>
        </w:rPr>
        <w:t>]</w:t>
      </w:r>
      <w:r w:rsidR="00993FB7" w:rsidRPr="00993FB7">
        <w:rPr>
          <w:rFonts w:eastAsia="Calibri" w:cs="Arial"/>
          <w:szCs w:val="20"/>
          <w:lang w:val="sl-SI"/>
        </w:rPr>
        <w:t xml:space="preserve"> Subvencije v energetiki</w:t>
      </w:r>
    </w:p>
    <w:p w:rsidR="00993FB7" w:rsidRPr="00993FB7" w:rsidRDefault="00615811" w:rsidP="00993FB7">
      <w:pPr>
        <w:spacing w:line="276" w:lineRule="auto"/>
        <w:jc w:val="both"/>
        <w:rPr>
          <w:rFonts w:eastAsia="Calibri" w:cs="Arial"/>
          <w:szCs w:val="20"/>
          <w:lang w:val="sl-SI"/>
        </w:rPr>
      </w:pPr>
      <w:r>
        <w:rPr>
          <w:rFonts w:eastAsia="Calibri" w:cs="Arial"/>
          <w:szCs w:val="20"/>
          <w:lang w:val="sl-SI"/>
        </w:rPr>
        <w:t>[</w:t>
      </w:r>
      <w:r w:rsidR="00993FB7" w:rsidRPr="00993FB7">
        <w:rPr>
          <w:rFonts w:eastAsia="Calibri" w:cs="Arial"/>
          <w:szCs w:val="20"/>
          <w:lang w:val="sl-SI"/>
        </w:rPr>
        <w:t>GZ02</w:t>
      </w:r>
      <w:r>
        <w:rPr>
          <w:rFonts w:eastAsia="Calibri" w:cs="Arial"/>
          <w:szCs w:val="20"/>
          <w:lang w:val="sl-SI"/>
        </w:rPr>
        <w:t>]</w:t>
      </w:r>
      <w:r w:rsidR="00993FB7" w:rsidRPr="00993FB7">
        <w:rPr>
          <w:rFonts w:eastAsia="Calibri" w:cs="Arial"/>
          <w:szCs w:val="20"/>
          <w:lang w:val="sl-SI"/>
        </w:rPr>
        <w:t xml:space="preserve"> Ohranjenost gozdov</w:t>
      </w:r>
    </w:p>
    <w:p w:rsidR="00993FB7" w:rsidRPr="00993FB7" w:rsidRDefault="00615811" w:rsidP="00993FB7">
      <w:pPr>
        <w:spacing w:line="276" w:lineRule="auto"/>
        <w:jc w:val="both"/>
        <w:rPr>
          <w:rFonts w:eastAsia="Calibri" w:cs="Arial"/>
          <w:szCs w:val="20"/>
          <w:lang w:val="sl-SI"/>
        </w:rPr>
      </w:pPr>
      <w:r>
        <w:rPr>
          <w:rFonts w:eastAsia="Calibri" w:cs="Arial"/>
          <w:szCs w:val="20"/>
          <w:lang w:val="sl-SI"/>
        </w:rPr>
        <w:t>[</w:t>
      </w:r>
      <w:r w:rsidR="00993FB7" w:rsidRPr="00993FB7">
        <w:rPr>
          <w:rFonts w:eastAsia="Calibri" w:cs="Arial"/>
          <w:szCs w:val="20"/>
          <w:lang w:val="sl-SI"/>
        </w:rPr>
        <w:t>GZ04</w:t>
      </w:r>
      <w:r>
        <w:rPr>
          <w:rFonts w:eastAsia="Calibri" w:cs="Arial"/>
          <w:szCs w:val="20"/>
          <w:lang w:val="sl-SI"/>
        </w:rPr>
        <w:t>]</w:t>
      </w:r>
      <w:r w:rsidR="00993FB7" w:rsidRPr="00993FB7">
        <w:rPr>
          <w:rFonts w:eastAsia="Calibri" w:cs="Arial"/>
          <w:szCs w:val="20"/>
          <w:lang w:val="sl-SI"/>
        </w:rPr>
        <w:t xml:space="preserve"> Površina gozda</w:t>
      </w:r>
    </w:p>
    <w:p w:rsidR="00993FB7" w:rsidRPr="00993FB7" w:rsidRDefault="00615811" w:rsidP="00993FB7">
      <w:pPr>
        <w:spacing w:line="276" w:lineRule="auto"/>
        <w:jc w:val="both"/>
        <w:rPr>
          <w:rFonts w:eastAsia="Calibri" w:cs="Arial"/>
          <w:szCs w:val="20"/>
          <w:lang w:val="sl-SI"/>
        </w:rPr>
      </w:pPr>
      <w:r>
        <w:rPr>
          <w:rFonts w:eastAsia="Calibri" w:cs="Arial"/>
          <w:szCs w:val="20"/>
          <w:lang w:val="sl-SI"/>
        </w:rPr>
        <w:t>[</w:t>
      </w:r>
      <w:r w:rsidR="00993FB7" w:rsidRPr="00993FB7">
        <w:rPr>
          <w:rFonts w:eastAsia="Calibri" w:cs="Arial"/>
          <w:szCs w:val="20"/>
          <w:lang w:val="sl-SI"/>
        </w:rPr>
        <w:t>GZ05</w:t>
      </w:r>
      <w:r>
        <w:rPr>
          <w:rFonts w:eastAsia="Calibri" w:cs="Arial"/>
          <w:szCs w:val="20"/>
          <w:lang w:val="sl-SI"/>
        </w:rPr>
        <w:t>]</w:t>
      </w:r>
      <w:r w:rsidR="00993FB7" w:rsidRPr="00993FB7">
        <w:rPr>
          <w:rFonts w:eastAsia="Calibri" w:cs="Arial"/>
          <w:szCs w:val="20"/>
          <w:lang w:val="sl-SI"/>
        </w:rPr>
        <w:t xml:space="preserve"> Krčitve gozda</w:t>
      </w:r>
    </w:p>
    <w:p w:rsidR="00993FB7" w:rsidRPr="00993FB7" w:rsidRDefault="00615811" w:rsidP="00993FB7">
      <w:pPr>
        <w:spacing w:line="276" w:lineRule="auto"/>
        <w:jc w:val="both"/>
        <w:rPr>
          <w:rFonts w:eastAsia="Calibri" w:cs="Arial"/>
          <w:szCs w:val="20"/>
          <w:lang w:val="sl-SI"/>
        </w:rPr>
      </w:pPr>
      <w:r>
        <w:rPr>
          <w:rFonts w:eastAsia="Calibri" w:cs="Arial"/>
          <w:szCs w:val="20"/>
          <w:lang w:val="sl-SI"/>
        </w:rPr>
        <w:t>[</w:t>
      </w:r>
      <w:r w:rsidR="00993FB7" w:rsidRPr="00993FB7">
        <w:rPr>
          <w:rFonts w:eastAsia="Calibri" w:cs="Arial"/>
          <w:szCs w:val="20"/>
          <w:lang w:val="sl-SI"/>
        </w:rPr>
        <w:t>GZ06</w:t>
      </w:r>
      <w:r>
        <w:rPr>
          <w:rFonts w:eastAsia="Calibri" w:cs="Arial"/>
          <w:szCs w:val="20"/>
          <w:lang w:val="sl-SI"/>
        </w:rPr>
        <w:t>]</w:t>
      </w:r>
      <w:r w:rsidR="00993FB7" w:rsidRPr="00993FB7">
        <w:rPr>
          <w:rFonts w:eastAsia="Calibri" w:cs="Arial"/>
          <w:szCs w:val="20"/>
          <w:lang w:val="sl-SI"/>
        </w:rPr>
        <w:t xml:space="preserve"> Odmrla lesna biomasa</w:t>
      </w:r>
    </w:p>
    <w:p w:rsidR="00993FB7" w:rsidRPr="00993FB7" w:rsidRDefault="00615811" w:rsidP="00993FB7">
      <w:pPr>
        <w:spacing w:line="276" w:lineRule="auto"/>
        <w:jc w:val="both"/>
        <w:rPr>
          <w:rFonts w:eastAsia="Calibri" w:cs="Arial"/>
          <w:szCs w:val="20"/>
          <w:lang w:val="sl-SI"/>
        </w:rPr>
      </w:pPr>
      <w:r>
        <w:rPr>
          <w:rFonts w:eastAsia="Calibri" w:cs="Arial"/>
          <w:szCs w:val="20"/>
          <w:lang w:val="sl-SI"/>
        </w:rPr>
        <w:t>[</w:t>
      </w:r>
      <w:r w:rsidR="00993FB7" w:rsidRPr="00993FB7">
        <w:rPr>
          <w:rFonts w:eastAsia="Calibri" w:cs="Arial"/>
          <w:szCs w:val="20"/>
          <w:lang w:val="sl-SI"/>
        </w:rPr>
        <w:t>KM01</w:t>
      </w:r>
      <w:r>
        <w:rPr>
          <w:rFonts w:eastAsia="Calibri" w:cs="Arial"/>
          <w:szCs w:val="20"/>
          <w:lang w:val="sl-SI"/>
        </w:rPr>
        <w:t>]</w:t>
      </w:r>
      <w:r w:rsidR="00993FB7" w:rsidRPr="00993FB7">
        <w:rPr>
          <w:rFonts w:eastAsia="Calibri" w:cs="Arial"/>
          <w:szCs w:val="20"/>
          <w:lang w:val="sl-SI"/>
        </w:rPr>
        <w:t xml:space="preserve"> Poraba sredstev za varstvo rastlin</w:t>
      </w:r>
    </w:p>
    <w:p w:rsidR="00993FB7" w:rsidRPr="00993FB7" w:rsidRDefault="00615811" w:rsidP="00993FB7">
      <w:pPr>
        <w:spacing w:line="276" w:lineRule="auto"/>
        <w:jc w:val="both"/>
        <w:rPr>
          <w:rFonts w:eastAsia="Calibri" w:cs="Arial"/>
          <w:szCs w:val="20"/>
          <w:lang w:val="sl-SI"/>
        </w:rPr>
      </w:pPr>
      <w:r>
        <w:rPr>
          <w:rFonts w:eastAsia="Calibri" w:cs="Arial"/>
          <w:szCs w:val="20"/>
          <w:lang w:val="sl-SI"/>
        </w:rPr>
        <w:t>[</w:t>
      </w:r>
      <w:r w:rsidR="00993FB7" w:rsidRPr="00993FB7">
        <w:rPr>
          <w:rFonts w:eastAsia="Calibri" w:cs="Arial"/>
          <w:szCs w:val="20"/>
          <w:lang w:val="sl-SI"/>
        </w:rPr>
        <w:t>KM02</w:t>
      </w:r>
      <w:r>
        <w:rPr>
          <w:rFonts w:eastAsia="Calibri" w:cs="Arial"/>
          <w:szCs w:val="20"/>
          <w:lang w:val="sl-SI"/>
        </w:rPr>
        <w:t>]</w:t>
      </w:r>
      <w:r w:rsidR="00993FB7" w:rsidRPr="00993FB7">
        <w:rPr>
          <w:rFonts w:eastAsia="Calibri" w:cs="Arial"/>
          <w:szCs w:val="20"/>
          <w:lang w:val="sl-SI"/>
        </w:rPr>
        <w:t xml:space="preserve"> Poraba mineralnih gnojil</w:t>
      </w:r>
    </w:p>
    <w:p w:rsidR="00993FB7" w:rsidRPr="00993FB7" w:rsidRDefault="00615811" w:rsidP="00993FB7">
      <w:pPr>
        <w:spacing w:line="276" w:lineRule="auto"/>
        <w:jc w:val="both"/>
        <w:rPr>
          <w:rFonts w:eastAsia="Calibri" w:cs="Arial"/>
          <w:szCs w:val="20"/>
          <w:lang w:val="sl-SI"/>
        </w:rPr>
      </w:pPr>
      <w:r>
        <w:rPr>
          <w:rFonts w:eastAsia="Calibri" w:cs="Arial"/>
          <w:szCs w:val="20"/>
          <w:lang w:val="sl-SI"/>
        </w:rPr>
        <w:t>[</w:t>
      </w:r>
      <w:r w:rsidR="00993FB7" w:rsidRPr="00993FB7">
        <w:rPr>
          <w:rFonts w:eastAsia="Calibri" w:cs="Arial"/>
          <w:szCs w:val="20"/>
          <w:lang w:val="sl-SI"/>
        </w:rPr>
        <w:t>KM05</w:t>
      </w:r>
      <w:r>
        <w:rPr>
          <w:rFonts w:eastAsia="Calibri" w:cs="Arial"/>
          <w:szCs w:val="20"/>
          <w:lang w:val="sl-SI"/>
        </w:rPr>
        <w:t>]</w:t>
      </w:r>
      <w:r w:rsidR="00993FB7" w:rsidRPr="00993FB7">
        <w:rPr>
          <w:rFonts w:eastAsia="Calibri" w:cs="Arial"/>
          <w:szCs w:val="20"/>
          <w:lang w:val="sl-SI"/>
        </w:rPr>
        <w:t xml:space="preserve"> Kmetijska območja visoke naravne vrednosti</w:t>
      </w:r>
    </w:p>
    <w:p w:rsidR="00993FB7" w:rsidRPr="00993FB7" w:rsidRDefault="00615811" w:rsidP="00993FB7">
      <w:pPr>
        <w:spacing w:line="276" w:lineRule="auto"/>
        <w:jc w:val="both"/>
        <w:rPr>
          <w:rFonts w:eastAsia="Calibri" w:cs="Arial"/>
          <w:szCs w:val="20"/>
          <w:lang w:val="sl-SI"/>
        </w:rPr>
      </w:pPr>
      <w:r>
        <w:rPr>
          <w:rFonts w:eastAsia="Calibri" w:cs="Arial"/>
          <w:szCs w:val="20"/>
          <w:lang w:val="sl-SI"/>
        </w:rPr>
        <w:t>[</w:t>
      </w:r>
      <w:r w:rsidR="00993FB7" w:rsidRPr="00993FB7">
        <w:rPr>
          <w:rFonts w:eastAsia="Calibri" w:cs="Arial"/>
          <w:szCs w:val="20"/>
          <w:lang w:val="sl-SI"/>
        </w:rPr>
        <w:t>KM06</w:t>
      </w:r>
      <w:r>
        <w:rPr>
          <w:rFonts w:eastAsia="Calibri" w:cs="Arial"/>
          <w:szCs w:val="20"/>
          <w:lang w:val="sl-SI"/>
        </w:rPr>
        <w:t>]</w:t>
      </w:r>
      <w:r w:rsidR="00993FB7" w:rsidRPr="00993FB7">
        <w:rPr>
          <w:rFonts w:eastAsia="Calibri" w:cs="Arial"/>
          <w:szCs w:val="20"/>
          <w:lang w:val="sl-SI"/>
        </w:rPr>
        <w:t xml:space="preserve"> Varovana območja narave in kmetijstvo</w:t>
      </w:r>
    </w:p>
    <w:p w:rsidR="00993FB7" w:rsidRPr="00993FB7" w:rsidRDefault="00615811" w:rsidP="00993FB7">
      <w:pPr>
        <w:spacing w:line="276" w:lineRule="auto"/>
        <w:jc w:val="both"/>
        <w:rPr>
          <w:rFonts w:eastAsia="Calibri" w:cs="Arial"/>
          <w:szCs w:val="20"/>
          <w:lang w:val="sl-SI"/>
        </w:rPr>
      </w:pPr>
      <w:r>
        <w:rPr>
          <w:rFonts w:eastAsia="Calibri" w:cs="Arial"/>
          <w:szCs w:val="20"/>
          <w:lang w:val="sl-SI"/>
        </w:rPr>
        <w:t>[</w:t>
      </w:r>
      <w:r w:rsidR="00993FB7" w:rsidRPr="00993FB7">
        <w:rPr>
          <w:rFonts w:eastAsia="Calibri" w:cs="Arial"/>
          <w:szCs w:val="20"/>
          <w:lang w:val="sl-SI"/>
        </w:rPr>
        <w:t>KM10</w:t>
      </w:r>
      <w:r>
        <w:rPr>
          <w:rFonts w:eastAsia="Calibri" w:cs="Arial"/>
          <w:szCs w:val="20"/>
          <w:lang w:val="sl-SI"/>
        </w:rPr>
        <w:t>]</w:t>
      </w:r>
      <w:r w:rsidR="00993FB7" w:rsidRPr="00993FB7">
        <w:rPr>
          <w:rFonts w:eastAsia="Calibri" w:cs="Arial"/>
          <w:szCs w:val="20"/>
          <w:lang w:val="sl-SI"/>
        </w:rPr>
        <w:t xml:space="preserve"> Sprememba rabe zemljišč in kmetijstvo</w:t>
      </w:r>
    </w:p>
    <w:p w:rsidR="00993FB7" w:rsidRPr="00993FB7" w:rsidRDefault="00615811" w:rsidP="00993FB7">
      <w:pPr>
        <w:spacing w:line="276" w:lineRule="auto"/>
        <w:jc w:val="both"/>
        <w:rPr>
          <w:rFonts w:eastAsia="Calibri" w:cs="Arial"/>
          <w:szCs w:val="20"/>
          <w:lang w:val="sl-SI"/>
        </w:rPr>
      </w:pPr>
      <w:r>
        <w:rPr>
          <w:rFonts w:eastAsia="Calibri" w:cs="Arial"/>
          <w:szCs w:val="20"/>
          <w:lang w:val="sl-SI"/>
        </w:rPr>
        <w:t>[</w:t>
      </w:r>
      <w:r w:rsidR="00993FB7" w:rsidRPr="00993FB7">
        <w:rPr>
          <w:rFonts w:eastAsia="Calibri" w:cs="Arial"/>
          <w:szCs w:val="20"/>
          <w:lang w:val="sl-SI"/>
        </w:rPr>
        <w:t>KM22</w:t>
      </w:r>
      <w:r>
        <w:rPr>
          <w:rFonts w:eastAsia="Calibri" w:cs="Arial"/>
          <w:szCs w:val="20"/>
          <w:lang w:val="sl-SI"/>
        </w:rPr>
        <w:t>]</w:t>
      </w:r>
      <w:r w:rsidR="00993FB7" w:rsidRPr="00993FB7">
        <w:rPr>
          <w:rFonts w:eastAsia="Calibri" w:cs="Arial"/>
          <w:szCs w:val="20"/>
          <w:lang w:val="sl-SI"/>
        </w:rPr>
        <w:t xml:space="preserve"> Bilan</w:t>
      </w:r>
      <w:r w:rsidR="00EB2121">
        <w:rPr>
          <w:rFonts w:eastAsia="Calibri" w:cs="Arial"/>
          <w:szCs w:val="20"/>
          <w:lang w:val="sl-SI"/>
        </w:rPr>
        <w:t xml:space="preserve">čni presežek dušika v </w:t>
      </w:r>
      <w:r w:rsidR="00993FB7" w:rsidRPr="00993FB7">
        <w:rPr>
          <w:rFonts w:eastAsia="Calibri" w:cs="Arial"/>
          <w:szCs w:val="20"/>
          <w:lang w:val="sl-SI"/>
        </w:rPr>
        <w:t>kmetijstvu</w:t>
      </w:r>
    </w:p>
    <w:p w:rsidR="00993FB7" w:rsidRPr="00993FB7" w:rsidRDefault="00615811" w:rsidP="00993FB7">
      <w:pPr>
        <w:spacing w:line="276" w:lineRule="auto"/>
        <w:jc w:val="both"/>
        <w:rPr>
          <w:rFonts w:eastAsia="Calibri" w:cs="Arial"/>
          <w:szCs w:val="20"/>
          <w:lang w:val="sl-SI"/>
        </w:rPr>
      </w:pPr>
      <w:r>
        <w:rPr>
          <w:rFonts w:eastAsia="Calibri" w:cs="Arial"/>
          <w:szCs w:val="20"/>
          <w:lang w:val="sl-SI"/>
        </w:rPr>
        <w:t>[</w:t>
      </w:r>
      <w:r w:rsidR="00993FB7" w:rsidRPr="00993FB7">
        <w:rPr>
          <w:rFonts w:eastAsia="Calibri" w:cs="Arial"/>
          <w:szCs w:val="20"/>
          <w:lang w:val="sl-SI"/>
        </w:rPr>
        <w:t>PR02</w:t>
      </w:r>
      <w:r>
        <w:rPr>
          <w:rFonts w:eastAsia="Calibri" w:cs="Arial"/>
          <w:szCs w:val="20"/>
          <w:lang w:val="sl-SI"/>
        </w:rPr>
        <w:t>]</w:t>
      </w:r>
      <w:r w:rsidR="00993FB7" w:rsidRPr="00993FB7">
        <w:rPr>
          <w:rFonts w:eastAsia="Calibri" w:cs="Arial"/>
          <w:szCs w:val="20"/>
          <w:lang w:val="sl-SI"/>
        </w:rPr>
        <w:t xml:space="preserve"> Obseg in sestava blagovnega prevoza in prometa</w:t>
      </w:r>
    </w:p>
    <w:p w:rsidR="00993FB7" w:rsidRPr="00993FB7" w:rsidRDefault="00615811" w:rsidP="00993FB7">
      <w:pPr>
        <w:spacing w:line="276" w:lineRule="auto"/>
        <w:jc w:val="both"/>
        <w:rPr>
          <w:rFonts w:eastAsia="Calibri" w:cs="Arial"/>
          <w:szCs w:val="20"/>
          <w:lang w:val="sl-SI"/>
        </w:rPr>
      </w:pPr>
      <w:r>
        <w:rPr>
          <w:rFonts w:eastAsia="Calibri" w:cs="Arial"/>
          <w:szCs w:val="20"/>
          <w:lang w:val="sl-SI"/>
        </w:rPr>
        <w:t>[</w:t>
      </w:r>
      <w:r w:rsidR="00993FB7" w:rsidRPr="00993FB7">
        <w:rPr>
          <w:rFonts w:eastAsia="Calibri" w:cs="Arial"/>
          <w:szCs w:val="20"/>
          <w:lang w:val="sl-SI"/>
        </w:rPr>
        <w:t>PR04</w:t>
      </w:r>
      <w:r>
        <w:rPr>
          <w:rFonts w:eastAsia="Calibri" w:cs="Arial"/>
          <w:szCs w:val="20"/>
          <w:lang w:val="sl-SI"/>
        </w:rPr>
        <w:t>]</w:t>
      </w:r>
      <w:r w:rsidR="00993FB7" w:rsidRPr="00993FB7">
        <w:rPr>
          <w:rFonts w:eastAsia="Calibri" w:cs="Arial"/>
          <w:szCs w:val="20"/>
          <w:lang w:val="sl-SI"/>
        </w:rPr>
        <w:t xml:space="preserve"> Raba končne energije v prometu</w:t>
      </w:r>
    </w:p>
    <w:p w:rsidR="00993FB7" w:rsidRPr="00993FB7" w:rsidRDefault="00615811" w:rsidP="00993FB7">
      <w:pPr>
        <w:spacing w:line="276" w:lineRule="auto"/>
        <w:jc w:val="both"/>
        <w:rPr>
          <w:rFonts w:eastAsia="Calibri" w:cs="Arial"/>
          <w:szCs w:val="20"/>
          <w:lang w:val="sl-SI"/>
        </w:rPr>
      </w:pPr>
      <w:r>
        <w:rPr>
          <w:rFonts w:eastAsia="Calibri" w:cs="Arial"/>
          <w:szCs w:val="20"/>
          <w:lang w:val="sl-SI"/>
        </w:rPr>
        <w:t>[</w:t>
      </w:r>
      <w:r w:rsidR="00993FB7" w:rsidRPr="00993FB7">
        <w:rPr>
          <w:rFonts w:eastAsia="Calibri" w:cs="Arial"/>
          <w:szCs w:val="20"/>
          <w:lang w:val="sl-SI"/>
        </w:rPr>
        <w:t>TP01</w:t>
      </w:r>
      <w:r>
        <w:rPr>
          <w:rFonts w:eastAsia="Calibri" w:cs="Arial"/>
          <w:szCs w:val="20"/>
          <w:lang w:val="sl-SI"/>
        </w:rPr>
        <w:t>]</w:t>
      </w:r>
      <w:r w:rsidR="00993FB7" w:rsidRPr="00993FB7">
        <w:rPr>
          <w:rFonts w:eastAsia="Calibri" w:cs="Arial"/>
          <w:szCs w:val="20"/>
          <w:lang w:val="sl-SI"/>
        </w:rPr>
        <w:t xml:space="preserve"> Pokrovnost in raba </w:t>
      </w:r>
      <w:r w:rsidR="00EB2121">
        <w:rPr>
          <w:rFonts w:eastAsia="Calibri" w:cs="Arial"/>
          <w:szCs w:val="20"/>
          <w:lang w:val="sl-SI"/>
        </w:rPr>
        <w:t>tal</w:t>
      </w:r>
    </w:p>
    <w:p w:rsidR="00993FB7" w:rsidRPr="00993FB7" w:rsidRDefault="00615811" w:rsidP="0000410C">
      <w:pPr>
        <w:spacing w:after="360" w:line="276" w:lineRule="auto"/>
        <w:jc w:val="both"/>
        <w:rPr>
          <w:rFonts w:eastAsia="Calibri" w:cs="Arial"/>
          <w:szCs w:val="20"/>
          <w:lang w:val="sl-SI"/>
        </w:rPr>
      </w:pPr>
      <w:r>
        <w:rPr>
          <w:rFonts w:eastAsia="Calibri" w:cs="Arial"/>
          <w:szCs w:val="20"/>
          <w:lang w:val="sl-SI"/>
        </w:rPr>
        <w:t>[</w:t>
      </w:r>
      <w:r w:rsidR="00993FB7" w:rsidRPr="00993FB7">
        <w:rPr>
          <w:rFonts w:eastAsia="Calibri" w:cs="Arial"/>
          <w:szCs w:val="20"/>
          <w:lang w:val="sl-SI"/>
        </w:rPr>
        <w:t>TP03</w:t>
      </w:r>
      <w:r w:rsidR="003633B8">
        <w:rPr>
          <w:rFonts w:eastAsia="Calibri" w:cs="Arial"/>
          <w:szCs w:val="20"/>
          <w:lang w:val="sl-SI"/>
        </w:rPr>
        <w:t>]</w:t>
      </w:r>
      <w:r w:rsidR="00993FB7" w:rsidRPr="00993FB7">
        <w:rPr>
          <w:rFonts w:eastAsia="Calibri" w:cs="Arial"/>
          <w:szCs w:val="20"/>
          <w:lang w:val="sl-SI"/>
        </w:rPr>
        <w:t xml:space="preserve"> Pozidava</w:t>
      </w:r>
    </w:p>
    <w:p w:rsidR="00993FB7" w:rsidRPr="00993FB7" w:rsidRDefault="0000410C" w:rsidP="00993FB7">
      <w:pPr>
        <w:spacing w:after="200" w:line="276" w:lineRule="auto"/>
        <w:jc w:val="both"/>
        <w:rPr>
          <w:rFonts w:eastAsia="Calibri" w:cs="Arial"/>
          <w:b/>
          <w:bCs/>
          <w:szCs w:val="20"/>
          <w:u w:val="single"/>
          <w:lang w:val="sl-SI"/>
        </w:rPr>
      </w:pPr>
      <w:r>
        <w:rPr>
          <w:rFonts w:eastAsia="Calibri" w:cs="Arial"/>
          <w:b/>
          <w:bCs/>
          <w:szCs w:val="20"/>
          <w:u w:val="single"/>
          <w:lang w:val="sl-SI"/>
        </w:rPr>
        <w:t>5</w:t>
      </w:r>
      <w:r w:rsidR="00993FB7" w:rsidRPr="00993FB7">
        <w:rPr>
          <w:rFonts w:eastAsia="Calibri" w:cs="Arial"/>
          <w:b/>
          <w:bCs/>
          <w:szCs w:val="20"/>
          <w:u w:val="single"/>
          <w:lang w:val="sl-SI"/>
        </w:rPr>
        <w:t>.7 Viri in literatura</w:t>
      </w:r>
    </w:p>
    <w:p w:rsidR="00993FB7" w:rsidRPr="00993FB7" w:rsidRDefault="00993FB7" w:rsidP="003633B8">
      <w:pPr>
        <w:spacing w:before="120" w:line="276" w:lineRule="auto"/>
        <w:jc w:val="both"/>
        <w:rPr>
          <w:rFonts w:eastAsia="Calibri" w:cs="Arial"/>
          <w:szCs w:val="20"/>
          <w:lang w:val="sl-SI"/>
        </w:rPr>
      </w:pPr>
      <w:r w:rsidRPr="00993FB7">
        <w:rPr>
          <w:rFonts w:eastAsia="Calibri" w:cs="Arial"/>
          <w:szCs w:val="20"/>
          <w:lang w:val="sl-SI"/>
        </w:rPr>
        <w:t>Statistični urad RS (</w:t>
      </w:r>
      <w:hyperlink r:id="rId53" w:history="1">
        <w:r w:rsidRPr="00993FB7">
          <w:rPr>
            <w:rFonts w:eastAsia="Calibri" w:cs="Arial"/>
            <w:color w:val="0000FF"/>
            <w:szCs w:val="20"/>
            <w:u w:val="single"/>
            <w:lang w:val="sl-SI"/>
          </w:rPr>
          <w:t>http://www.stat.si/statweb</w:t>
        </w:r>
      </w:hyperlink>
      <w:r w:rsidRPr="00993FB7">
        <w:rPr>
          <w:rFonts w:eastAsia="Calibri" w:cs="Arial"/>
          <w:szCs w:val="20"/>
          <w:lang w:val="sl-SI"/>
        </w:rPr>
        <w:t>)</w:t>
      </w:r>
    </w:p>
    <w:p w:rsidR="00993FB7" w:rsidRPr="00993FB7" w:rsidRDefault="00993FB7" w:rsidP="003633B8">
      <w:pPr>
        <w:spacing w:before="120" w:line="276" w:lineRule="auto"/>
        <w:jc w:val="both"/>
        <w:rPr>
          <w:rFonts w:eastAsia="Calibri" w:cs="Arial"/>
          <w:szCs w:val="20"/>
          <w:lang w:val="sl-SI"/>
        </w:rPr>
      </w:pPr>
      <w:r w:rsidRPr="00993FB7">
        <w:rPr>
          <w:rFonts w:eastAsia="Calibri" w:cs="Arial"/>
          <w:szCs w:val="20"/>
          <w:lang w:val="sl-SI"/>
        </w:rPr>
        <w:t xml:space="preserve">Zavod RS za varstvo narave, 2013: Poročilo o stanju ohranjenosti vrst in habitatnih tipov po 17. členu Direktive o habitatih za poročevalski obdobji 2004 – 2006 in 2007 - 2012 </w:t>
      </w:r>
      <w:r w:rsidR="003633B8">
        <w:rPr>
          <w:rFonts w:eastAsia="Calibri" w:cs="Arial"/>
          <w:szCs w:val="20"/>
          <w:lang w:val="sl-SI"/>
        </w:rPr>
        <w:t>. Dostopno na naslovu:</w:t>
      </w:r>
      <w:r w:rsidRPr="00993FB7">
        <w:rPr>
          <w:rFonts w:eastAsia="Calibri" w:cs="Arial"/>
          <w:szCs w:val="20"/>
          <w:lang w:val="sl-SI"/>
        </w:rPr>
        <w:t xml:space="preserve"> (</w:t>
      </w:r>
      <w:hyperlink r:id="rId54" w:history="1">
        <w:r w:rsidRPr="00993FB7">
          <w:rPr>
            <w:rFonts w:eastAsia="Calibri" w:cs="Arial"/>
            <w:color w:val="0000FF"/>
            <w:szCs w:val="20"/>
            <w:u w:val="single"/>
            <w:lang w:val="sl-SI"/>
          </w:rPr>
          <w:t>http://www.zrsvn.si/sl/informacija.asp?id_meta_type=65&amp;id_informacija=579</w:t>
        </w:r>
      </w:hyperlink>
      <w:r w:rsidRPr="00993FB7">
        <w:rPr>
          <w:rFonts w:eastAsia="Calibri" w:cs="Arial"/>
          <w:color w:val="0000FF"/>
          <w:szCs w:val="20"/>
          <w:u w:val="single"/>
          <w:lang w:val="sl-SI"/>
        </w:rPr>
        <w:t>)</w:t>
      </w:r>
    </w:p>
    <w:p w:rsidR="003633B8" w:rsidRDefault="00993FB7" w:rsidP="003633B8">
      <w:pPr>
        <w:spacing w:before="120" w:line="276" w:lineRule="auto"/>
        <w:jc w:val="both"/>
        <w:rPr>
          <w:rFonts w:eastAsia="Calibri" w:cs="Arial"/>
          <w:szCs w:val="20"/>
          <w:lang w:val="sl-SI"/>
        </w:rPr>
      </w:pPr>
      <w:r w:rsidRPr="00993FB7">
        <w:rPr>
          <w:rFonts w:eastAsia="Calibri" w:cs="Arial"/>
          <w:szCs w:val="20"/>
          <w:lang w:val="sl-SI"/>
        </w:rPr>
        <w:t>Zavod RS za varstvo narave, 2014: Poročanje po 12. členu Direktive o pticah (2008 – 2012)</w:t>
      </w:r>
      <w:r w:rsidR="009025DB">
        <w:rPr>
          <w:rFonts w:eastAsia="Calibri" w:cs="Arial"/>
          <w:szCs w:val="20"/>
          <w:lang w:val="sl-SI"/>
        </w:rPr>
        <w:t xml:space="preserve">. </w:t>
      </w:r>
    </w:p>
    <w:p w:rsidR="00993FB7" w:rsidRPr="00993FB7" w:rsidRDefault="00993FB7" w:rsidP="003633B8">
      <w:pPr>
        <w:spacing w:line="276" w:lineRule="auto"/>
        <w:jc w:val="both"/>
        <w:rPr>
          <w:rFonts w:eastAsia="Calibri" w:cs="Arial"/>
          <w:szCs w:val="20"/>
          <w:lang w:val="sl-SI"/>
        </w:rPr>
      </w:pPr>
      <w:r w:rsidRPr="00993FB7">
        <w:rPr>
          <w:rFonts w:eastAsia="Calibri" w:cs="Arial"/>
          <w:szCs w:val="20"/>
          <w:lang w:val="sl-SI"/>
        </w:rPr>
        <w:t>(</w:t>
      </w:r>
      <w:hyperlink r:id="rId55" w:history="1">
        <w:r w:rsidRPr="00993FB7">
          <w:rPr>
            <w:rFonts w:eastAsia="Calibri" w:cs="Arial"/>
            <w:color w:val="0000FF"/>
            <w:szCs w:val="20"/>
            <w:u w:val="single"/>
            <w:lang w:val="sl-SI"/>
          </w:rPr>
          <w:t>http://www.zrsvn.si/sl/informacija.asp?id_meta_type=65&amp;id_informacija=820</w:t>
        </w:r>
      </w:hyperlink>
      <w:r w:rsidRPr="00993FB7">
        <w:rPr>
          <w:rFonts w:eastAsia="Calibri" w:cs="Arial"/>
          <w:szCs w:val="20"/>
          <w:lang w:val="sl-SI"/>
        </w:rPr>
        <w:t>)</w:t>
      </w:r>
    </w:p>
    <w:p w:rsidR="00225F01" w:rsidRPr="005771BD" w:rsidRDefault="00AA0294" w:rsidP="00225F01">
      <w:pPr>
        <w:spacing w:after="200" w:line="276" w:lineRule="auto"/>
        <w:rPr>
          <w:rFonts w:eastAsia="Calibri" w:cs="Arial"/>
          <w:b/>
          <w:sz w:val="22"/>
          <w:szCs w:val="22"/>
          <w:lang w:val="sl-SI"/>
        </w:rPr>
      </w:pPr>
      <w:r>
        <w:rPr>
          <w:rFonts w:eastAsia="Calibri" w:cs="Arial"/>
          <w:b/>
          <w:sz w:val="22"/>
          <w:szCs w:val="22"/>
          <w:lang w:val="sl-SI"/>
        </w:rPr>
        <w:br w:type="column"/>
      </w:r>
      <w:r w:rsidR="0000410C">
        <w:rPr>
          <w:rFonts w:eastAsia="Calibri" w:cs="Arial"/>
          <w:b/>
          <w:sz w:val="22"/>
          <w:szCs w:val="22"/>
          <w:lang w:val="sl-SI"/>
        </w:rPr>
        <w:t>6</w:t>
      </w:r>
      <w:r w:rsidR="00225F01" w:rsidRPr="005771BD">
        <w:rPr>
          <w:rFonts w:eastAsia="Calibri" w:cs="Arial"/>
          <w:b/>
          <w:sz w:val="22"/>
          <w:szCs w:val="22"/>
          <w:lang w:val="sl-SI"/>
        </w:rPr>
        <w:t xml:space="preserve"> ZRAK</w:t>
      </w:r>
    </w:p>
    <w:p w:rsidR="00225F01" w:rsidRPr="005771BD" w:rsidRDefault="00225F01" w:rsidP="00225F01">
      <w:pPr>
        <w:spacing w:line="276" w:lineRule="auto"/>
        <w:jc w:val="both"/>
        <w:rPr>
          <w:rFonts w:eastAsiaTheme="minorHAnsi" w:cs="Arial"/>
          <w:b/>
          <w:szCs w:val="20"/>
          <w:u w:val="single"/>
          <w:lang w:val="sl-SI"/>
        </w:rPr>
      </w:pPr>
    </w:p>
    <w:p w:rsidR="00225F01" w:rsidRPr="005771BD" w:rsidRDefault="0000410C" w:rsidP="00225F01">
      <w:pPr>
        <w:spacing w:after="200" w:line="276" w:lineRule="auto"/>
        <w:jc w:val="both"/>
        <w:rPr>
          <w:rFonts w:eastAsiaTheme="minorHAnsi" w:cs="Arial"/>
          <w:b/>
          <w:szCs w:val="20"/>
          <w:u w:val="single"/>
          <w:lang w:val="sl-SI"/>
        </w:rPr>
      </w:pPr>
      <w:r>
        <w:rPr>
          <w:rFonts w:eastAsiaTheme="minorHAnsi" w:cs="Arial"/>
          <w:b/>
          <w:szCs w:val="20"/>
          <w:u w:val="single"/>
          <w:lang w:val="sl-SI"/>
        </w:rPr>
        <w:t>6</w:t>
      </w:r>
      <w:r w:rsidR="00225F01" w:rsidRPr="005771BD">
        <w:rPr>
          <w:rFonts w:eastAsiaTheme="minorHAnsi" w:cs="Arial"/>
          <w:b/>
          <w:szCs w:val="20"/>
          <w:u w:val="single"/>
          <w:lang w:val="sl-SI"/>
        </w:rPr>
        <w:t>. 1 Povzetek</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 xml:space="preserve">Kakovost zraka je eden izmed najpomembnejših vidikov stanja okolja. Slaba kakovost zraka pomembno vpliva na naše zdravje, blaginjo in okolje. Onesnaženi zrak vpliva na zdravje in počutje ljudi bolj kot drugi okoljski vplivi in velja za najpomembnejši vzrok zdravstvenih težav, povezanih z onesnaževanjem okolja. </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Zrak je v Sloveniji prekomerno onesnažen predvsem z delci PM</w:t>
      </w:r>
      <w:r w:rsidRPr="005771BD">
        <w:rPr>
          <w:rFonts w:eastAsiaTheme="minorHAnsi" w:cs="Arial"/>
          <w:szCs w:val="20"/>
          <w:vertAlign w:val="subscript"/>
          <w:lang w:val="sl-SI"/>
        </w:rPr>
        <w:t>10</w:t>
      </w:r>
      <w:r w:rsidRPr="005771BD">
        <w:rPr>
          <w:rFonts w:eastAsiaTheme="minorHAnsi" w:cs="Arial"/>
          <w:szCs w:val="20"/>
          <w:lang w:val="sl-SI"/>
        </w:rPr>
        <w:t xml:space="preserve"> in prizemnim ozonom, narašča tudi onesnaženost zraka z benzo(a)pirenom (BaP).</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Preseganje dnevnih mejnih vrednosti za delce PM</w:t>
      </w:r>
      <w:r w:rsidRPr="005771BD">
        <w:rPr>
          <w:rFonts w:eastAsiaTheme="minorHAnsi" w:cs="Arial"/>
          <w:szCs w:val="20"/>
          <w:vertAlign w:val="subscript"/>
          <w:lang w:val="sl-SI"/>
        </w:rPr>
        <w:t>10</w:t>
      </w:r>
      <w:r w:rsidRPr="005771BD">
        <w:rPr>
          <w:rFonts w:eastAsiaTheme="minorHAnsi" w:cs="Arial"/>
          <w:szCs w:val="20"/>
          <w:lang w:val="sl-SI"/>
        </w:rPr>
        <w:t xml:space="preserve"> so večinoma omejena na hladni del leta. K onesnaženju z delci PM</w:t>
      </w:r>
      <w:r w:rsidRPr="005771BD">
        <w:rPr>
          <w:rFonts w:eastAsiaTheme="minorHAnsi" w:cs="Arial"/>
          <w:szCs w:val="20"/>
          <w:vertAlign w:val="subscript"/>
          <w:lang w:val="sl-SI"/>
        </w:rPr>
        <w:t>10</w:t>
      </w:r>
      <w:r w:rsidRPr="005771BD">
        <w:rPr>
          <w:rFonts w:eastAsiaTheme="minorHAnsi" w:cs="Arial"/>
          <w:szCs w:val="20"/>
          <w:lang w:val="sl-SI"/>
        </w:rPr>
        <w:t xml:space="preserve"> v času kurilne sezone največ prispevajo individualna kurišča na les. Pomemben delež onesnaževanja prispevajo tudi promet, zlasti izpusti onesnaževal iz vozil na dizelski pogon, industrija in ponovni dvig ter lebdenje delcev v ozračju. Na visoke ravni delcev v zraku vplivajo tudi neugodne vremenske razmere v slabo prevetrenih kotlinah in dolinah celinske Slovenije, kjer lahko še posebej ob pogostih in izrazitih temperaturnih inverzijah že manjša gostota izpustov povzroči čezmerno onesnaženost zraka. </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Izmerjene ravni težkih kovin (arzena, kadmija, niklja in svinca) v PM</w:t>
      </w:r>
      <w:r w:rsidRPr="005771BD">
        <w:rPr>
          <w:rFonts w:eastAsiaTheme="minorHAnsi" w:cs="Arial"/>
          <w:szCs w:val="20"/>
          <w:vertAlign w:val="subscript"/>
          <w:lang w:val="sl-SI"/>
        </w:rPr>
        <w:t>10</w:t>
      </w:r>
      <w:r w:rsidRPr="005771BD">
        <w:rPr>
          <w:rFonts w:eastAsiaTheme="minorHAnsi" w:cs="Arial"/>
          <w:szCs w:val="20"/>
          <w:lang w:val="sl-SI"/>
        </w:rPr>
        <w:t xml:space="preserve"> so bile do leta 2008 pod mejnimi oziroma ciljnimi vrednostmi povsod, razen v Mežiški dolini. Po letu 2008 so bile izmerjene ravni težkih kovin (arzen, kadmij, svinec) v PM</w:t>
      </w:r>
      <w:r w:rsidRPr="005771BD">
        <w:rPr>
          <w:rFonts w:eastAsiaTheme="minorHAnsi" w:cs="Arial"/>
          <w:szCs w:val="20"/>
          <w:vertAlign w:val="subscript"/>
          <w:lang w:val="sl-SI"/>
        </w:rPr>
        <w:t>10</w:t>
      </w:r>
      <w:r w:rsidRPr="005771BD">
        <w:rPr>
          <w:rFonts w:eastAsiaTheme="minorHAnsi" w:cs="Arial"/>
          <w:szCs w:val="20"/>
          <w:lang w:val="sl-SI"/>
        </w:rPr>
        <w:t xml:space="preserve"> tudi v Mežiški dolini pod mejnimi vrednostmi, vendar v primerjavi z drugimi merilnimi mesti po Sloveniji še vedno veliko višje.</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Prekomerna onesnaženost zraka z delci PM</w:t>
      </w:r>
      <w:r w:rsidRPr="005771BD">
        <w:rPr>
          <w:rFonts w:eastAsiaTheme="minorHAnsi" w:cs="Arial"/>
          <w:szCs w:val="20"/>
          <w:vertAlign w:val="subscript"/>
          <w:lang w:val="sl-SI"/>
        </w:rPr>
        <w:t>10</w:t>
      </w:r>
      <w:r w:rsidRPr="005771BD">
        <w:rPr>
          <w:rFonts w:eastAsiaTheme="minorHAnsi" w:cs="Arial"/>
          <w:szCs w:val="20"/>
          <w:lang w:val="sl-SI"/>
        </w:rPr>
        <w:t xml:space="preserve"> v Sloveniji je poleg okoljskega in  zdravstvenega tudi izziv z vidika pravnih posledic zaradi preseganja mejnih vrednosti delcev PM</w:t>
      </w:r>
      <w:r w:rsidRPr="005771BD">
        <w:rPr>
          <w:rFonts w:eastAsiaTheme="minorHAnsi" w:cs="Arial"/>
          <w:szCs w:val="20"/>
          <w:vertAlign w:val="subscript"/>
          <w:lang w:val="sl-SI"/>
        </w:rPr>
        <w:t xml:space="preserve">10 </w:t>
      </w:r>
      <w:r w:rsidRPr="005771BD">
        <w:rPr>
          <w:rFonts w:eastAsiaTheme="minorHAnsi" w:cs="Arial"/>
          <w:szCs w:val="20"/>
          <w:lang w:val="sl-SI"/>
        </w:rPr>
        <w:t>in</w:t>
      </w:r>
      <w:r w:rsidRPr="005771BD">
        <w:rPr>
          <w:rFonts w:eastAsiaTheme="minorHAnsi" w:cs="Arial"/>
          <w:szCs w:val="20"/>
          <w:vertAlign w:val="subscript"/>
          <w:lang w:val="sl-SI"/>
        </w:rPr>
        <w:t xml:space="preserve"> </w:t>
      </w:r>
      <w:r w:rsidRPr="005771BD">
        <w:rPr>
          <w:rFonts w:eastAsiaTheme="minorHAnsi" w:cs="Arial"/>
          <w:szCs w:val="20"/>
          <w:lang w:val="sl-SI"/>
        </w:rPr>
        <w:t xml:space="preserve">kršitve Direktive EU o kakovosti zunanjega zraka. </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K onesnaženju zraka s prizemnim ozonom največ prispeva promet, ki je največji vir predhodnikov prizemnega ozona (predvsem dušikovih oksidov (NOx) in hlapnih ogljikovodikov (VOC) ter ogljikovega monoksida (CO). Do prekomerne onesnaženosti zraka s prizemnim ozonom prihaja praviloma poleti, kar je povezano z načinom nastanka ozona, ki zahteva dovolj sončne svetlobe. Onesnaženost zraka s prizemnim ozonom je izrazito regionalna z velikim vplivom čezmejnega prenosa onesnaževal. Onesnaženost s prizemnim ozonom je najvišja na Primorskem, ki je bolj pod vplivom čezmejnega prenosa ozona in njegovih predhodnikov in ima ugodnejše klimatske pogoje za nastanek ozona z višjimi temperaturami in več sončnega obsevanja. V povprečju so v Sloveniji najvišje izmerjene ravni ozona na merilnem mestu na Krvavcu, kar je značilno za postaje v visokogorju.</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Onesnaženost zraka z benzo(a)pirenom v obdobju 2008–2015 blago narašča in je nad ciljno vrednostjo na izpostavljenih merilnih mestih. Glavni vir so izpusti iz zastarelih malih kurilnih naprav v gospodinjstvih na trdna goriva (predvsem les), za katere so značilni slabše zgorevanja in slab energetski izkoristek ter posledično visoka raven izpustov delcev in organskih spojin. Pomemben vir benzo(a)pirena je tudi promet, zlasti vozila na dizelski pogon.</w:t>
      </w:r>
    </w:p>
    <w:p w:rsidR="00225F01" w:rsidRPr="005771BD" w:rsidRDefault="00225F01" w:rsidP="00225F01">
      <w:pPr>
        <w:autoSpaceDE w:val="0"/>
        <w:autoSpaceDN w:val="0"/>
        <w:adjustRightInd w:val="0"/>
        <w:spacing w:after="200" w:line="276" w:lineRule="auto"/>
        <w:jc w:val="both"/>
        <w:rPr>
          <w:rFonts w:eastAsiaTheme="minorHAnsi" w:cs="Arial"/>
          <w:szCs w:val="20"/>
          <w:lang w:val="sl-SI"/>
        </w:rPr>
      </w:pPr>
      <w:r w:rsidRPr="005771BD">
        <w:rPr>
          <w:rFonts w:eastAsiaTheme="minorHAnsi" w:cs="Arial"/>
          <w:szCs w:val="20"/>
          <w:lang w:val="sl-SI"/>
        </w:rPr>
        <w:t>Poleg negativnega vpliva, ki ga ima onesnaženost zraka na zdravje ljudi, povzroča tudi škodo na ekosistemih. Onesnaženost zraka s prizemnim ozonom je v zadnjih letih na vseh merilnih mestih, vzorčnih za vegetacijo, nad ciljno, še bolj pa nad dolgoročno naravnano vrednostjo. Najvišje vrednosti so bile izmerjene na Otlici in Krvavcu, kjer so bile izmerjene najvišje povprečne vrednosti. Posledice povišanih koncentracij ozona so v glavnem zmanjšana količina kmetijskega pridelka, zmanjšani rast trajnic ter tvorba semen pri enoletnicah in slabša rast gozdnih dreves.</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V obdobju 1990–2014 so se najbolj znižali izpusti SO</w:t>
      </w:r>
      <w:r w:rsidRPr="005771BD">
        <w:rPr>
          <w:rFonts w:eastAsiaTheme="minorHAnsi" w:cs="Arial"/>
          <w:szCs w:val="20"/>
          <w:vertAlign w:val="subscript"/>
          <w:lang w:val="sl-SI"/>
        </w:rPr>
        <w:t>2</w:t>
      </w:r>
      <w:r w:rsidRPr="005771BD">
        <w:rPr>
          <w:rFonts w:eastAsiaTheme="minorHAnsi" w:cs="Arial"/>
          <w:szCs w:val="20"/>
          <w:lang w:val="sl-SI"/>
        </w:rPr>
        <w:t xml:space="preserve">, in nemetanskih hlapnih ogljikovodikov (NMVOC), najmanj pa so se znižali izpusti </w:t>
      </w:r>
      <w:r w:rsidRPr="005771BD">
        <w:rPr>
          <w:rFonts w:cs="Arial"/>
          <w:color w:val="000000"/>
          <w:szCs w:val="20"/>
          <w:lang w:val="sl-SI" w:eastAsia="sl-SI"/>
        </w:rPr>
        <w:t>dušikovih oksidov (</w:t>
      </w:r>
      <w:r w:rsidRPr="005771BD">
        <w:rPr>
          <w:rFonts w:eastAsiaTheme="minorHAnsi" w:cs="Arial"/>
          <w:szCs w:val="20"/>
          <w:lang w:val="sl-SI"/>
        </w:rPr>
        <w:t>NOx), amonijaka (NH</w:t>
      </w:r>
      <w:r w:rsidRPr="005771BD">
        <w:rPr>
          <w:rFonts w:eastAsiaTheme="minorHAnsi" w:cs="Arial"/>
          <w:szCs w:val="20"/>
          <w:vertAlign w:val="subscript"/>
          <w:lang w:val="sl-SI"/>
        </w:rPr>
        <w:t>3</w:t>
      </w:r>
      <w:r w:rsidRPr="005771BD">
        <w:rPr>
          <w:rFonts w:eastAsiaTheme="minorHAnsi" w:cs="Arial"/>
          <w:szCs w:val="20"/>
          <w:lang w:val="sl-SI"/>
        </w:rPr>
        <w:t>) in delcev PM</w:t>
      </w:r>
      <w:r w:rsidRPr="005771BD">
        <w:rPr>
          <w:rFonts w:eastAsiaTheme="minorHAnsi" w:cs="Arial"/>
          <w:szCs w:val="20"/>
          <w:vertAlign w:val="subscript"/>
          <w:lang w:val="sl-SI"/>
        </w:rPr>
        <w:t>2,5</w:t>
      </w:r>
      <w:r w:rsidRPr="005771BD">
        <w:rPr>
          <w:rFonts w:eastAsiaTheme="minorHAnsi" w:cs="Arial"/>
          <w:szCs w:val="20"/>
          <w:lang w:val="sl-SI"/>
        </w:rPr>
        <w:t>. To je vplivalo na znižanje izpustov snovi, ki povzročajo zaki</w:t>
      </w:r>
      <w:r>
        <w:rPr>
          <w:rFonts w:eastAsiaTheme="minorHAnsi" w:cs="Arial"/>
          <w:szCs w:val="20"/>
          <w:lang w:val="sl-SI"/>
        </w:rPr>
        <w:t>sovanje</w:t>
      </w:r>
      <w:r w:rsidRPr="005771BD">
        <w:rPr>
          <w:rFonts w:eastAsiaTheme="minorHAnsi" w:cs="Arial"/>
          <w:szCs w:val="20"/>
          <w:lang w:val="sl-SI"/>
        </w:rPr>
        <w:t>, predhodnikov prizemnega ozona in delcev. NOx je edina snov, ki je s pomembnim deležem prisotna v vseh treh skupinah. Glavna vira izpustov NOx sta promet ter</w:t>
      </w:r>
      <w:r>
        <w:rPr>
          <w:rFonts w:eastAsiaTheme="minorHAnsi" w:cs="Arial"/>
          <w:szCs w:val="20"/>
          <w:lang w:val="sl-SI"/>
        </w:rPr>
        <w:t xml:space="preserve"> </w:t>
      </w:r>
      <w:r w:rsidRPr="005771BD">
        <w:rPr>
          <w:rFonts w:eastAsiaTheme="minorHAnsi" w:cs="Arial"/>
          <w:szCs w:val="20"/>
          <w:lang w:val="sl-SI"/>
        </w:rPr>
        <w:t xml:space="preserve">proizvodnja električne energije in toplote. </w:t>
      </w:r>
      <w:r w:rsidRPr="005771BD">
        <w:rPr>
          <w:rFonts w:cs="Arial"/>
          <w:color w:val="000000"/>
          <w:szCs w:val="20"/>
          <w:lang w:val="sl-SI" w:eastAsia="sl-SI"/>
        </w:rPr>
        <w:t>Daleč najpomembnejši vir izpustov amonijaka (NH</w:t>
      </w:r>
      <w:r w:rsidRPr="005771BD">
        <w:rPr>
          <w:rFonts w:cs="Arial"/>
          <w:color w:val="000000"/>
          <w:szCs w:val="20"/>
          <w:vertAlign w:val="subscript"/>
          <w:lang w:val="sl-SI" w:eastAsia="sl-SI"/>
        </w:rPr>
        <w:t>3</w:t>
      </w:r>
      <w:r w:rsidRPr="005771BD">
        <w:rPr>
          <w:rFonts w:cs="Arial"/>
          <w:color w:val="000000"/>
          <w:szCs w:val="20"/>
          <w:lang w:val="sl-SI" w:eastAsia="sl-SI"/>
        </w:rPr>
        <w:t>) je kmetijstvo.</w:t>
      </w:r>
    </w:p>
    <w:p w:rsidR="00225F01" w:rsidRPr="005771BD" w:rsidRDefault="00225F01" w:rsidP="00225F01">
      <w:pPr>
        <w:spacing w:after="200" w:line="276" w:lineRule="auto"/>
        <w:jc w:val="both"/>
        <w:rPr>
          <w:rFonts w:eastAsiaTheme="minorHAnsi" w:cs="Arial"/>
          <w:szCs w:val="20"/>
          <w:lang w:val="sl-SI" w:eastAsia="sl-SI"/>
        </w:rPr>
      </w:pPr>
      <w:r w:rsidRPr="005771BD">
        <w:rPr>
          <w:rFonts w:eastAsiaTheme="minorHAnsi" w:cs="Arial"/>
          <w:szCs w:val="20"/>
          <w:lang w:val="sl-SI"/>
        </w:rPr>
        <w:t>Glede izpustov onesnaževal bo treba sprejeti nov program doseganja nacionalnih zgornjih mej za nekatera onesnaževala zunanjega zraka (</w:t>
      </w:r>
      <w:r w:rsidRPr="005771BD">
        <w:rPr>
          <w:rFonts w:eastAsiaTheme="minorHAnsi" w:cs="Arial"/>
          <w:szCs w:val="20"/>
          <w:lang w:val="sl-SI" w:eastAsia="sl-SI"/>
        </w:rPr>
        <w:t>SO</w:t>
      </w:r>
      <w:r w:rsidRPr="005771BD">
        <w:rPr>
          <w:rFonts w:eastAsiaTheme="minorHAnsi" w:cs="Arial"/>
          <w:szCs w:val="20"/>
          <w:vertAlign w:val="subscript"/>
          <w:lang w:val="sl-SI" w:eastAsia="sl-SI"/>
        </w:rPr>
        <w:t>2</w:t>
      </w:r>
      <w:r w:rsidRPr="005771BD">
        <w:rPr>
          <w:rFonts w:eastAsiaTheme="minorHAnsi" w:cs="Arial"/>
          <w:szCs w:val="20"/>
          <w:lang w:val="sl-SI" w:eastAsia="sl-SI"/>
        </w:rPr>
        <w:t>, NOx, NMVOC, NH</w:t>
      </w:r>
      <w:r w:rsidRPr="005771BD">
        <w:rPr>
          <w:rFonts w:eastAsiaTheme="minorHAnsi" w:cs="Arial"/>
          <w:szCs w:val="20"/>
          <w:vertAlign w:val="subscript"/>
          <w:lang w:val="sl-SI" w:eastAsia="sl-SI"/>
        </w:rPr>
        <w:t>3</w:t>
      </w:r>
      <w:r w:rsidRPr="005771BD">
        <w:rPr>
          <w:rFonts w:eastAsiaTheme="minorHAnsi" w:cs="Arial"/>
          <w:szCs w:val="20"/>
          <w:lang w:val="sl-SI" w:eastAsia="sl-SI"/>
        </w:rPr>
        <w:t xml:space="preserve"> in PM</w:t>
      </w:r>
      <w:r w:rsidRPr="005771BD">
        <w:rPr>
          <w:rFonts w:eastAsiaTheme="minorHAnsi" w:cs="Arial"/>
          <w:szCs w:val="20"/>
          <w:vertAlign w:val="subscript"/>
          <w:lang w:val="sl-SI" w:eastAsia="sl-SI"/>
        </w:rPr>
        <w:t>2,5</w:t>
      </w:r>
      <w:r w:rsidRPr="005771BD">
        <w:rPr>
          <w:rFonts w:eastAsiaTheme="minorHAnsi" w:cs="Arial"/>
          <w:szCs w:val="20"/>
          <w:lang w:val="sl-SI" w:eastAsia="sl-SI"/>
        </w:rPr>
        <w:t>), in sicer</w:t>
      </w:r>
      <w:r w:rsidRPr="005771BD">
        <w:rPr>
          <w:rFonts w:eastAsiaTheme="minorHAnsi" w:cs="Arial"/>
          <w:szCs w:val="20"/>
          <w:vertAlign w:val="subscript"/>
          <w:lang w:val="sl-SI" w:eastAsia="sl-SI"/>
        </w:rPr>
        <w:t xml:space="preserve"> </w:t>
      </w:r>
      <w:r w:rsidRPr="005771BD">
        <w:rPr>
          <w:rFonts w:eastAsiaTheme="minorHAnsi" w:cs="Arial"/>
          <w:szCs w:val="20"/>
          <w:lang w:val="sl-SI"/>
        </w:rPr>
        <w:t xml:space="preserve">za doseganje ciljev do leta 2020, 2025 in 2030, ki jih bo določila </w:t>
      </w:r>
      <w:r w:rsidRPr="005771BD">
        <w:rPr>
          <w:rFonts w:eastAsiaTheme="minorHAnsi" w:cs="Arial"/>
          <w:szCs w:val="20"/>
          <w:lang w:val="sl-SI" w:eastAsia="sl-SI"/>
        </w:rPr>
        <w:t>revizija Direktive 2001/81/ES o nacionalnih zgornjih mejah emisij za nekatera onesnaževala zraka (nova Direktiva NEC), ki je v sklepni fazi sprejemanja.</w:t>
      </w:r>
    </w:p>
    <w:p w:rsidR="00225F01" w:rsidRPr="005771BD" w:rsidRDefault="00225F01" w:rsidP="0000410C">
      <w:pPr>
        <w:spacing w:after="360" w:line="276" w:lineRule="auto"/>
        <w:jc w:val="both"/>
        <w:rPr>
          <w:rFonts w:eastAsiaTheme="minorHAnsi" w:cs="Arial"/>
          <w:szCs w:val="20"/>
          <w:lang w:val="sl-SI"/>
        </w:rPr>
      </w:pPr>
      <w:r w:rsidRPr="005771BD">
        <w:rPr>
          <w:rFonts w:eastAsiaTheme="minorHAnsi" w:cs="Arial"/>
          <w:szCs w:val="20"/>
          <w:shd w:val="clear" w:color="auto" w:fill="FFFFFF"/>
          <w:lang w:val="sl-SI"/>
        </w:rPr>
        <w:t>Za zmanjšanje prekomerne onesnaženosti zunanjega zraka z delci PM</w:t>
      </w:r>
      <w:r w:rsidRPr="005771BD">
        <w:rPr>
          <w:rFonts w:eastAsiaTheme="minorHAnsi" w:cs="Arial"/>
          <w:szCs w:val="20"/>
          <w:shd w:val="clear" w:color="auto" w:fill="FFFFFF"/>
          <w:vertAlign w:val="subscript"/>
          <w:lang w:val="sl-SI"/>
        </w:rPr>
        <w:t xml:space="preserve">10 </w:t>
      </w:r>
      <w:r w:rsidRPr="005771BD">
        <w:rPr>
          <w:rFonts w:eastAsiaTheme="minorHAnsi" w:cs="Arial"/>
          <w:szCs w:val="20"/>
          <w:shd w:val="clear" w:color="auto" w:fill="FFFFFF"/>
          <w:lang w:val="sl-SI"/>
        </w:rPr>
        <w:t xml:space="preserve">bo potrebno </w:t>
      </w:r>
      <w:r w:rsidRPr="005771BD">
        <w:rPr>
          <w:rFonts w:eastAsiaTheme="minorHAnsi" w:cs="Arial"/>
          <w:szCs w:val="20"/>
          <w:lang w:val="sl-SI"/>
        </w:rPr>
        <w:t>dosledno izvajanje ukrepov iz načrtov za kakovost zraka, učinkovito izvajanje predpisov, ki urejajo male in srednje kurilne naprave na trdna goriva, ter izvajanje dimnikarske službe. K zmanjšanju onesnaženosti z delci PM</w:t>
      </w:r>
      <w:r w:rsidRPr="005771BD">
        <w:rPr>
          <w:rFonts w:eastAsiaTheme="minorHAnsi" w:cs="Arial"/>
          <w:szCs w:val="20"/>
          <w:vertAlign w:val="subscript"/>
          <w:lang w:val="sl-SI"/>
        </w:rPr>
        <w:t>10</w:t>
      </w:r>
      <w:r w:rsidRPr="005771BD">
        <w:rPr>
          <w:rFonts w:eastAsiaTheme="minorHAnsi" w:cs="Arial"/>
          <w:szCs w:val="20"/>
          <w:lang w:val="sl-SI"/>
        </w:rPr>
        <w:t xml:space="preserve"> in drugimi onesnaževali zunanjega zraka bo pripomoglo tudi izvajanje </w:t>
      </w:r>
      <w:r w:rsidRPr="005771BD">
        <w:rPr>
          <w:rFonts w:eastAsiaTheme="minorHAnsi" w:cs="Arial"/>
          <w:color w:val="000000"/>
          <w:szCs w:val="20"/>
          <w:lang w:val="sl-SI"/>
        </w:rPr>
        <w:t xml:space="preserve">ukrepov za </w:t>
      </w:r>
      <w:r w:rsidRPr="005771BD">
        <w:rPr>
          <w:rFonts w:eastAsiaTheme="minorHAnsi" w:cs="Arial"/>
          <w:bCs/>
          <w:color w:val="000000"/>
          <w:szCs w:val="20"/>
          <w:lang w:val="sl-SI"/>
        </w:rPr>
        <w:t>zmanjševanje izpustov toplogrednih plinov.</w:t>
      </w:r>
    </w:p>
    <w:p w:rsidR="00225F01" w:rsidRPr="005771BD" w:rsidRDefault="0000410C" w:rsidP="00225F01">
      <w:pPr>
        <w:spacing w:after="200" w:line="276" w:lineRule="auto"/>
        <w:jc w:val="both"/>
        <w:rPr>
          <w:rFonts w:eastAsiaTheme="minorHAnsi" w:cs="Arial"/>
          <w:b/>
          <w:szCs w:val="20"/>
          <w:u w:val="single"/>
          <w:lang w:val="sl-SI"/>
        </w:rPr>
      </w:pPr>
      <w:r>
        <w:rPr>
          <w:rFonts w:eastAsiaTheme="minorHAnsi" w:cs="Arial"/>
          <w:b/>
          <w:szCs w:val="20"/>
          <w:u w:val="single"/>
          <w:lang w:val="sl-SI"/>
        </w:rPr>
        <w:t>6</w:t>
      </w:r>
      <w:r w:rsidR="00225F01" w:rsidRPr="005771BD">
        <w:rPr>
          <w:rFonts w:eastAsiaTheme="minorHAnsi" w:cs="Arial"/>
          <w:b/>
          <w:szCs w:val="20"/>
          <w:u w:val="single"/>
          <w:lang w:val="sl-SI"/>
        </w:rPr>
        <w:t xml:space="preserve">. 2 Obremenitve in stanje </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 xml:space="preserve">Ozračje je plast plinov, ki obdaja naš planet. Suhi del zraka sestavljajo predvsem dušik, ki ima 78 % volumski delež, kisik z 21 % deležem in argon, ki ga je v ozračju v povprečju nekaj manj kot 1 %. Drugih plinov skupaj je v ozračju bistveno manj kot 1 %. V zraku se zadržujejo tudi delci, ki so lahko v trdnem ali tekočem stanju. Zrak omogoča dihanje ter fotosintezo kopenskim živalim in rastlinam. </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 xml:space="preserve">Onesnaževala zraka so snovi, ki škodljivo vplivajo na človeka ali okolje. Mednje sodijo plini, kot so na primer dušikovi in žveplovi oksidi ter prizemni ozon. Med onesnaževala zraka uvrščamo tudi delce različne velikosti, sestave in agregatnega stanja, ki lebdijo v zraku. </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 xml:space="preserve">Onesnaženost zraka je predvsem posledica človekove dejavnosti, kakovost zraka pa lahko poslabšajo tudi naravni viri, kot so na primer izbruhi ognjenikov ali požari v naravi. Nekatera onesnaževala v zrak neposredno sproščajo viri onesnaževanja. Druga, tako imenovana sekundarna onesnaževala, kot na primer prizemni ozon ali sekundarni delci, pa nastajajo v ozračju kot produkt zapletenih kemičnih procesov. Onesnaževala zraka lahko zaradi gibanja zračnih mas prepotujejo velike razdalje ter vplivajo na človeka in okolje daleč od mesta njihovega izpusta. </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Škodljive snovi iz zraka predvsem prek dihalnih organov prehajajo v telo in kompleksno vplivajo na procese v človeku. Onesnaženi zrak vpliva na zdravje in počutje ljudi bolj kot drugi okoljski vplivi in velja za najpomembnejšo zdravstveno težavo, povezano z onesnaževanjem okolja. Pomeni tveganje za zdravje, ki se mu skoraj ni mogoče izogniti.</w:t>
      </w:r>
    </w:p>
    <w:p w:rsidR="00225F01" w:rsidRPr="005771BD" w:rsidRDefault="00225F01" w:rsidP="00225F01">
      <w:pPr>
        <w:spacing w:after="200" w:line="276" w:lineRule="auto"/>
        <w:jc w:val="both"/>
        <w:rPr>
          <w:rFonts w:eastAsiaTheme="minorHAnsi" w:cs="Arial"/>
          <w:color w:val="000000" w:themeColor="text1"/>
          <w:szCs w:val="20"/>
          <w:lang w:val="sl-SI"/>
        </w:rPr>
      </w:pPr>
      <w:r w:rsidRPr="005771BD">
        <w:rPr>
          <w:rFonts w:eastAsiaTheme="minorHAnsi" w:cs="Arial"/>
          <w:iCs/>
          <w:color w:val="000000" w:themeColor="text1"/>
          <w:szCs w:val="20"/>
          <w:lang w:val="sl-SI"/>
        </w:rPr>
        <w:t xml:space="preserve">Onesnaženi zrak </w:t>
      </w:r>
      <w:r w:rsidRPr="005771BD">
        <w:rPr>
          <w:rFonts w:eastAsiaTheme="minorHAnsi" w:cs="Arial"/>
          <w:color w:val="000000" w:themeColor="text1"/>
          <w:szCs w:val="20"/>
          <w:lang w:val="sl-SI"/>
        </w:rPr>
        <w:t>povzroča zaki</w:t>
      </w:r>
      <w:r>
        <w:rPr>
          <w:rFonts w:eastAsiaTheme="minorHAnsi" w:cs="Arial"/>
          <w:color w:val="000000" w:themeColor="text1"/>
          <w:szCs w:val="20"/>
          <w:lang w:val="sl-SI"/>
        </w:rPr>
        <w:t>sovanje</w:t>
      </w:r>
      <w:r w:rsidRPr="005771BD">
        <w:rPr>
          <w:rFonts w:eastAsiaTheme="minorHAnsi" w:cs="Arial"/>
          <w:color w:val="000000" w:themeColor="text1"/>
          <w:szCs w:val="20"/>
          <w:lang w:val="sl-SI"/>
        </w:rPr>
        <w:t xml:space="preserve"> tal in vode, evtrofikacijo, zmanjšuje donos kmetijskih pridelkov, škodi gozdovom ter razjeda materiale. Različna onesnaževala zraka imajo različne učinke na številne ekosisteme. Prizemni ozon zmanjšuje zmožnost rastlinske fotosinteze, ker ovira sprejem ogljikovega dioksida. Škodi razmnoževanju in rasti rastlin, posledica sta manjši donos pridelkov in manjši prirast gozda. Še zlasti veliko nevarnost pomenijo povečane količine dušika. </w:t>
      </w:r>
      <w:r w:rsidRPr="005771BD">
        <w:rPr>
          <w:rFonts w:eastAsiaTheme="minorHAnsi" w:cs="Arial"/>
          <w:iCs/>
          <w:color w:val="000000" w:themeColor="text1"/>
          <w:szCs w:val="20"/>
          <w:lang w:val="sl-SI"/>
        </w:rPr>
        <w:t>Odziv ekosistemov na odlaganje prevelikih količin</w:t>
      </w:r>
      <w:r w:rsidRPr="005771BD">
        <w:rPr>
          <w:rFonts w:eastAsiaTheme="minorHAnsi" w:cs="Arial"/>
          <w:color w:val="000000" w:themeColor="text1"/>
          <w:szCs w:val="20"/>
          <w:lang w:val="sl-SI"/>
        </w:rPr>
        <w:t xml:space="preserve"> </w:t>
      </w:r>
      <w:r w:rsidRPr="005771BD">
        <w:rPr>
          <w:rFonts w:eastAsiaTheme="minorHAnsi" w:cs="Arial"/>
          <w:iCs/>
          <w:color w:val="000000" w:themeColor="text1"/>
          <w:szCs w:val="20"/>
          <w:lang w:val="sl-SI"/>
        </w:rPr>
        <w:t xml:space="preserve">dušika imenujemo </w:t>
      </w:r>
      <w:r w:rsidRPr="005771BD">
        <w:rPr>
          <w:rFonts w:eastAsiaTheme="minorHAnsi" w:cs="Arial"/>
          <w:bCs/>
          <w:color w:val="000000" w:themeColor="text1"/>
          <w:szCs w:val="20"/>
          <w:lang w:val="sl-SI"/>
        </w:rPr>
        <w:t>evtrofikacija</w:t>
      </w:r>
      <w:r w:rsidRPr="005771BD">
        <w:rPr>
          <w:rFonts w:eastAsiaTheme="minorHAnsi" w:cs="Arial"/>
          <w:iCs/>
          <w:color w:val="000000" w:themeColor="text1"/>
          <w:szCs w:val="20"/>
          <w:lang w:val="sl-SI"/>
        </w:rPr>
        <w:t xml:space="preserve">. </w:t>
      </w:r>
      <w:r w:rsidRPr="005771BD">
        <w:rPr>
          <w:rFonts w:eastAsiaTheme="minorHAnsi" w:cs="Arial"/>
          <w:color w:val="000000" w:themeColor="text1"/>
          <w:szCs w:val="20"/>
          <w:lang w:val="sl-SI"/>
        </w:rPr>
        <w:t xml:space="preserve">Prevelika količina hranil v občutljivih ekosistemih lahko popolnoma spremeni ravnovesje med vrstami, to pa lahko vodi v </w:t>
      </w:r>
      <w:r w:rsidRPr="005771BD">
        <w:rPr>
          <w:rFonts w:eastAsiaTheme="minorHAnsi" w:cs="Arial"/>
          <w:iCs/>
          <w:color w:val="000000" w:themeColor="text1"/>
          <w:szCs w:val="20"/>
          <w:lang w:val="sl-SI"/>
        </w:rPr>
        <w:t xml:space="preserve">izgubo biotske raznovrstnosti </w:t>
      </w:r>
      <w:r w:rsidRPr="005771BD">
        <w:rPr>
          <w:rFonts w:eastAsiaTheme="minorHAnsi" w:cs="Arial"/>
          <w:color w:val="000000" w:themeColor="text1"/>
          <w:szCs w:val="20"/>
          <w:lang w:val="sl-SI"/>
        </w:rPr>
        <w:t>na prizadetem območju. V sladkovodnih in obalnih ekosistemih to prispeva k cvetenju alg.</w:t>
      </w:r>
    </w:p>
    <w:p w:rsidR="00225F01" w:rsidRPr="005771BD" w:rsidRDefault="00225F01" w:rsidP="00225F01">
      <w:pPr>
        <w:spacing w:line="276" w:lineRule="auto"/>
        <w:jc w:val="both"/>
        <w:rPr>
          <w:rFonts w:eastAsiaTheme="minorHAnsi" w:cs="Arial"/>
          <w:color w:val="000000"/>
          <w:szCs w:val="20"/>
          <w:shd w:val="clear" w:color="auto" w:fill="FFFFFF"/>
          <w:lang w:val="sl-SI"/>
        </w:rPr>
      </w:pPr>
      <w:r w:rsidRPr="005771BD">
        <w:rPr>
          <w:rFonts w:eastAsiaTheme="minorHAnsi" w:cs="Arial"/>
          <w:color w:val="000000"/>
          <w:szCs w:val="20"/>
          <w:shd w:val="clear" w:color="auto" w:fill="FFFFFF"/>
          <w:lang w:val="sl-SI"/>
        </w:rPr>
        <w:t>Koliko zrak onesnažujemo na državni ravni, kažejo evidence izpustov onesnaževal. Onesnaževala, za katere se vodijo evidence izpustov, so:</w:t>
      </w:r>
    </w:p>
    <w:p w:rsidR="00225F01" w:rsidRPr="005771BD" w:rsidRDefault="00225F01" w:rsidP="00225F01">
      <w:pPr>
        <w:numPr>
          <w:ilvl w:val="0"/>
          <w:numId w:val="3"/>
        </w:numPr>
        <w:spacing w:before="60" w:line="276" w:lineRule="auto"/>
        <w:ind w:left="284" w:hanging="284"/>
        <w:jc w:val="both"/>
        <w:rPr>
          <w:rFonts w:cs="Arial"/>
          <w:color w:val="000000"/>
          <w:szCs w:val="20"/>
          <w:shd w:val="clear" w:color="auto" w:fill="FFFFFF"/>
          <w:lang w:val="sl-SI" w:eastAsia="sl-SI"/>
        </w:rPr>
      </w:pPr>
      <w:r w:rsidRPr="005771BD">
        <w:rPr>
          <w:rFonts w:cs="Arial"/>
          <w:color w:val="000000"/>
          <w:szCs w:val="20"/>
          <w:lang w:val="sl-SI" w:eastAsia="sl-SI"/>
        </w:rPr>
        <w:t xml:space="preserve">žveplovi oksidi (SOx), dušikovi oksidi (NOx), </w:t>
      </w:r>
      <w:r w:rsidRPr="005771BD">
        <w:rPr>
          <w:rFonts w:cs="Arial"/>
          <w:szCs w:val="20"/>
          <w:lang w:val="sl-SI" w:eastAsia="sl-SI"/>
        </w:rPr>
        <w:t>nemetanski hlapni ogljikovodiki (NMVOC</w:t>
      </w:r>
      <w:r w:rsidRPr="005771BD">
        <w:rPr>
          <w:rFonts w:cs="Arial"/>
          <w:color w:val="000000"/>
          <w:szCs w:val="20"/>
          <w:lang w:val="sl-SI" w:eastAsia="sl-SI"/>
        </w:rPr>
        <w:t>), amonijak (NH</w:t>
      </w:r>
      <w:r w:rsidRPr="005771BD">
        <w:rPr>
          <w:rFonts w:cs="Arial"/>
          <w:color w:val="000000"/>
          <w:szCs w:val="20"/>
          <w:vertAlign w:val="subscript"/>
          <w:lang w:val="sl-SI" w:eastAsia="sl-SI"/>
        </w:rPr>
        <w:t>3</w:t>
      </w:r>
      <w:r w:rsidRPr="005771BD">
        <w:rPr>
          <w:rFonts w:cs="Arial"/>
          <w:color w:val="000000"/>
          <w:szCs w:val="20"/>
          <w:lang w:val="sl-SI" w:eastAsia="sl-SI"/>
        </w:rPr>
        <w:t xml:space="preserve">), ogljikov monoksid (CO) ter delci </w:t>
      </w:r>
      <w:r w:rsidRPr="00C0129E">
        <w:rPr>
          <w:rFonts w:cs="Arial"/>
          <w:color w:val="000000"/>
          <w:szCs w:val="20"/>
          <w:shd w:val="clear" w:color="auto" w:fill="FFFFFF"/>
          <w:lang w:val="sl-SI" w:eastAsia="sl-SI"/>
        </w:rPr>
        <w:t>PM</w:t>
      </w:r>
      <w:r w:rsidRPr="00C0129E">
        <w:rPr>
          <w:rFonts w:cs="Arial"/>
          <w:color w:val="000000"/>
          <w:szCs w:val="20"/>
          <w:shd w:val="clear" w:color="auto" w:fill="FFFFFF"/>
          <w:vertAlign w:val="subscript"/>
          <w:lang w:val="sl-SI" w:eastAsia="sl-SI"/>
        </w:rPr>
        <w:t>10</w:t>
      </w:r>
      <w:r w:rsidRPr="00C0129E">
        <w:rPr>
          <w:rFonts w:cs="Arial"/>
          <w:color w:val="000000"/>
          <w:szCs w:val="20"/>
          <w:shd w:val="clear" w:color="auto" w:fill="FFFFFF"/>
          <w:lang w:val="sl-SI" w:eastAsia="sl-SI"/>
        </w:rPr>
        <w:t> in PM</w:t>
      </w:r>
      <w:r w:rsidRPr="00C0129E">
        <w:rPr>
          <w:rFonts w:cs="Arial"/>
          <w:color w:val="000000"/>
          <w:szCs w:val="20"/>
          <w:shd w:val="clear" w:color="auto" w:fill="FFFFFF"/>
          <w:vertAlign w:val="subscript"/>
          <w:lang w:val="sl-SI" w:eastAsia="sl-SI"/>
        </w:rPr>
        <w:t>2,5</w:t>
      </w:r>
      <w:r w:rsidRPr="005771BD">
        <w:rPr>
          <w:rFonts w:cs="Arial"/>
          <w:color w:val="000000"/>
          <w:szCs w:val="20"/>
          <w:shd w:val="clear" w:color="auto" w:fill="FFFFFF"/>
          <w:lang w:val="sl-SI" w:eastAsia="sl-SI"/>
        </w:rPr>
        <w:t>,</w:t>
      </w:r>
    </w:p>
    <w:p w:rsidR="00225F01" w:rsidRPr="005771BD" w:rsidRDefault="00225F01" w:rsidP="00225F01">
      <w:pPr>
        <w:numPr>
          <w:ilvl w:val="0"/>
          <w:numId w:val="3"/>
        </w:numPr>
        <w:spacing w:before="60" w:after="200" w:line="276" w:lineRule="auto"/>
        <w:ind w:left="284" w:hanging="284"/>
        <w:jc w:val="both"/>
        <w:rPr>
          <w:rFonts w:cs="Arial"/>
          <w:color w:val="000000"/>
          <w:szCs w:val="20"/>
          <w:shd w:val="clear" w:color="auto" w:fill="FFFFFF"/>
          <w:lang w:val="sl-SI" w:eastAsia="sl-SI"/>
        </w:rPr>
      </w:pPr>
      <w:r w:rsidRPr="005771BD">
        <w:rPr>
          <w:rFonts w:cs="Arial"/>
          <w:szCs w:val="20"/>
          <w:lang w:val="sl-SI" w:eastAsia="sl-SI"/>
        </w:rPr>
        <w:t xml:space="preserve">obstojna organska onesnaževala (POPs) in težke kovine (svinec, kadmij in živo srebro). </w:t>
      </w:r>
    </w:p>
    <w:p w:rsidR="00225F01" w:rsidRPr="005771BD" w:rsidRDefault="00225F01" w:rsidP="00225F01">
      <w:pPr>
        <w:spacing w:after="200" w:line="276" w:lineRule="auto"/>
        <w:jc w:val="both"/>
        <w:rPr>
          <w:rFonts w:cs="Arial"/>
          <w:color w:val="000000"/>
          <w:szCs w:val="20"/>
          <w:lang w:val="sl-SI" w:eastAsia="sl-SI"/>
        </w:rPr>
      </w:pPr>
      <w:r w:rsidRPr="005771BD">
        <w:rPr>
          <w:rFonts w:eastAsiaTheme="minorHAnsi" w:cs="Arial"/>
          <w:color w:val="000000"/>
          <w:szCs w:val="20"/>
          <w:shd w:val="clear" w:color="auto" w:fill="FFFFFF"/>
          <w:lang w:val="sl-SI"/>
        </w:rPr>
        <w:t xml:space="preserve">Kakšen zrak dihamo, pa kažejo izmerjene koncentracije onesnaževal zunanjega zraka na merilnih mestih. Ocenjevanje in upravljanje kakovosti zraka se izvaja za žveplov dioksid </w:t>
      </w:r>
      <w:r w:rsidRPr="005771BD">
        <w:rPr>
          <w:rFonts w:eastAsiaTheme="minorHAnsi" w:cs="Arial"/>
          <w:szCs w:val="20"/>
          <w:lang w:val="sl-SI"/>
        </w:rPr>
        <w:t>(SO</w:t>
      </w:r>
      <w:r w:rsidRPr="005771BD">
        <w:rPr>
          <w:rFonts w:eastAsiaTheme="minorHAnsi" w:cs="Arial"/>
          <w:szCs w:val="20"/>
          <w:vertAlign w:val="subscript"/>
          <w:lang w:val="sl-SI"/>
        </w:rPr>
        <w:t>2</w:t>
      </w:r>
      <w:r w:rsidRPr="005771BD">
        <w:rPr>
          <w:rFonts w:eastAsiaTheme="minorHAnsi" w:cs="Arial"/>
          <w:szCs w:val="20"/>
          <w:lang w:val="sl-SI"/>
        </w:rPr>
        <w:t>)</w:t>
      </w:r>
      <w:r w:rsidRPr="00C0129E">
        <w:rPr>
          <w:rFonts w:eastAsiaTheme="minorHAnsi" w:cs="Arial"/>
          <w:color w:val="000000"/>
          <w:szCs w:val="20"/>
          <w:shd w:val="clear" w:color="auto" w:fill="FFFFFF"/>
          <w:lang w:val="sl-SI"/>
        </w:rPr>
        <w:t>, dušikov dioksid (</w:t>
      </w:r>
      <w:r w:rsidRPr="005771BD">
        <w:rPr>
          <w:rFonts w:eastAsiaTheme="minorHAnsi" w:cs="Arial"/>
          <w:szCs w:val="20"/>
          <w:lang w:val="sl-SI"/>
        </w:rPr>
        <w:t>NO</w:t>
      </w:r>
      <w:r w:rsidRPr="005771BD">
        <w:rPr>
          <w:rFonts w:eastAsiaTheme="minorHAnsi" w:cs="Arial"/>
          <w:szCs w:val="20"/>
          <w:vertAlign w:val="subscript"/>
          <w:lang w:val="sl-SI"/>
        </w:rPr>
        <w:t>2</w:t>
      </w:r>
      <w:r w:rsidRPr="005771BD">
        <w:rPr>
          <w:rFonts w:eastAsiaTheme="minorHAnsi" w:cs="Arial"/>
          <w:szCs w:val="20"/>
          <w:lang w:val="sl-SI"/>
        </w:rPr>
        <w:t>)</w:t>
      </w:r>
      <w:r w:rsidRPr="00C0129E">
        <w:rPr>
          <w:rFonts w:eastAsiaTheme="minorHAnsi" w:cs="Arial"/>
          <w:color w:val="000000"/>
          <w:szCs w:val="20"/>
          <w:shd w:val="clear" w:color="auto" w:fill="FFFFFF"/>
          <w:lang w:val="sl-SI"/>
        </w:rPr>
        <w:t>, dušikove okside (</w:t>
      </w:r>
      <w:r w:rsidRPr="005771BD">
        <w:rPr>
          <w:rFonts w:eastAsiaTheme="minorHAnsi" w:cs="Arial"/>
          <w:szCs w:val="20"/>
          <w:lang w:val="sl-SI"/>
        </w:rPr>
        <w:t>NO</w:t>
      </w:r>
      <w:r w:rsidRPr="005771BD">
        <w:rPr>
          <w:rFonts w:eastAsiaTheme="minorHAnsi" w:cs="Arial"/>
          <w:szCs w:val="20"/>
          <w:vertAlign w:val="subscript"/>
          <w:lang w:val="sl-SI"/>
        </w:rPr>
        <w:t>x</w:t>
      </w:r>
      <w:r w:rsidRPr="005771BD">
        <w:rPr>
          <w:rFonts w:eastAsiaTheme="minorHAnsi" w:cs="Arial"/>
          <w:szCs w:val="20"/>
          <w:lang w:val="sl-SI"/>
        </w:rPr>
        <w:t>),</w:t>
      </w:r>
      <w:r w:rsidRPr="00C0129E">
        <w:rPr>
          <w:rFonts w:eastAsiaTheme="minorHAnsi" w:cs="Arial"/>
          <w:color w:val="000000"/>
          <w:szCs w:val="20"/>
          <w:shd w:val="clear" w:color="auto" w:fill="FFFFFF"/>
          <w:lang w:val="sl-SI"/>
        </w:rPr>
        <w:t xml:space="preserve"> delce PM</w:t>
      </w:r>
      <w:r w:rsidRPr="00C0129E">
        <w:rPr>
          <w:rFonts w:eastAsiaTheme="minorHAnsi" w:cs="Arial"/>
          <w:color w:val="000000"/>
          <w:szCs w:val="20"/>
          <w:shd w:val="clear" w:color="auto" w:fill="FFFFFF"/>
          <w:vertAlign w:val="subscript"/>
          <w:lang w:val="sl-SI"/>
        </w:rPr>
        <w:t>10</w:t>
      </w:r>
      <w:r w:rsidRPr="00C0129E">
        <w:rPr>
          <w:rFonts w:eastAsiaTheme="minorHAnsi" w:cs="Arial"/>
          <w:color w:val="000000"/>
          <w:szCs w:val="20"/>
          <w:shd w:val="clear" w:color="auto" w:fill="FFFFFF"/>
          <w:lang w:val="sl-SI"/>
        </w:rPr>
        <w:t> in PM</w:t>
      </w:r>
      <w:r w:rsidRPr="00C0129E">
        <w:rPr>
          <w:rFonts w:eastAsiaTheme="minorHAnsi" w:cs="Arial"/>
          <w:color w:val="000000"/>
          <w:szCs w:val="20"/>
          <w:shd w:val="clear" w:color="auto" w:fill="FFFFFF"/>
          <w:vertAlign w:val="subscript"/>
          <w:lang w:val="sl-SI"/>
        </w:rPr>
        <w:t>2,5</w:t>
      </w:r>
      <w:r w:rsidRPr="00C0129E">
        <w:rPr>
          <w:rFonts w:eastAsiaTheme="minorHAnsi" w:cs="Arial"/>
          <w:color w:val="000000"/>
          <w:szCs w:val="20"/>
          <w:shd w:val="clear" w:color="auto" w:fill="FFFFFF"/>
          <w:lang w:val="sl-SI"/>
        </w:rPr>
        <w:t xml:space="preserve">, benzen, ogljikov monoksid (CO), benzo(a)piren, </w:t>
      </w:r>
      <w:r w:rsidRPr="005771BD">
        <w:rPr>
          <w:rFonts w:eastAsiaTheme="minorHAnsi" w:cs="Arial"/>
          <w:szCs w:val="20"/>
          <w:lang w:val="sl-SI"/>
        </w:rPr>
        <w:t>težke kovine v delcih PM</w:t>
      </w:r>
      <w:r w:rsidRPr="005771BD">
        <w:rPr>
          <w:rFonts w:eastAsiaTheme="minorHAnsi" w:cs="Arial"/>
          <w:szCs w:val="20"/>
          <w:vertAlign w:val="subscript"/>
          <w:lang w:val="sl-SI"/>
        </w:rPr>
        <w:t xml:space="preserve">10 </w:t>
      </w:r>
      <w:r w:rsidRPr="005771BD">
        <w:rPr>
          <w:rFonts w:eastAsiaTheme="minorHAnsi" w:cs="Arial"/>
          <w:szCs w:val="20"/>
          <w:lang w:val="sl-SI"/>
        </w:rPr>
        <w:t>(</w:t>
      </w:r>
      <w:r w:rsidRPr="00C0129E">
        <w:rPr>
          <w:rFonts w:eastAsiaTheme="minorHAnsi" w:cs="Arial"/>
          <w:color w:val="000000"/>
          <w:szCs w:val="20"/>
          <w:shd w:val="clear" w:color="auto" w:fill="FFFFFF"/>
          <w:lang w:val="sl-SI"/>
        </w:rPr>
        <w:t xml:space="preserve">arzen, kadmij, živo srebro, nikelj) in policiklične aromatske ogljikovodike (PAH) v zunanjem zraku. </w:t>
      </w:r>
      <w:r w:rsidRPr="005771BD">
        <w:rPr>
          <w:rFonts w:cs="Arial"/>
          <w:color w:val="000000"/>
          <w:szCs w:val="20"/>
          <w:lang w:val="sl-SI" w:eastAsia="sl-SI"/>
        </w:rPr>
        <w:t xml:space="preserve">Za </w:t>
      </w:r>
      <w:r w:rsidRPr="005771BD">
        <w:rPr>
          <w:rFonts w:eastAsiaTheme="minorHAnsi" w:cs="Arial"/>
          <w:szCs w:val="20"/>
          <w:lang w:val="sl-SI"/>
        </w:rPr>
        <w:t>potrebe ocenjevanja kakovosti zraka je Slovenija razdeljena na območja in aglomeraciji.</w:t>
      </w:r>
    </w:p>
    <w:p w:rsidR="00225F01" w:rsidRPr="005771BD" w:rsidRDefault="00225F01" w:rsidP="00225F01">
      <w:pPr>
        <w:spacing w:after="200" w:line="276" w:lineRule="auto"/>
        <w:rPr>
          <w:rFonts w:cs="Arial"/>
          <w:color w:val="000000"/>
          <w:szCs w:val="20"/>
          <w:lang w:val="sl-SI" w:eastAsia="sl-SI"/>
        </w:rPr>
      </w:pPr>
    </w:p>
    <w:p w:rsidR="00225F01" w:rsidRPr="005771BD" w:rsidRDefault="0000410C" w:rsidP="00225F01">
      <w:pPr>
        <w:spacing w:after="200" w:line="276" w:lineRule="auto"/>
        <w:rPr>
          <w:rFonts w:eastAsiaTheme="minorHAnsi" w:cs="Arial"/>
          <w:b/>
          <w:szCs w:val="20"/>
          <w:lang w:val="sl-SI"/>
        </w:rPr>
      </w:pPr>
      <w:r>
        <w:rPr>
          <w:rFonts w:eastAsiaTheme="minorHAnsi" w:cs="Arial"/>
          <w:b/>
          <w:szCs w:val="20"/>
          <w:lang w:val="sl-SI"/>
        </w:rPr>
        <w:t>6</w:t>
      </w:r>
      <w:r w:rsidR="00225F01" w:rsidRPr="005771BD">
        <w:rPr>
          <w:rFonts w:eastAsiaTheme="minorHAnsi" w:cs="Arial"/>
          <w:b/>
          <w:szCs w:val="20"/>
          <w:lang w:val="sl-SI"/>
        </w:rPr>
        <w:t>.2.1 Izpusti glavnih onesnaževal v zrak</w:t>
      </w:r>
    </w:p>
    <w:p w:rsidR="00225F01" w:rsidRPr="005771BD" w:rsidRDefault="00225F01" w:rsidP="00225F01">
      <w:pPr>
        <w:spacing w:after="200" w:line="276" w:lineRule="auto"/>
        <w:jc w:val="both"/>
        <w:rPr>
          <w:rFonts w:cs="Arial"/>
          <w:color w:val="000000"/>
          <w:szCs w:val="20"/>
          <w:lang w:val="sl-SI" w:eastAsia="sl-SI"/>
        </w:rPr>
      </w:pPr>
      <w:r w:rsidRPr="005771BD">
        <w:rPr>
          <w:rFonts w:cs="Arial"/>
          <w:color w:val="000000"/>
          <w:szCs w:val="20"/>
          <w:lang w:val="sl-SI" w:eastAsia="sl-SI"/>
        </w:rPr>
        <w:t>Letni izpusti žveplovih oksidov (SOx) so se od leta 1980 močno zmanjševali, v obdobju 1980–2014 so se znižali za 96,3 %. V letu 2014 so bili največji viri izpustov SOx proizvodnja elektrike in toplote, raba goriv v industriji ter industrijski procesi in raba topil.</w:t>
      </w:r>
    </w:p>
    <w:p w:rsidR="00225F01" w:rsidRPr="005771BD" w:rsidRDefault="00225F01" w:rsidP="00225F01">
      <w:pPr>
        <w:spacing w:after="200" w:line="276" w:lineRule="auto"/>
        <w:jc w:val="both"/>
        <w:rPr>
          <w:rFonts w:cs="Arial"/>
          <w:color w:val="000000"/>
          <w:szCs w:val="20"/>
          <w:lang w:val="sl-SI" w:eastAsia="sl-SI"/>
        </w:rPr>
      </w:pPr>
      <w:r w:rsidRPr="005771BD">
        <w:rPr>
          <w:rFonts w:cs="Arial"/>
          <w:color w:val="000000"/>
          <w:szCs w:val="20"/>
          <w:lang w:val="sl-SI" w:eastAsia="sl-SI"/>
        </w:rPr>
        <w:t>Letni izpusti dušikovih oksidov (NOx) so se od leta 1980 zmanjševali, v obdobju 1980–2014 so se znižali za 39,2 %. V letu 2014 so bili daleč največji viri izpustov NOx cestni promet, proizvodnja elektrike in toplote ter druge vrste prometa.</w:t>
      </w:r>
    </w:p>
    <w:p w:rsidR="00225F01" w:rsidRPr="005771BD" w:rsidRDefault="00225F01" w:rsidP="00225F01">
      <w:pPr>
        <w:spacing w:after="200" w:line="276" w:lineRule="auto"/>
        <w:jc w:val="both"/>
        <w:rPr>
          <w:rFonts w:cs="Arial"/>
          <w:color w:val="000000"/>
          <w:szCs w:val="20"/>
          <w:lang w:val="sl-SI" w:eastAsia="sl-SI"/>
        </w:rPr>
      </w:pPr>
      <w:r w:rsidRPr="005771BD">
        <w:rPr>
          <w:rFonts w:cs="Arial"/>
          <w:color w:val="000000"/>
          <w:szCs w:val="20"/>
          <w:lang w:val="sl-SI" w:eastAsia="sl-SI"/>
        </w:rPr>
        <w:t xml:space="preserve">Letni izpusti </w:t>
      </w:r>
      <w:r w:rsidRPr="005771BD">
        <w:rPr>
          <w:rFonts w:eastAsiaTheme="minorHAnsi" w:cs="Arial"/>
          <w:szCs w:val="20"/>
          <w:lang w:val="sl-SI"/>
        </w:rPr>
        <w:t>nemetanskih hlapnih ogljikovodikov (NMVOC</w:t>
      </w:r>
      <w:r w:rsidRPr="005771BD">
        <w:rPr>
          <w:rFonts w:cs="Arial"/>
          <w:color w:val="000000"/>
          <w:szCs w:val="20"/>
          <w:lang w:val="sl-SI" w:eastAsia="sl-SI"/>
        </w:rPr>
        <w:t>) so se od leta 1990 zmanjševali, v obdobju 1990–2014 so se znižali za 55,7 %. V letu 2014 so bili pomemben vir izpustov NMVOC industrijski procesi in raba topil ter raba goriv v gospodinjstvih in storitvenem sektorju.</w:t>
      </w:r>
    </w:p>
    <w:p w:rsidR="00225F01" w:rsidRPr="005771BD" w:rsidRDefault="00225F01" w:rsidP="00225F01">
      <w:pPr>
        <w:spacing w:after="200" w:line="276" w:lineRule="auto"/>
        <w:jc w:val="both"/>
        <w:rPr>
          <w:rFonts w:cs="Arial"/>
          <w:color w:val="000000"/>
          <w:szCs w:val="20"/>
          <w:lang w:val="sl-SI" w:eastAsia="sl-SI"/>
        </w:rPr>
      </w:pPr>
      <w:r w:rsidRPr="005771BD">
        <w:rPr>
          <w:rFonts w:cs="Arial"/>
          <w:color w:val="000000"/>
          <w:szCs w:val="20"/>
          <w:lang w:val="sl-SI" w:eastAsia="sl-SI"/>
        </w:rPr>
        <w:t>Letni izpusti amonijaka (NH</w:t>
      </w:r>
      <w:r w:rsidRPr="005771BD">
        <w:rPr>
          <w:rFonts w:cs="Arial"/>
          <w:color w:val="000000"/>
          <w:szCs w:val="20"/>
          <w:vertAlign w:val="subscript"/>
          <w:lang w:val="sl-SI" w:eastAsia="sl-SI"/>
        </w:rPr>
        <w:t>3</w:t>
      </w:r>
      <w:r w:rsidRPr="005771BD">
        <w:rPr>
          <w:rFonts w:cs="Arial"/>
          <w:color w:val="000000"/>
          <w:szCs w:val="20"/>
          <w:lang w:val="sl-SI" w:eastAsia="sl-SI"/>
        </w:rPr>
        <w:t xml:space="preserve">) so se od leta 1986 zmanjševali, v obdobju 1986–2014 so se znižali za 23,8 %. </w:t>
      </w:r>
      <w:r w:rsidR="0019259A">
        <w:rPr>
          <w:rFonts w:cs="Arial"/>
          <w:color w:val="000000"/>
          <w:szCs w:val="20"/>
          <w:lang w:val="sl-SI" w:eastAsia="sl-SI"/>
        </w:rPr>
        <w:t xml:space="preserve">Leta 2014 so bili izpusti amonijaka za 4% nižji od ciljne vrednosti, ki </w:t>
      </w:r>
      <w:r w:rsidR="008C0365">
        <w:rPr>
          <w:rFonts w:cs="Arial"/>
          <w:color w:val="000000"/>
          <w:szCs w:val="20"/>
          <w:lang w:val="sl-SI" w:eastAsia="sl-SI"/>
        </w:rPr>
        <w:t xml:space="preserve">od 2010 </w:t>
      </w:r>
      <w:r w:rsidR="0019259A">
        <w:rPr>
          <w:rFonts w:cs="Arial"/>
          <w:color w:val="000000"/>
          <w:szCs w:val="20"/>
          <w:lang w:val="sl-SI" w:eastAsia="sl-SI"/>
        </w:rPr>
        <w:t>ne sme biti presežena</w:t>
      </w:r>
      <w:r w:rsidR="008C0365">
        <w:rPr>
          <w:rFonts w:cs="Arial"/>
          <w:color w:val="000000"/>
          <w:szCs w:val="20"/>
          <w:lang w:val="sl-SI" w:eastAsia="sl-SI"/>
        </w:rPr>
        <w:t xml:space="preserve">. </w:t>
      </w:r>
      <w:r w:rsidRPr="005771BD">
        <w:rPr>
          <w:rFonts w:cs="Arial"/>
          <w:color w:val="000000"/>
          <w:szCs w:val="20"/>
          <w:lang w:val="sl-SI" w:eastAsia="sl-SI"/>
        </w:rPr>
        <w:t>Daleč najpomembnejši vir izpustov NH</w:t>
      </w:r>
      <w:r w:rsidRPr="005771BD">
        <w:rPr>
          <w:rFonts w:cs="Arial"/>
          <w:color w:val="000000"/>
          <w:szCs w:val="20"/>
          <w:vertAlign w:val="subscript"/>
          <w:lang w:val="sl-SI" w:eastAsia="sl-SI"/>
        </w:rPr>
        <w:t>3</w:t>
      </w:r>
      <w:r w:rsidRPr="005771BD">
        <w:rPr>
          <w:rFonts w:cs="Arial"/>
          <w:color w:val="000000"/>
          <w:szCs w:val="20"/>
          <w:lang w:val="sl-SI" w:eastAsia="sl-SI"/>
        </w:rPr>
        <w:t xml:space="preserve"> je kmetijstvo, ki je leta 2014 prispevalo k 90 % izpustom amonijaka.</w:t>
      </w:r>
      <w:r w:rsidR="0019259A">
        <w:rPr>
          <w:rFonts w:cs="Arial"/>
          <w:color w:val="000000"/>
          <w:szCs w:val="20"/>
          <w:lang w:val="sl-SI" w:eastAsia="sl-SI"/>
        </w:rPr>
        <w:t xml:space="preserve"> Izpusti amonijaka iz kmetijstva so bili leta 2014 glede na 1990 nižji za 20%, kar je predvsem posledica znižanja glav živine.  </w:t>
      </w:r>
    </w:p>
    <w:p w:rsidR="00225F01" w:rsidRPr="005771BD" w:rsidRDefault="00225F01" w:rsidP="00225F01">
      <w:pPr>
        <w:spacing w:after="200" w:line="276" w:lineRule="auto"/>
        <w:jc w:val="both"/>
        <w:rPr>
          <w:rFonts w:cs="Arial"/>
          <w:color w:val="000000"/>
          <w:szCs w:val="20"/>
          <w:lang w:val="sl-SI" w:eastAsia="sl-SI"/>
        </w:rPr>
      </w:pPr>
      <w:r w:rsidRPr="005771BD">
        <w:rPr>
          <w:rFonts w:cs="Arial"/>
          <w:color w:val="000000"/>
          <w:szCs w:val="20"/>
          <w:lang w:val="sl-SI" w:eastAsia="sl-SI"/>
        </w:rPr>
        <w:t>Letni izpusti delcev primarnih PM</w:t>
      </w:r>
      <w:r w:rsidRPr="005771BD">
        <w:rPr>
          <w:rFonts w:cs="Arial"/>
          <w:color w:val="000000"/>
          <w:szCs w:val="20"/>
          <w:vertAlign w:val="subscript"/>
          <w:lang w:val="sl-SI" w:eastAsia="sl-SI"/>
        </w:rPr>
        <w:t>10</w:t>
      </w:r>
      <w:r w:rsidRPr="005771BD">
        <w:rPr>
          <w:rFonts w:cs="Arial"/>
          <w:color w:val="000000"/>
          <w:szCs w:val="20"/>
          <w:lang w:val="sl-SI" w:eastAsia="sl-SI"/>
        </w:rPr>
        <w:t xml:space="preserve"> so se od leta 2000 zmanjševali, v obdobju 2000–2014 so se znižali za 15,1 %. Letni izpusti delcev primarnih PM</w:t>
      </w:r>
      <w:r w:rsidRPr="005771BD">
        <w:rPr>
          <w:rFonts w:cs="Arial"/>
          <w:color w:val="000000"/>
          <w:szCs w:val="20"/>
          <w:vertAlign w:val="subscript"/>
          <w:lang w:val="sl-SI" w:eastAsia="sl-SI"/>
        </w:rPr>
        <w:t>2,5</w:t>
      </w:r>
      <w:r w:rsidRPr="005771BD">
        <w:rPr>
          <w:rFonts w:cs="Arial"/>
          <w:color w:val="000000"/>
          <w:szCs w:val="20"/>
          <w:lang w:val="sl-SI" w:eastAsia="sl-SI"/>
        </w:rPr>
        <w:t xml:space="preserve"> so se od leta 2000 le malo zmanjševali, v obdobju 2000–2014 so se znižali za 5,2 %. Najpomembnejši viri delcev so kurjenje lesa v gospodinjstvih in storitvenem sektorju ter promet in kmetijstvo.</w:t>
      </w:r>
    </w:p>
    <w:p w:rsidR="00225F01" w:rsidRPr="005771BD" w:rsidRDefault="00225F01" w:rsidP="00225F01">
      <w:pPr>
        <w:spacing w:after="200" w:line="276" w:lineRule="auto"/>
        <w:jc w:val="both"/>
        <w:rPr>
          <w:rFonts w:cs="Arial"/>
          <w:color w:val="000000"/>
          <w:szCs w:val="20"/>
          <w:lang w:val="sl-SI" w:eastAsia="sl-SI"/>
        </w:rPr>
      </w:pPr>
      <w:r w:rsidRPr="005771BD">
        <w:rPr>
          <w:rFonts w:cs="Arial"/>
          <w:color w:val="000000"/>
          <w:szCs w:val="20"/>
          <w:lang w:val="sl-SI" w:eastAsia="sl-SI"/>
        </w:rPr>
        <w:t>V nadaljevanju so prikazana gibanja izpustov onesnaževal.</w:t>
      </w:r>
    </w:p>
    <w:p w:rsidR="00225F01" w:rsidRPr="005771BD" w:rsidRDefault="00225F01" w:rsidP="00225F01">
      <w:pPr>
        <w:spacing w:after="200" w:line="276" w:lineRule="auto"/>
        <w:jc w:val="both"/>
        <w:rPr>
          <w:rFonts w:cs="Arial"/>
          <w:color w:val="000000"/>
          <w:szCs w:val="20"/>
          <w:lang w:val="sl-SI" w:eastAsia="sl-SI"/>
        </w:rPr>
      </w:pPr>
    </w:p>
    <w:p w:rsidR="00225F01" w:rsidRPr="005771BD" w:rsidRDefault="00225F01" w:rsidP="00225F01">
      <w:pPr>
        <w:spacing w:after="200" w:line="276" w:lineRule="auto"/>
        <w:rPr>
          <w:rFonts w:cs="Arial"/>
          <w:color w:val="000000"/>
          <w:szCs w:val="20"/>
          <w:lang w:val="sl-SI" w:eastAsia="sl-SI"/>
        </w:rPr>
      </w:pPr>
    </w:p>
    <w:p w:rsidR="00225F01" w:rsidRPr="005771BD" w:rsidRDefault="00225F01" w:rsidP="00225F01">
      <w:pPr>
        <w:spacing w:after="200" w:line="276" w:lineRule="auto"/>
        <w:jc w:val="center"/>
        <w:rPr>
          <w:rFonts w:cs="Arial"/>
          <w:color w:val="000000"/>
          <w:szCs w:val="20"/>
          <w:lang w:val="sl-SI" w:eastAsia="sl-SI"/>
        </w:rPr>
      </w:pPr>
      <w:r w:rsidRPr="007F272F">
        <w:rPr>
          <w:rFonts w:cs="Arial"/>
          <w:noProof/>
          <w:color w:val="000000"/>
          <w:szCs w:val="20"/>
          <w:lang w:val="sl-SI" w:eastAsia="sl-SI"/>
        </w:rPr>
        <w:drawing>
          <wp:inline distT="0" distB="0" distL="0" distR="0" wp14:anchorId="0CCE7724" wp14:editId="67BD666F">
            <wp:extent cx="5133340" cy="3340735"/>
            <wp:effectExtent l="0" t="0" r="0" b="0"/>
            <wp:docPr id="304" name="Slika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133340" cy="3340735"/>
                    </a:xfrm>
                    <a:prstGeom prst="rect">
                      <a:avLst/>
                    </a:prstGeom>
                    <a:noFill/>
                  </pic:spPr>
                </pic:pic>
              </a:graphicData>
            </a:graphic>
          </wp:inline>
        </w:drawing>
      </w:r>
    </w:p>
    <w:p w:rsidR="00225F01" w:rsidRPr="005771BD" w:rsidRDefault="00225F01" w:rsidP="00225F01">
      <w:pPr>
        <w:spacing w:line="276" w:lineRule="auto"/>
        <w:rPr>
          <w:rFonts w:eastAsiaTheme="minorHAnsi" w:cs="Arial"/>
          <w:i/>
          <w:szCs w:val="20"/>
          <w:lang w:val="sl-SI"/>
        </w:rPr>
      </w:pPr>
      <w:r w:rsidRPr="005771BD">
        <w:rPr>
          <w:rFonts w:cs="Arial"/>
          <w:i/>
          <w:color w:val="000000"/>
          <w:szCs w:val="20"/>
          <w:lang w:val="sl-SI" w:eastAsia="sl-SI"/>
        </w:rPr>
        <w:t xml:space="preserve">Slika </w:t>
      </w:r>
      <w:r w:rsidR="0000410C">
        <w:rPr>
          <w:rFonts w:cs="Arial"/>
          <w:i/>
          <w:color w:val="000000"/>
          <w:szCs w:val="20"/>
          <w:lang w:val="sl-SI" w:eastAsia="sl-SI"/>
        </w:rPr>
        <w:t>6</w:t>
      </w:r>
      <w:r w:rsidRPr="005771BD">
        <w:rPr>
          <w:rFonts w:cs="Arial"/>
          <w:i/>
          <w:color w:val="000000"/>
          <w:szCs w:val="20"/>
          <w:lang w:val="sl-SI" w:eastAsia="sl-SI"/>
        </w:rPr>
        <w:t xml:space="preserve">.1: </w:t>
      </w:r>
      <w:r w:rsidRPr="005771BD">
        <w:rPr>
          <w:rFonts w:eastAsiaTheme="minorHAnsi" w:cs="Arial"/>
          <w:i/>
          <w:szCs w:val="20"/>
          <w:lang w:val="sl-SI"/>
        </w:rPr>
        <w:t>Potek izpustov SO</w:t>
      </w:r>
      <w:r w:rsidRPr="005771BD">
        <w:rPr>
          <w:rFonts w:eastAsiaTheme="minorHAnsi" w:cs="Arial"/>
          <w:i/>
          <w:szCs w:val="20"/>
          <w:vertAlign w:val="subscript"/>
          <w:lang w:val="sl-SI"/>
        </w:rPr>
        <w:t>x</w:t>
      </w:r>
      <w:r w:rsidRPr="005771BD">
        <w:rPr>
          <w:rFonts w:eastAsiaTheme="minorHAnsi" w:cs="Arial"/>
          <w:i/>
          <w:szCs w:val="20"/>
          <w:lang w:val="sl-SI"/>
        </w:rPr>
        <w:t xml:space="preserve"> v obdobju 1980–2014. </w:t>
      </w:r>
    </w:p>
    <w:p w:rsidR="00225F01" w:rsidRPr="005771BD" w:rsidRDefault="00225F01" w:rsidP="00225F01">
      <w:pPr>
        <w:spacing w:after="200" w:line="276" w:lineRule="auto"/>
        <w:rPr>
          <w:rFonts w:eastAsiaTheme="minorHAnsi" w:cs="Arial"/>
          <w:i/>
          <w:sz w:val="18"/>
          <w:szCs w:val="18"/>
          <w:lang w:val="sl-SI"/>
        </w:rPr>
      </w:pPr>
      <w:r w:rsidRPr="005771BD">
        <w:rPr>
          <w:rFonts w:eastAsiaTheme="minorHAnsi" w:cs="Arial"/>
          <w:i/>
          <w:sz w:val="18"/>
          <w:szCs w:val="18"/>
          <w:lang w:val="sl-SI"/>
        </w:rPr>
        <w:t>Vir: Državne evidence izpustov onesnaževal zraka, ARSO, 2016.</w:t>
      </w:r>
    </w:p>
    <w:p w:rsidR="00225F01" w:rsidRPr="005771BD" w:rsidRDefault="00225F01" w:rsidP="00225F01">
      <w:pPr>
        <w:spacing w:after="200" w:line="276" w:lineRule="auto"/>
        <w:rPr>
          <w:rFonts w:eastAsiaTheme="minorHAnsi" w:cs="Arial"/>
          <w:szCs w:val="20"/>
          <w:lang w:val="sl-SI"/>
        </w:rPr>
      </w:pPr>
    </w:p>
    <w:p w:rsidR="00225F01" w:rsidRPr="005771BD" w:rsidRDefault="00225F01" w:rsidP="00225F01">
      <w:pPr>
        <w:spacing w:after="200" w:line="276" w:lineRule="auto"/>
        <w:rPr>
          <w:rFonts w:eastAsiaTheme="minorHAnsi" w:cs="Arial"/>
          <w:szCs w:val="20"/>
          <w:lang w:val="sl-SI"/>
        </w:rPr>
      </w:pPr>
      <w:r w:rsidRPr="007F272F">
        <w:rPr>
          <w:rFonts w:eastAsiaTheme="minorHAnsi" w:cs="Arial"/>
          <w:noProof/>
          <w:szCs w:val="20"/>
          <w:lang w:val="sl-SI" w:eastAsia="sl-SI"/>
        </w:rPr>
        <w:drawing>
          <wp:inline distT="0" distB="0" distL="0" distR="0" wp14:anchorId="680F9FAA" wp14:editId="3A6D39D0">
            <wp:extent cx="5370830" cy="3371215"/>
            <wp:effectExtent l="0" t="0" r="1270" b="635"/>
            <wp:docPr id="305" name="Slika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70830" cy="3371215"/>
                    </a:xfrm>
                    <a:prstGeom prst="rect">
                      <a:avLst/>
                    </a:prstGeom>
                    <a:noFill/>
                  </pic:spPr>
                </pic:pic>
              </a:graphicData>
            </a:graphic>
          </wp:inline>
        </w:drawing>
      </w:r>
    </w:p>
    <w:p w:rsidR="00225F01" w:rsidRPr="005771BD" w:rsidRDefault="00225F01" w:rsidP="00225F01">
      <w:pPr>
        <w:spacing w:line="276" w:lineRule="auto"/>
        <w:rPr>
          <w:rFonts w:eastAsiaTheme="minorHAnsi" w:cs="Arial"/>
          <w:i/>
          <w:szCs w:val="20"/>
          <w:lang w:val="sl-SI"/>
        </w:rPr>
      </w:pPr>
      <w:r w:rsidRPr="005771BD">
        <w:rPr>
          <w:rFonts w:cs="Arial"/>
          <w:i/>
          <w:color w:val="000000"/>
          <w:szCs w:val="20"/>
          <w:lang w:val="sl-SI" w:eastAsia="sl-SI"/>
        </w:rPr>
        <w:t xml:space="preserve">Slika </w:t>
      </w:r>
      <w:r w:rsidR="0000410C">
        <w:rPr>
          <w:rFonts w:cs="Arial"/>
          <w:i/>
          <w:color w:val="000000"/>
          <w:szCs w:val="20"/>
          <w:lang w:val="sl-SI" w:eastAsia="sl-SI"/>
        </w:rPr>
        <w:t>6</w:t>
      </w:r>
      <w:r w:rsidRPr="005771BD">
        <w:rPr>
          <w:rFonts w:cs="Arial"/>
          <w:i/>
          <w:color w:val="000000"/>
          <w:szCs w:val="20"/>
          <w:lang w:val="sl-SI" w:eastAsia="sl-SI"/>
        </w:rPr>
        <w:t xml:space="preserve">.2: </w:t>
      </w:r>
      <w:r w:rsidRPr="005771BD">
        <w:rPr>
          <w:rFonts w:eastAsiaTheme="minorHAnsi" w:cs="Arial"/>
          <w:i/>
          <w:szCs w:val="20"/>
          <w:lang w:val="sl-SI"/>
        </w:rPr>
        <w:t xml:space="preserve">Potek izpustov NOx v obdobju 1980–2014. </w:t>
      </w:r>
    </w:p>
    <w:p w:rsidR="00225F01" w:rsidRPr="005771BD" w:rsidRDefault="00225F01" w:rsidP="00225F01">
      <w:pPr>
        <w:spacing w:after="200" w:line="276" w:lineRule="auto"/>
        <w:rPr>
          <w:rFonts w:eastAsiaTheme="minorHAnsi" w:cs="Arial"/>
          <w:i/>
          <w:sz w:val="18"/>
          <w:szCs w:val="18"/>
          <w:lang w:val="sl-SI"/>
        </w:rPr>
      </w:pPr>
      <w:r w:rsidRPr="005771BD">
        <w:rPr>
          <w:rFonts w:eastAsiaTheme="minorHAnsi" w:cs="Arial"/>
          <w:i/>
          <w:sz w:val="18"/>
          <w:szCs w:val="18"/>
          <w:lang w:val="sl-SI"/>
        </w:rPr>
        <w:t>Vir: Državne evidence izpustov onesnaževal zraka, ARSO, 2016.</w:t>
      </w:r>
    </w:p>
    <w:p w:rsidR="00225F01" w:rsidRPr="005771BD" w:rsidRDefault="00225F01" w:rsidP="00225F01">
      <w:pPr>
        <w:spacing w:after="200" w:line="276" w:lineRule="auto"/>
        <w:rPr>
          <w:rFonts w:eastAsiaTheme="minorHAnsi" w:cs="Arial"/>
          <w:szCs w:val="20"/>
          <w:lang w:val="sl-SI"/>
        </w:rPr>
      </w:pPr>
    </w:p>
    <w:p w:rsidR="00225F01" w:rsidRPr="005771BD" w:rsidRDefault="00225F01" w:rsidP="00225F01">
      <w:pPr>
        <w:spacing w:after="200" w:line="276" w:lineRule="auto"/>
        <w:rPr>
          <w:rFonts w:eastAsiaTheme="minorHAnsi" w:cs="Arial"/>
          <w:szCs w:val="20"/>
          <w:lang w:val="sl-SI"/>
        </w:rPr>
      </w:pPr>
      <w:r w:rsidRPr="007F272F">
        <w:rPr>
          <w:rFonts w:eastAsiaTheme="minorHAnsi" w:cs="Arial"/>
          <w:noProof/>
          <w:szCs w:val="20"/>
          <w:lang w:val="sl-SI" w:eastAsia="sl-SI"/>
        </w:rPr>
        <w:drawing>
          <wp:inline distT="0" distB="0" distL="0" distR="0" wp14:anchorId="0B4FC079" wp14:editId="0D97A89E">
            <wp:extent cx="5182235" cy="3304540"/>
            <wp:effectExtent l="0" t="0" r="0" b="0"/>
            <wp:docPr id="306" name="Slika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82235" cy="3304540"/>
                    </a:xfrm>
                    <a:prstGeom prst="rect">
                      <a:avLst/>
                    </a:prstGeom>
                    <a:noFill/>
                  </pic:spPr>
                </pic:pic>
              </a:graphicData>
            </a:graphic>
          </wp:inline>
        </w:drawing>
      </w:r>
    </w:p>
    <w:p w:rsidR="00225F01" w:rsidRPr="005771BD" w:rsidRDefault="00225F01" w:rsidP="00225F01">
      <w:pPr>
        <w:spacing w:line="276" w:lineRule="auto"/>
        <w:rPr>
          <w:rFonts w:eastAsiaTheme="minorHAnsi" w:cs="Arial"/>
          <w:i/>
          <w:szCs w:val="20"/>
          <w:lang w:val="sl-SI"/>
        </w:rPr>
      </w:pPr>
      <w:r w:rsidRPr="005771BD">
        <w:rPr>
          <w:rFonts w:cs="Arial"/>
          <w:i/>
          <w:color w:val="000000"/>
          <w:szCs w:val="20"/>
          <w:lang w:val="sl-SI" w:eastAsia="sl-SI"/>
        </w:rPr>
        <w:t xml:space="preserve">Slika </w:t>
      </w:r>
      <w:r w:rsidR="0000410C">
        <w:rPr>
          <w:rFonts w:cs="Arial"/>
          <w:i/>
          <w:color w:val="000000"/>
          <w:szCs w:val="20"/>
          <w:lang w:val="sl-SI" w:eastAsia="sl-SI"/>
        </w:rPr>
        <w:t>6</w:t>
      </w:r>
      <w:r w:rsidRPr="005771BD">
        <w:rPr>
          <w:rFonts w:cs="Arial"/>
          <w:i/>
          <w:color w:val="000000"/>
          <w:szCs w:val="20"/>
          <w:lang w:val="sl-SI" w:eastAsia="sl-SI"/>
        </w:rPr>
        <w:t xml:space="preserve">.3: </w:t>
      </w:r>
      <w:r w:rsidRPr="005771BD">
        <w:rPr>
          <w:rFonts w:eastAsiaTheme="minorHAnsi" w:cs="Arial"/>
          <w:i/>
          <w:szCs w:val="20"/>
          <w:lang w:val="sl-SI"/>
        </w:rPr>
        <w:t xml:space="preserve">Potek izpustov NMVOC v obdobju 1990–2014. </w:t>
      </w:r>
    </w:p>
    <w:p w:rsidR="00225F01" w:rsidRPr="005771BD" w:rsidRDefault="00225F01" w:rsidP="00225F01">
      <w:pPr>
        <w:spacing w:after="200" w:line="276" w:lineRule="auto"/>
        <w:rPr>
          <w:rFonts w:eastAsiaTheme="minorHAnsi" w:cs="Arial"/>
          <w:i/>
          <w:sz w:val="18"/>
          <w:szCs w:val="18"/>
          <w:lang w:val="sl-SI"/>
        </w:rPr>
      </w:pPr>
      <w:r w:rsidRPr="005771BD">
        <w:rPr>
          <w:rFonts w:eastAsiaTheme="minorHAnsi" w:cs="Arial"/>
          <w:i/>
          <w:sz w:val="18"/>
          <w:szCs w:val="18"/>
          <w:lang w:val="sl-SI"/>
        </w:rPr>
        <w:t>Vir: Državne evidence izpustov onesnaževal zraka, ARSO, 2016.</w:t>
      </w:r>
    </w:p>
    <w:p w:rsidR="00225F01" w:rsidRPr="005771BD" w:rsidRDefault="00225F01" w:rsidP="00225F01">
      <w:pPr>
        <w:spacing w:after="200" w:line="276" w:lineRule="auto"/>
        <w:rPr>
          <w:rFonts w:eastAsiaTheme="minorHAnsi" w:cs="Arial"/>
          <w:szCs w:val="20"/>
          <w:lang w:val="sl-SI"/>
        </w:rPr>
      </w:pPr>
      <w:r w:rsidRPr="007F272F">
        <w:rPr>
          <w:rFonts w:eastAsiaTheme="minorHAnsi" w:cs="Arial"/>
          <w:noProof/>
          <w:szCs w:val="20"/>
          <w:lang w:val="sl-SI" w:eastAsia="sl-SI"/>
        </w:rPr>
        <w:drawing>
          <wp:inline distT="0" distB="0" distL="0" distR="0" wp14:anchorId="0E2C73E4" wp14:editId="5A66B809">
            <wp:extent cx="5182235" cy="3505200"/>
            <wp:effectExtent l="0" t="0" r="0" b="0"/>
            <wp:docPr id="311" name="Slika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82235" cy="3505200"/>
                    </a:xfrm>
                    <a:prstGeom prst="rect">
                      <a:avLst/>
                    </a:prstGeom>
                    <a:noFill/>
                  </pic:spPr>
                </pic:pic>
              </a:graphicData>
            </a:graphic>
          </wp:inline>
        </w:drawing>
      </w:r>
    </w:p>
    <w:p w:rsidR="00225F01" w:rsidRPr="005771BD" w:rsidRDefault="00225F01" w:rsidP="00225F01">
      <w:pPr>
        <w:spacing w:line="276" w:lineRule="auto"/>
        <w:rPr>
          <w:rFonts w:eastAsiaTheme="minorHAnsi" w:cs="Arial"/>
          <w:i/>
          <w:szCs w:val="20"/>
          <w:lang w:val="sl-SI"/>
        </w:rPr>
      </w:pPr>
      <w:r w:rsidRPr="005771BD">
        <w:rPr>
          <w:rFonts w:cs="Arial"/>
          <w:i/>
          <w:color w:val="000000"/>
          <w:szCs w:val="20"/>
          <w:lang w:val="sl-SI" w:eastAsia="sl-SI"/>
        </w:rPr>
        <w:t>Slika</w:t>
      </w:r>
      <w:r w:rsidR="0000410C">
        <w:rPr>
          <w:rFonts w:cs="Arial"/>
          <w:i/>
          <w:color w:val="000000"/>
          <w:szCs w:val="20"/>
          <w:lang w:val="sl-SI" w:eastAsia="sl-SI"/>
        </w:rPr>
        <w:t xml:space="preserve"> 6</w:t>
      </w:r>
      <w:r w:rsidRPr="005771BD">
        <w:rPr>
          <w:rFonts w:cs="Arial"/>
          <w:i/>
          <w:color w:val="000000"/>
          <w:szCs w:val="20"/>
          <w:lang w:val="sl-SI" w:eastAsia="sl-SI"/>
        </w:rPr>
        <w:t xml:space="preserve">.4: </w:t>
      </w:r>
      <w:r w:rsidRPr="005771BD">
        <w:rPr>
          <w:rFonts w:eastAsiaTheme="minorHAnsi" w:cs="Arial"/>
          <w:i/>
          <w:szCs w:val="20"/>
          <w:lang w:val="sl-SI"/>
        </w:rPr>
        <w:t>Potek izpustov NH</w:t>
      </w:r>
      <w:r w:rsidRPr="005771BD">
        <w:rPr>
          <w:rFonts w:eastAsiaTheme="minorHAnsi" w:cs="Arial"/>
          <w:i/>
          <w:szCs w:val="20"/>
          <w:vertAlign w:val="subscript"/>
          <w:lang w:val="sl-SI"/>
        </w:rPr>
        <w:t>3</w:t>
      </w:r>
      <w:r w:rsidRPr="005771BD">
        <w:rPr>
          <w:rFonts w:eastAsiaTheme="minorHAnsi" w:cs="Arial"/>
          <w:i/>
          <w:szCs w:val="20"/>
          <w:lang w:val="sl-SI"/>
        </w:rPr>
        <w:t xml:space="preserve"> v obdobju 1980–2014. </w:t>
      </w:r>
    </w:p>
    <w:p w:rsidR="00225F01" w:rsidRPr="005771BD" w:rsidRDefault="00225F01" w:rsidP="00225F01">
      <w:pPr>
        <w:spacing w:after="200" w:line="276" w:lineRule="auto"/>
        <w:rPr>
          <w:rFonts w:eastAsiaTheme="minorHAnsi" w:cs="Arial"/>
          <w:i/>
          <w:sz w:val="18"/>
          <w:szCs w:val="18"/>
          <w:lang w:val="sl-SI"/>
        </w:rPr>
      </w:pPr>
      <w:r w:rsidRPr="005771BD">
        <w:rPr>
          <w:rFonts w:eastAsiaTheme="minorHAnsi" w:cs="Arial"/>
          <w:i/>
          <w:sz w:val="18"/>
          <w:szCs w:val="18"/>
          <w:lang w:val="sl-SI"/>
        </w:rPr>
        <w:t>Vir: Državne evidence izpustov onesnaževal zraka, ARSO, 2016.</w:t>
      </w:r>
    </w:p>
    <w:p w:rsidR="00225F01" w:rsidRPr="005771BD" w:rsidRDefault="00225F01" w:rsidP="00225F01">
      <w:pPr>
        <w:spacing w:after="200" w:line="276" w:lineRule="auto"/>
        <w:rPr>
          <w:rFonts w:eastAsiaTheme="minorHAnsi" w:cs="Arial"/>
          <w:szCs w:val="20"/>
          <w:lang w:val="sl-SI"/>
        </w:rPr>
      </w:pPr>
      <w:r w:rsidRPr="007F272F">
        <w:rPr>
          <w:rFonts w:eastAsiaTheme="minorHAnsi" w:cs="Arial"/>
          <w:noProof/>
          <w:szCs w:val="20"/>
          <w:lang w:val="sl-SI" w:eastAsia="sl-SI"/>
        </w:rPr>
        <w:drawing>
          <wp:inline distT="0" distB="0" distL="0" distR="0" wp14:anchorId="31AF12AD" wp14:editId="246C55C9">
            <wp:extent cx="5151755" cy="3096895"/>
            <wp:effectExtent l="0" t="0" r="0" b="8255"/>
            <wp:docPr id="313" name="Slika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151755" cy="3096895"/>
                    </a:xfrm>
                    <a:prstGeom prst="rect">
                      <a:avLst/>
                    </a:prstGeom>
                    <a:noFill/>
                  </pic:spPr>
                </pic:pic>
              </a:graphicData>
            </a:graphic>
          </wp:inline>
        </w:drawing>
      </w:r>
    </w:p>
    <w:p w:rsidR="00225F01" w:rsidRPr="005771BD" w:rsidRDefault="00225F01" w:rsidP="00225F01">
      <w:pPr>
        <w:spacing w:line="276" w:lineRule="auto"/>
        <w:rPr>
          <w:rFonts w:eastAsiaTheme="minorHAnsi" w:cs="Arial"/>
          <w:i/>
          <w:szCs w:val="20"/>
          <w:lang w:val="sl-SI"/>
        </w:rPr>
      </w:pPr>
      <w:r w:rsidRPr="005771BD">
        <w:rPr>
          <w:rFonts w:cs="Arial"/>
          <w:i/>
          <w:color w:val="000000"/>
          <w:szCs w:val="20"/>
          <w:lang w:val="sl-SI" w:eastAsia="sl-SI"/>
        </w:rPr>
        <w:t xml:space="preserve">Slika </w:t>
      </w:r>
      <w:r w:rsidR="0000410C">
        <w:rPr>
          <w:rFonts w:cs="Arial"/>
          <w:i/>
          <w:color w:val="000000"/>
          <w:szCs w:val="20"/>
          <w:lang w:val="sl-SI" w:eastAsia="sl-SI"/>
        </w:rPr>
        <w:t>6</w:t>
      </w:r>
      <w:r w:rsidRPr="005771BD">
        <w:rPr>
          <w:rFonts w:cs="Arial"/>
          <w:i/>
          <w:color w:val="000000"/>
          <w:szCs w:val="20"/>
          <w:lang w:val="sl-SI" w:eastAsia="sl-SI"/>
        </w:rPr>
        <w:t xml:space="preserve">.5: </w:t>
      </w:r>
      <w:r w:rsidRPr="005771BD">
        <w:rPr>
          <w:rFonts w:eastAsiaTheme="minorHAnsi" w:cs="Arial"/>
          <w:i/>
          <w:szCs w:val="20"/>
          <w:lang w:val="sl-SI"/>
        </w:rPr>
        <w:t>Potek izpustov primarnih PM</w:t>
      </w:r>
      <w:r w:rsidRPr="005771BD">
        <w:rPr>
          <w:rFonts w:eastAsiaTheme="minorHAnsi" w:cs="Arial"/>
          <w:i/>
          <w:szCs w:val="20"/>
          <w:vertAlign w:val="subscript"/>
          <w:lang w:val="sl-SI"/>
        </w:rPr>
        <w:t>10</w:t>
      </w:r>
      <w:r w:rsidRPr="005771BD">
        <w:rPr>
          <w:rFonts w:eastAsiaTheme="minorHAnsi" w:cs="Arial"/>
          <w:i/>
          <w:szCs w:val="20"/>
          <w:lang w:val="sl-SI"/>
        </w:rPr>
        <w:t xml:space="preserve"> v obdobju 2000–2014. </w:t>
      </w:r>
    </w:p>
    <w:p w:rsidR="00225F01" w:rsidRPr="005771BD" w:rsidRDefault="00225F01" w:rsidP="00225F01">
      <w:pPr>
        <w:spacing w:after="200" w:line="276" w:lineRule="auto"/>
        <w:rPr>
          <w:rFonts w:eastAsiaTheme="minorHAnsi" w:cs="Arial"/>
          <w:i/>
          <w:sz w:val="18"/>
          <w:szCs w:val="18"/>
          <w:lang w:val="sl-SI"/>
        </w:rPr>
      </w:pPr>
      <w:r w:rsidRPr="005771BD">
        <w:rPr>
          <w:rFonts w:eastAsiaTheme="minorHAnsi" w:cs="Arial"/>
          <w:i/>
          <w:sz w:val="18"/>
          <w:szCs w:val="18"/>
          <w:lang w:val="sl-SI"/>
        </w:rPr>
        <w:t>Vir: Državne evidence izpustov onesnaževal zraka, ARSO, 2016.</w:t>
      </w:r>
    </w:p>
    <w:p w:rsidR="00225F01" w:rsidRPr="005771BD" w:rsidRDefault="00225F01" w:rsidP="00225F01">
      <w:pPr>
        <w:spacing w:after="200" w:line="276" w:lineRule="auto"/>
        <w:rPr>
          <w:rFonts w:eastAsiaTheme="minorHAnsi" w:cs="Arial"/>
          <w:szCs w:val="20"/>
          <w:lang w:val="sl-SI"/>
        </w:rPr>
      </w:pPr>
      <w:r w:rsidRPr="007F272F">
        <w:rPr>
          <w:rFonts w:eastAsiaTheme="minorHAnsi" w:cs="Arial"/>
          <w:noProof/>
          <w:szCs w:val="20"/>
          <w:lang w:val="sl-SI" w:eastAsia="sl-SI"/>
        </w:rPr>
        <w:drawing>
          <wp:inline distT="0" distB="0" distL="0" distR="0" wp14:anchorId="6B23B8D0" wp14:editId="5475F7A0">
            <wp:extent cx="5309870" cy="3188335"/>
            <wp:effectExtent l="0" t="0" r="5080" b="0"/>
            <wp:docPr id="512" name="Slika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09870" cy="3188335"/>
                    </a:xfrm>
                    <a:prstGeom prst="rect">
                      <a:avLst/>
                    </a:prstGeom>
                    <a:noFill/>
                  </pic:spPr>
                </pic:pic>
              </a:graphicData>
            </a:graphic>
          </wp:inline>
        </w:drawing>
      </w:r>
    </w:p>
    <w:p w:rsidR="00225F01" w:rsidRPr="005771BD" w:rsidRDefault="00225F01" w:rsidP="00225F01">
      <w:pPr>
        <w:spacing w:line="276" w:lineRule="auto"/>
        <w:rPr>
          <w:rFonts w:eastAsiaTheme="minorHAnsi" w:cs="Arial"/>
          <w:i/>
          <w:szCs w:val="20"/>
          <w:lang w:val="sl-SI"/>
        </w:rPr>
      </w:pPr>
      <w:r w:rsidRPr="005771BD">
        <w:rPr>
          <w:rFonts w:cs="Arial"/>
          <w:i/>
          <w:color w:val="000000"/>
          <w:szCs w:val="20"/>
          <w:lang w:val="sl-SI" w:eastAsia="sl-SI"/>
        </w:rPr>
        <w:t xml:space="preserve">Slika </w:t>
      </w:r>
      <w:r w:rsidR="0000410C">
        <w:rPr>
          <w:rFonts w:cs="Arial"/>
          <w:i/>
          <w:color w:val="000000"/>
          <w:szCs w:val="20"/>
          <w:lang w:val="sl-SI" w:eastAsia="sl-SI"/>
        </w:rPr>
        <w:t>6</w:t>
      </w:r>
      <w:r w:rsidRPr="005771BD">
        <w:rPr>
          <w:rFonts w:cs="Arial"/>
          <w:i/>
          <w:color w:val="000000"/>
          <w:szCs w:val="20"/>
          <w:lang w:val="sl-SI" w:eastAsia="sl-SI"/>
        </w:rPr>
        <w:t xml:space="preserve">.6: </w:t>
      </w:r>
      <w:r w:rsidRPr="005771BD">
        <w:rPr>
          <w:rFonts w:eastAsiaTheme="minorHAnsi" w:cs="Arial"/>
          <w:i/>
          <w:szCs w:val="20"/>
          <w:lang w:val="sl-SI"/>
        </w:rPr>
        <w:t>Potek izpustov primarnih PM</w:t>
      </w:r>
      <w:r w:rsidRPr="005771BD">
        <w:rPr>
          <w:rFonts w:eastAsiaTheme="minorHAnsi" w:cs="Arial"/>
          <w:i/>
          <w:szCs w:val="20"/>
          <w:vertAlign w:val="subscript"/>
          <w:lang w:val="sl-SI"/>
        </w:rPr>
        <w:t>2,5</w:t>
      </w:r>
      <w:r w:rsidRPr="005771BD">
        <w:rPr>
          <w:rFonts w:eastAsiaTheme="minorHAnsi" w:cs="Arial"/>
          <w:i/>
          <w:szCs w:val="20"/>
          <w:lang w:val="sl-SI"/>
        </w:rPr>
        <w:t xml:space="preserve"> v obdobju 2000–2014. </w:t>
      </w:r>
    </w:p>
    <w:p w:rsidR="00225F01" w:rsidRPr="005771BD" w:rsidRDefault="00225F01" w:rsidP="00225F01">
      <w:pPr>
        <w:spacing w:after="200" w:line="276" w:lineRule="auto"/>
        <w:rPr>
          <w:rFonts w:eastAsiaTheme="minorHAnsi" w:cs="Arial"/>
          <w:i/>
          <w:sz w:val="18"/>
          <w:szCs w:val="18"/>
          <w:lang w:val="sl-SI"/>
        </w:rPr>
      </w:pPr>
      <w:r w:rsidRPr="005771BD">
        <w:rPr>
          <w:rFonts w:eastAsiaTheme="minorHAnsi" w:cs="Arial"/>
          <w:i/>
          <w:sz w:val="18"/>
          <w:szCs w:val="18"/>
          <w:lang w:val="sl-SI"/>
        </w:rPr>
        <w:t>Vir: Državne evidence izpustov onesnaževal zraka, ARSO, 2016.</w:t>
      </w:r>
    </w:p>
    <w:p w:rsidR="00225F01" w:rsidRPr="005771BD" w:rsidRDefault="00225F01" w:rsidP="00225F01">
      <w:pPr>
        <w:spacing w:after="200" w:line="276" w:lineRule="auto"/>
        <w:rPr>
          <w:rFonts w:eastAsiaTheme="minorHAnsi" w:cs="Arial"/>
          <w:szCs w:val="20"/>
          <w:lang w:val="sl-SI"/>
        </w:rPr>
      </w:pPr>
    </w:p>
    <w:p w:rsidR="00225F01" w:rsidRPr="005771BD" w:rsidRDefault="00225F01" w:rsidP="00225F01">
      <w:pPr>
        <w:spacing w:after="200" w:line="276" w:lineRule="auto"/>
        <w:rPr>
          <w:rFonts w:eastAsiaTheme="minorHAnsi" w:cs="Arial"/>
          <w:szCs w:val="20"/>
          <w:lang w:val="sl-SI"/>
        </w:rPr>
      </w:pPr>
    </w:p>
    <w:p w:rsidR="00225F01" w:rsidRPr="005771BD" w:rsidRDefault="00225F01" w:rsidP="00225F01">
      <w:pPr>
        <w:spacing w:after="200" w:line="276" w:lineRule="auto"/>
        <w:rPr>
          <w:rFonts w:eastAsiaTheme="minorHAnsi" w:cs="Arial"/>
          <w:szCs w:val="20"/>
          <w:lang w:val="sl-SI"/>
        </w:rPr>
      </w:pPr>
    </w:p>
    <w:p w:rsidR="00225F01" w:rsidRPr="005771BD" w:rsidRDefault="00225F01" w:rsidP="00225F01">
      <w:pPr>
        <w:spacing w:after="200" w:line="276" w:lineRule="auto"/>
        <w:rPr>
          <w:rFonts w:eastAsiaTheme="minorHAnsi" w:cs="Arial"/>
          <w:szCs w:val="20"/>
          <w:lang w:val="sl-SI"/>
        </w:rPr>
      </w:pPr>
    </w:p>
    <w:p w:rsidR="00225F01" w:rsidRPr="005771BD" w:rsidRDefault="0000410C" w:rsidP="00225F01">
      <w:pPr>
        <w:spacing w:after="200" w:line="276" w:lineRule="auto"/>
        <w:rPr>
          <w:rFonts w:eastAsiaTheme="minorHAnsi" w:cs="Arial"/>
          <w:b/>
          <w:szCs w:val="20"/>
          <w:lang w:val="sl-SI"/>
        </w:rPr>
      </w:pPr>
      <w:r>
        <w:rPr>
          <w:rFonts w:eastAsiaTheme="minorHAnsi" w:cs="Arial"/>
          <w:b/>
          <w:szCs w:val="20"/>
          <w:lang w:val="sl-SI"/>
        </w:rPr>
        <w:t>6</w:t>
      </w:r>
      <w:r w:rsidR="00225F01" w:rsidRPr="005771BD">
        <w:rPr>
          <w:rFonts w:eastAsiaTheme="minorHAnsi" w:cs="Arial"/>
          <w:b/>
          <w:szCs w:val="20"/>
          <w:lang w:val="sl-SI"/>
        </w:rPr>
        <w:t>.2.2 Izpusti predhodnikov ozona</w:t>
      </w:r>
    </w:p>
    <w:p w:rsidR="00225F01" w:rsidRPr="005771BD" w:rsidRDefault="00225F01" w:rsidP="00225F01">
      <w:pPr>
        <w:spacing w:after="200" w:line="276" w:lineRule="auto"/>
        <w:jc w:val="both"/>
        <w:rPr>
          <w:rFonts w:eastAsiaTheme="minorHAnsi" w:cs="Arial"/>
          <w:szCs w:val="20"/>
          <w:lang w:val="sl-SI" w:eastAsia="sl-SI"/>
        </w:rPr>
      </w:pPr>
      <w:r w:rsidRPr="005771BD">
        <w:rPr>
          <w:rFonts w:eastAsiaTheme="minorHAnsi" w:cs="Arial"/>
          <w:szCs w:val="20"/>
          <w:lang w:val="sl-SI" w:eastAsia="sl-SI"/>
        </w:rPr>
        <w:t>Predhodnik ozona je snov, ki prispeva k nastajanju prizemnega (troposferskega) ozona. Med predhodnike ozona prištevamo: dušikove okside (NO</w:t>
      </w:r>
      <w:r w:rsidRPr="005771BD">
        <w:rPr>
          <w:rFonts w:eastAsiaTheme="minorHAnsi" w:cs="Arial"/>
          <w:szCs w:val="20"/>
          <w:vertAlign w:val="subscript"/>
          <w:lang w:val="sl-SI" w:eastAsia="sl-SI"/>
        </w:rPr>
        <w:t>x</w:t>
      </w:r>
      <w:r w:rsidRPr="005771BD">
        <w:rPr>
          <w:rFonts w:eastAsiaTheme="minorHAnsi" w:cs="Arial"/>
          <w:szCs w:val="20"/>
          <w:lang w:val="sl-SI" w:eastAsia="sl-SI"/>
        </w:rPr>
        <w:t>), ogljikov oksid (CO), metan (CH</w:t>
      </w:r>
      <w:r w:rsidRPr="005771BD">
        <w:rPr>
          <w:rFonts w:eastAsiaTheme="minorHAnsi" w:cs="Arial"/>
          <w:szCs w:val="20"/>
          <w:vertAlign w:val="subscript"/>
          <w:lang w:val="sl-SI" w:eastAsia="sl-SI"/>
        </w:rPr>
        <w:t>4</w:t>
      </w:r>
      <w:r w:rsidRPr="005771BD">
        <w:rPr>
          <w:rFonts w:eastAsiaTheme="minorHAnsi" w:cs="Arial"/>
          <w:szCs w:val="20"/>
          <w:lang w:val="sl-SI" w:eastAsia="sl-SI"/>
        </w:rPr>
        <w:t>) in nemetanske hlapne organske snovi (NMVOC).</w:t>
      </w:r>
    </w:p>
    <w:p w:rsidR="00225F01" w:rsidRPr="005771BD" w:rsidRDefault="00225F01" w:rsidP="00225F01">
      <w:pPr>
        <w:spacing w:after="200" w:line="276" w:lineRule="auto"/>
        <w:jc w:val="both"/>
        <w:rPr>
          <w:rFonts w:eastAsiaTheme="minorHAnsi" w:cs="Arial"/>
          <w:szCs w:val="20"/>
          <w:lang w:val="sl-SI" w:eastAsia="sl-SI"/>
        </w:rPr>
      </w:pPr>
      <w:r w:rsidRPr="005771BD">
        <w:rPr>
          <w:rFonts w:eastAsiaTheme="minorHAnsi" w:cs="Arial"/>
          <w:szCs w:val="20"/>
          <w:lang w:val="sl-SI" w:eastAsia="sl-SI"/>
        </w:rPr>
        <w:t>Skupni izpusti snovi, ki povzročajo nastanek prizemnega ozona, so izraženi kot vsota izpustov vseh štirih onesnaževal in pomnoženi s pripadajočimi faktorji nastanka prizemnega ozona (za NOx = 1,22, za NMVOC = 1, za CO = 0,11, za CH</w:t>
      </w:r>
      <w:r w:rsidRPr="005771BD">
        <w:rPr>
          <w:rFonts w:eastAsiaTheme="minorHAnsi" w:cs="Arial"/>
          <w:szCs w:val="20"/>
          <w:vertAlign w:val="subscript"/>
          <w:lang w:val="sl-SI" w:eastAsia="sl-SI"/>
        </w:rPr>
        <w:t>4</w:t>
      </w:r>
      <w:r w:rsidRPr="005771BD">
        <w:rPr>
          <w:rFonts w:eastAsiaTheme="minorHAnsi" w:cs="Arial"/>
          <w:szCs w:val="20"/>
          <w:lang w:val="sl-SI" w:eastAsia="sl-SI"/>
        </w:rPr>
        <w:t xml:space="preserve"> = 0,014). Izpusti so podani v</w:t>
      </w:r>
      <w:r>
        <w:rPr>
          <w:rFonts w:eastAsiaTheme="minorHAnsi" w:cs="Arial"/>
          <w:szCs w:val="20"/>
          <w:lang w:val="sl-SI" w:eastAsia="sl-SI"/>
        </w:rPr>
        <w:t xml:space="preserve"> </w:t>
      </w:r>
      <w:r w:rsidRPr="005771BD">
        <w:rPr>
          <w:rFonts w:eastAsiaTheme="minorHAnsi" w:cs="Arial"/>
          <w:szCs w:val="20"/>
          <w:lang w:val="sl-SI" w:eastAsia="sl-SI"/>
        </w:rPr>
        <w:t>ekvivalentu NMVOC.</w:t>
      </w:r>
    </w:p>
    <w:p w:rsidR="00225F01" w:rsidRPr="005771BD" w:rsidRDefault="00225F01" w:rsidP="00225F01">
      <w:pPr>
        <w:spacing w:after="200" w:line="276" w:lineRule="auto"/>
        <w:jc w:val="both"/>
        <w:rPr>
          <w:rFonts w:eastAsiaTheme="minorHAnsi" w:cs="Arial"/>
          <w:szCs w:val="20"/>
          <w:lang w:val="sl-SI" w:eastAsia="sl-SI"/>
        </w:rPr>
      </w:pPr>
      <w:r w:rsidRPr="005771BD">
        <w:rPr>
          <w:rFonts w:eastAsiaTheme="minorHAnsi" w:cs="Arial"/>
          <w:szCs w:val="20"/>
          <w:lang w:val="sl-SI" w:eastAsia="sl-SI"/>
        </w:rPr>
        <w:t xml:space="preserve">Izpusti predhodnikov ozona so se v obdobju 1990–2014 zmanjšali za 51 %. Najbolj so se zmanjšali izpusti ogljikovega oksida (67 %), izpusti nemetanskih hlapnih organskih snovi so se zmanjšali za 56 %, dušikovih oksidov za 42 % in metana za 20 %. </w:t>
      </w:r>
    </w:p>
    <w:p w:rsidR="00225F01" w:rsidRPr="005771BD" w:rsidRDefault="00225F01" w:rsidP="00225F01">
      <w:pPr>
        <w:spacing w:after="200" w:line="276" w:lineRule="auto"/>
        <w:jc w:val="both"/>
        <w:rPr>
          <w:rFonts w:eastAsiaTheme="minorHAnsi" w:cs="Arial"/>
          <w:szCs w:val="20"/>
          <w:lang w:val="sl-SI" w:eastAsia="sl-SI"/>
        </w:rPr>
      </w:pPr>
      <w:r w:rsidRPr="005771BD">
        <w:rPr>
          <w:rFonts w:eastAsiaTheme="minorHAnsi" w:cs="Arial"/>
          <w:szCs w:val="20"/>
          <w:lang w:val="sl-SI" w:eastAsia="sl-SI"/>
        </w:rPr>
        <w:t>Izpusti so se najbolj zmanjšali v sektorju promet, predvsem zaradi uvajanja strožjih emisijskih standardov za motorna vozila. Uvedba avtomobilskih katalizatorjev za vozila na bencinski pogon je prispevala k občutnemu zmanjšanju izpustov dušikovih oksidov in ogljikovega oksida. K zmanjšanju izpustov nemetanskih hlapnih organskih snovi je prispeval tudi sektor rabe topil (znižanje vsebnosti topil v barvah, lakih itd.) in izvajanje zakonodaje s področja skladiščenja in pretakanja ter hlapnosti motornih bencinov. K nižjim izpustom dušikovih oksidov so prispevali tudi ukrepi v termoelektrarnah in toplarnah s posodobitvijo tehnologij in namestitvijo čistilnih naprav, zamenjavo goriv, pa tudi izboljšanje procesov izgorevanja v industriji. Vrednosti izpustov dušikovih oksidov so bile v letu 2014 za 12 % nižje od ciljne vrednosti, ki ne sme biti presežena od leta 2010 dalje. Prav tako so bili izpusti nemetanskih hlapnih organskih spojin nižji od predpisanih ciljnih vrednosti za 21 %.</w:t>
      </w:r>
    </w:p>
    <w:p w:rsidR="00225F01" w:rsidRPr="005771BD" w:rsidRDefault="00225F01" w:rsidP="00225F01">
      <w:pPr>
        <w:spacing w:after="200" w:line="276" w:lineRule="auto"/>
        <w:jc w:val="both"/>
        <w:rPr>
          <w:rFonts w:eastAsiaTheme="minorHAnsi" w:cs="Arial"/>
          <w:szCs w:val="20"/>
          <w:lang w:val="sl-SI" w:eastAsia="sl-SI"/>
        </w:rPr>
      </w:pPr>
      <w:r w:rsidRPr="005771BD">
        <w:rPr>
          <w:rFonts w:eastAsiaTheme="minorHAnsi" w:cs="Arial"/>
          <w:szCs w:val="20"/>
          <w:lang w:val="sl-SI" w:eastAsia="sl-SI"/>
        </w:rPr>
        <w:t>Glavna vira skupnih izpustov predhodnikov ozona v letu 2014   sta bila promet (41 %) ter raba goriv v gospodinjstvih in storitvenem sektorju (18 %). Prispevek drugih sektorjev je manjši.</w:t>
      </w:r>
    </w:p>
    <w:p w:rsidR="00225F01" w:rsidRPr="005771BD" w:rsidRDefault="00225F01" w:rsidP="00225F01">
      <w:pPr>
        <w:spacing w:after="200" w:line="276" w:lineRule="auto"/>
        <w:jc w:val="center"/>
        <w:rPr>
          <w:rFonts w:eastAsiaTheme="minorHAnsi" w:cs="Arial"/>
          <w:i/>
          <w:szCs w:val="20"/>
          <w:lang w:val="sl-SI"/>
        </w:rPr>
      </w:pPr>
      <w:r w:rsidRPr="007F272F">
        <w:rPr>
          <w:rFonts w:eastAsiaTheme="minorHAnsi" w:cs="Arial"/>
          <w:i/>
          <w:noProof/>
          <w:szCs w:val="20"/>
          <w:lang w:val="sl-SI" w:eastAsia="sl-SI"/>
        </w:rPr>
        <w:drawing>
          <wp:inline distT="0" distB="0" distL="0" distR="0" wp14:anchorId="4CA99CE6" wp14:editId="21F5135A">
            <wp:extent cx="5157470" cy="2585085"/>
            <wp:effectExtent l="0" t="0" r="5080" b="5715"/>
            <wp:docPr id="513" name="Slika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57470" cy="2585085"/>
                    </a:xfrm>
                    <a:prstGeom prst="rect">
                      <a:avLst/>
                    </a:prstGeom>
                    <a:noFill/>
                  </pic:spPr>
                </pic:pic>
              </a:graphicData>
            </a:graphic>
          </wp:inline>
        </w:drawing>
      </w:r>
    </w:p>
    <w:p w:rsidR="00225F01" w:rsidRPr="005771BD" w:rsidRDefault="00225F01" w:rsidP="00225F01">
      <w:pPr>
        <w:spacing w:line="276" w:lineRule="auto"/>
        <w:rPr>
          <w:rFonts w:eastAsiaTheme="minorHAnsi" w:cs="Arial"/>
          <w:i/>
          <w:szCs w:val="20"/>
          <w:lang w:val="sl-SI"/>
        </w:rPr>
      </w:pPr>
      <w:r w:rsidRPr="005771BD">
        <w:rPr>
          <w:rFonts w:cs="Arial"/>
          <w:i/>
          <w:color w:val="000000"/>
          <w:szCs w:val="20"/>
          <w:lang w:val="sl-SI" w:eastAsia="sl-SI"/>
        </w:rPr>
        <w:t xml:space="preserve">Slika </w:t>
      </w:r>
      <w:r w:rsidR="0000410C">
        <w:rPr>
          <w:rFonts w:cs="Arial"/>
          <w:i/>
          <w:color w:val="000000"/>
          <w:szCs w:val="20"/>
          <w:lang w:val="sl-SI" w:eastAsia="sl-SI"/>
        </w:rPr>
        <w:t>6</w:t>
      </w:r>
      <w:r w:rsidRPr="005771BD">
        <w:rPr>
          <w:rFonts w:cs="Arial"/>
          <w:i/>
          <w:color w:val="000000"/>
          <w:szCs w:val="20"/>
          <w:lang w:val="sl-SI" w:eastAsia="sl-SI"/>
        </w:rPr>
        <w:t xml:space="preserve">.7: </w:t>
      </w:r>
      <w:r w:rsidRPr="005771BD">
        <w:rPr>
          <w:rFonts w:eastAsiaTheme="minorHAnsi" w:cs="Arial"/>
          <w:i/>
          <w:szCs w:val="20"/>
          <w:lang w:val="sl-SI"/>
        </w:rPr>
        <w:t xml:space="preserve">Prispevek posameznih sektorjev k izpustom predhodnikov ozona za leto 2014. </w:t>
      </w:r>
    </w:p>
    <w:p w:rsidR="00225F01" w:rsidRPr="005771BD" w:rsidRDefault="00225F01" w:rsidP="00225F01">
      <w:pPr>
        <w:spacing w:after="200" w:line="276" w:lineRule="auto"/>
        <w:rPr>
          <w:rFonts w:eastAsiaTheme="minorHAnsi" w:cs="Arial"/>
          <w:i/>
          <w:sz w:val="18"/>
          <w:szCs w:val="18"/>
          <w:lang w:val="sl-SI"/>
        </w:rPr>
      </w:pPr>
      <w:r w:rsidRPr="005771BD">
        <w:rPr>
          <w:rFonts w:eastAsiaTheme="minorHAnsi" w:cs="Arial"/>
          <w:i/>
          <w:sz w:val="18"/>
          <w:szCs w:val="18"/>
          <w:lang w:val="sl-SI"/>
        </w:rPr>
        <w:t>Vir: Državne evidence izpustov onesnaževal zraka, Državne evidence izpustov toplogrednih plinov, ARSO, 2016.</w:t>
      </w:r>
    </w:p>
    <w:p w:rsidR="00225F01" w:rsidRPr="005771BD" w:rsidRDefault="00225F01" w:rsidP="00225F01">
      <w:pPr>
        <w:spacing w:after="200" w:line="276" w:lineRule="auto"/>
        <w:jc w:val="center"/>
        <w:rPr>
          <w:rFonts w:eastAsiaTheme="minorHAnsi" w:cs="Arial"/>
          <w:szCs w:val="20"/>
          <w:lang w:val="sl-SI"/>
        </w:rPr>
      </w:pPr>
      <w:r w:rsidRPr="007F272F">
        <w:rPr>
          <w:rFonts w:eastAsiaTheme="minorHAnsi" w:cs="Arial"/>
          <w:noProof/>
          <w:szCs w:val="20"/>
          <w:lang w:val="sl-SI" w:eastAsia="sl-SI"/>
        </w:rPr>
        <w:drawing>
          <wp:inline distT="0" distB="0" distL="0" distR="0" wp14:anchorId="51F41778" wp14:editId="1C354424">
            <wp:extent cx="3712845" cy="1786255"/>
            <wp:effectExtent l="0" t="0" r="1905" b="4445"/>
            <wp:docPr id="514" name="Slika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712845" cy="1786255"/>
                    </a:xfrm>
                    <a:prstGeom prst="rect">
                      <a:avLst/>
                    </a:prstGeom>
                    <a:noFill/>
                  </pic:spPr>
                </pic:pic>
              </a:graphicData>
            </a:graphic>
          </wp:inline>
        </w:drawing>
      </w:r>
    </w:p>
    <w:p w:rsidR="00225F01" w:rsidRPr="005771BD" w:rsidRDefault="00225F01" w:rsidP="00225F01">
      <w:pPr>
        <w:spacing w:after="360" w:line="276" w:lineRule="auto"/>
        <w:rPr>
          <w:rFonts w:eastAsiaTheme="minorHAnsi" w:cs="Arial"/>
          <w:i/>
          <w:szCs w:val="20"/>
          <w:lang w:val="sl-SI"/>
        </w:rPr>
      </w:pPr>
      <w:r w:rsidRPr="005771BD">
        <w:rPr>
          <w:rFonts w:cs="Arial"/>
          <w:i/>
          <w:color w:val="000000"/>
          <w:szCs w:val="20"/>
          <w:lang w:val="sl-SI" w:eastAsia="sl-SI"/>
        </w:rPr>
        <w:t xml:space="preserve">Slika </w:t>
      </w:r>
      <w:r w:rsidR="0000410C">
        <w:rPr>
          <w:rFonts w:cs="Arial"/>
          <w:i/>
          <w:color w:val="000000"/>
          <w:szCs w:val="20"/>
          <w:lang w:val="sl-SI" w:eastAsia="sl-SI"/>
        </w:rPr>
        <w:t>6</w:t>
      </w:r>
      <w:r w:rsidRPr="005771BD">
        <w:rPr>
          <w:rFonts w:cs="Arial"/>
          <w:i/>
          <w:color w:val="000000"/>
          <w:szCs w:val="20"/>
          <w:lang w:val="sl-SI" w:eastAsia="sl-SI"/>
        </w:rPr>
        <w:t xml:space="preserve">.8: </w:t>
      </w:r>
      <w:r w:rsidRPr="005771BD">
        <w:rPr>
          <w:rFonts w:eastAsiaTheme="minorHAnsi" w:cs="Arial"/>
          <w:i/>
          <w:szCs w:val="20"/>
          <w:lang w:val="sl-SI"/>
        </w:rPr>
        <w:t>Prispevek posameznih snovi k skupnim izpustom predhodnikov ozona za leto 2014. Vir: Državne evidence izpustov onesnaževal zraka, Državne evidence izpustov toplogrednih plinov, ARSO, 2016.</w:t>
      </w:r>
    </w:p>
    <w:p w:rsidR="00225F01" w:rsidRPr="005771BD" w:rsidRDefault="00225F01" w:rsidP="00225F01">
      <w:pPr>
        <w:spacing w:after="200" w:line="276" w:lineRule="auto"/>
        <w:rPr>
          <w:rFonts w:eastAsiaTheme="minorHAnsi" w:cs="Arial"/>
          <w:szCs w:val="20"/>
          <w:lang w:val="sl-SI"/>
        </w:rPr>
      </w:pPr>
      <w:r w:rsidRPr="007F272F">
        <w:rPr>
          <w:rFonts w:eastAsiaTheme="minorHAnsi" w:cs="Arial"/>
          <w:noProof/>
          <w:szCs w:val="20"/>
          <w:lang w:val="sl-SI" w:eastAsia="sl-SI"/>
        </w:rPr>
        <w:drawing>
          <wp:inline distT="0" distB="0" distL="0" distR="0" wp14:anchorId="4283E1FC" wp14:editId="58815045">
            <wp:extent cx="5986780" cy="2999740"/>
            <wp:effectExtent l="0" t="0" r="0" b="0"/>
            <wp:docPr id="515" name="Slika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86780" cy="2999740"/>
                    </a:xfrm>
                    <a:prstGeom prst="rect">
                      <a:avLst/>
                    </a:prstGeom>
                    <a:noFill/>
                  </pic:spPr>
                </pic:pic>
              </a:graphicData>
            </a:graphic>
          </wp:inline>
        </w:drawing>
      </w:r>
    </w:p>
    <w:p w:rsidR="00225F01" w:rsidRPr="005771BD" w:rsidRDefault="00225F01" w:rsidP="00225F01">
      <w:pPr>
        <w:spacing w:line="276" w:lineRule="auto"/>
        <w:rPr>
          <w:rFonts w:cs="Arial"/>
          <w:i/>
          <w:color w:val="000000"/>
          <w:szCs w:val="20"/>
          <w:lang w:val="sl-SI" w:eastAsia="sl-SI"/>
        </w:rPr>
      </w:pPr>
      <w:r w:rsidRPr="005771BD">
        <w:rPr>
          <w:rFonts w:cs="Arial"/>
          <w:i/>
          <w:color w:val="000000"/>
          <w:szCs w:val="20"/>
          <w:lang w:val="sl-SI" w:eastAsia="sl-SI"/>
        </w:rPr>
        <w:t xml:space="preserve">Slika </w:t>
      </w:r>
      <w:r w:rsidR="0000410C">
        <w:rPr>
          <w:rFonts w:cs="Arial"/>
          <w:i/>
          <w:color w:val="000000"/>
          <w:szCs w:val="20"/>
          <w:lang w:val="sl-SI" w:eastAsia="sl-SI"/>
        </w:rPr>
        <w:t>6</w:t>
      </w:r>
      <w:r w:rsidRPr="005771BD">
        <w:rPr>
          <w:rFonts w:cs="Arial"/>
          <w:i/>
          <w:color w:val="000000"/>
          <w:szCs w:val="20"/>
          <w:lang w:val="sl-SI" w:eastAsia="sl-SI"/>
        </w:rPr>
        <w:t xml:space="preserve">.9: Gibanje predhodnikov ozona glede na izpuste leta 1990 in glede na cilje po letu 2010 (samo za NOx in NMVOC). </w:t>
      </w:r>
    </w:p>
    <w:p w:rsidR="00225F01" w:rsidRPr="005771BD" w:rsidRDefault="00225F01" w:rsidP="00225F01">
      <w:pPr>
        <w:spacing w:after="200" w:line="276" w:lineRule="auto"/>
        <w:rPr>
          <w:rFonts w:eastAsiaTheme="minorHAnsi" w:cs="Arial"/>
          <w:i/>
          <w:sz w:val="18"/>
          <w:szCs w:val="18"/>
          <w:lang w:val="sl-SI"/>
        </w:rPr>
      </w:pPr>
      <w:r w:rsidRPr="005771BD">
        <w:rPr>
          <w:rFonts w:eastAsiaTheme="minorHAnsi" w:cs="Arial"/>
          <w:i/>
          <w:sz w:val="18"/>
          <w:szCs w:val="18"/>
          <w:lang w:val="sl-SI"/>
        </w:rPr>
        <w:t>Vir: Državne evidence izpustov onesnaževal zraka, Državne evidence izpustov toplogrednih plinov, ARSO, 2016.</w:t>
      </w:r>
    </w:p>
    <w:p w:rsidR="00225F01" w:rsidRPr="005771BD" w:rsidRDefault="00225F01" w:rsidP="00225F01">
      <w:pPr>
        <w:spacing w:after="200" w:line="276" w:lineRule="auto"/>
        <w:rPr>
          <w:rFonts w:cs="Arial"/>
          <w:color w:val="000000"/>
          <w:szCs w:val="20"/>
          <w:lang w:val="sl-SI" w:eastAsia="sl-SI"/>
        </w:rPr>
      </w:pPr>
    </w:p>
    <w:p w:rsidR="00225F01" w:rsidRPr="005771BD" w:rsidRDefault="0000410C" w:rsidP="00225F01">
      <w:pPr>
        <w:spacing w:after="200" w:line="276" w:lineRule="auto"/>
        <w:rPr>
          <w:rFonts w:eastAsiaTheme="minorHAnsi" w:cs="Arial"/>
          <w:b/>
          <w:szCs w:val="20"/>
          <w:lang w:val="sl-SI"/>
        </w:rPr>
      </w:pPr>
      <w:r>
        <w:rPr>
          <w:rFonts w:eastAsiaTheme="minorHAnsi" w:cs="Arial"/>
          <w:b/>
          <w:szCs w:val="20"/>
          <w:lang w:val="sl-SI"/>
        </w:rPr>
        <w:t>6</w:t>
      </w:r>
      <w:r w:rsidR="00225F01" w:rsidRPr="005771BD">
        <w:rPr>
          <w:rFonts w:eastAsiaTheme="minorHAnsi" w:cs="Arial"/>
          <w:b/>
          <w:szCs w:val="20"/>
          <w:lang w:val="sl-SI"/>
        </w:rPr>
        <w:t>.2.3 Izpusti snovi, ki povzročajo zakisljevanje in evtrofikacijo</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Med snovi, ki povzročajo zakisljevanje, prištevamo žveplove okside (SO</w:t>
      </w:r>
      <w:r w:rsidRPr="005771BD">
        <w:rPr>
          <w:rFonts w:eastAsiaTheme="minorHAnsi" w:cs="Arial"/>
          <w:szCs w:val="20"/>
          <w:vertAlign w:val="subscript"/>
          <w:lang w:val="sl-SI"/>
        </w:rPr>
        <w:t>x</w:t>
      </w:r>
      <w:r w:rsidRPr="005771BD">
        <w:rPr>
          <w:rFonts w:eastAsiaTheme="minorHAnsi" w:cs="Arial"/>
          <w:szCs w:val="20"/>
          <w:lang w:val="sl-SI"/>
        </w:rPr>
        <w:t>), dušikove okside (NO</w:t>
      </w:r>
      <w:r w:rsidRPr="005771BD">
        <w:rPr>
          <w:rFonts w:eastAsiaTheme="minorHAnsi" w:cs="Arial"/>
          <w:szCs w:val="20"/>
          <w:vertAlign w:val="subscript"/>
          <w:lang w:val="sl-SI"/>
        </w:rPr>
        <w:t>x</w:t>
      </w:r>
      <w:r w:rsidRPr="005771BD">
        <w:rPr>
          <w:rFonts w:eastAsiaTheme="minorHAnsi" w:cs="Arial"/>
          <w:szCs w:val="20"/>
          <w:lang w:val="sl-SI"/>
        </w:rPr>
        <w:t>) in amonijak (NH</w:t>
      </w:r>
      <w:r w:rsidRPr="005771BD">
        <w:rPr>
          <w:rFonts w:eastAsiaTheme="minorHAnsi" w:cs="Arial"/>
          <w:szCs w:val="20"/>
          <w:vertAlign w:val="subscript"/>
          <w:lang w:val="sl-SI"/>
        </w:rPr>
        <w:t>3</w:t>
      </w:r>
      <w:r w:rsidRPr="005771BD">
        <w:rPr>
          <w:rFonts w:eastAsiaTheme="minorHAnsi" w:cs="Arial"/>
          <w:szCs w:val="20"/>
          <w:lang w:val="sl-SI"/>
        </w:rPr>
        <w:t xml:space="preserve">). Dušikovi oksidi in amonijak prispevajo tudi k evtrofikaciji. </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Skupni izpusti snovi, ki povzročajo zakisljevanje in evtrofikacijo so izraženi kot vsota izpustov vseh treh onesnaževal in pomnoženih s pripadajočimi faktorji zakisovanja (za NOx = 0,02174, za SOx = 0,03125 in za NH</w:t>
      </w:r>
      <w:r w:rsidRPr="005771BD">
        <w:rPr>
          <w:rFonts w:eastAsiaTheme="minorHAnsi" w:cs="Arial"/>
          <w:szCs w:val="20"/>
          <w:vertAlign w:val="subscript"/>
          <w:lang w:val="sl-SI"/>
        </w:rPr>
        <w:t>3</w:t>
      </w:r>
      <w:r w:rsidRPr="005771BD">
        <w:rPr>
          <w:rFonts w:eastAsiaTheme="minorHAnsi" w:cs="Arial"/>
          <w:szCs w:val="20"/>
          <w:lang w:val="sl-SI"/>
        </w:rPr>
        <w:t xml:space="preserve"> = 0,05882). Izpusti so podani v ekvivalentu zakisljevanja.</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Skupni izpusti plinov, ki povzročajo zakisljevanje, so bili leta 2014 v Sloveniji manjši za 75 % glede na leto 1990, predvsem zaradi nižjih izpustov žveplovega dioksida. Žveplovi oksidi nastajajo pri zgorevanju goriv, ki vsebujejo žveplo. Ti so se v obravnavanem obdobju zmanjšali za 96 %. Zmanjšanje je predvsem posledica namestitve razžvepljevalnih naprav v termoelektrarnah Šoštanj in Trbovlje, uporabe uvoženega premoga z nizko vsebnostjo žvepla v Energetiki Ljubljana, enoti TE-TOL, uvajanja tekočih goriv z nižjo vsebnostjo žvepla ter nadomeščanja tekočih in trdnih goriv v industriji z zemeljskim plinom.</w:t>
      </w:r>
    </w:p>
    <w:p w:rsidR="00225F01" w:rsidRPr="005771BD" w:rsidRDefault="00225F01" w:rsidP="00225F01">
      <w:pPr>
        <w:spacing w:after="200" w:line="276" w:lineRule="auto"/>
        <w:jc w:val="both"/>
        <w:rPr>
          <w:rFonts w:cs="Arial"/>
          <w:szCs w:val="20"/>
          <w:lang w:val="sl-SI" w:eastAsia="sl-SI"/>
        </w:rPr>
      </w:pPr>
      <w:r w:rsidRPr="005771BD">
        <w:rPr>
          <w:rFonts w:cs="Arial"/>
          <w:szCs w:val="20"/>
          <w:lang w:val="sl-SI" w:eastAsia="sl-SI"/>
        </w:rPr>
        <w:t xml:space="preserve">Glavni vir amonijaka je kmetijstvo, ki prispeva kar 90 % k skupnim državnim izpustom amonijaka. Izpusti amonijaka so bili v letu 2014 glede na leto 1990 nižji za 20 %. Znižanje izpustov je predvsem posledica </w:t>
      </w:r>
      <w:r w:rsidR="00F04D80">
        <w:rPr>
          <w:rFonts w:cs="Arial"/>
          <w:szCs w:val="20"/>
          <w:lang w:val="sl-SI" w:eastAsia="sl-SI"/>
        </w:rPr>
        <w:t xml:space="preserve">znižanja </w:t>
      </w:r>
      <w:r w:rsidRPr="005771BD">
        <w:rPr>
          <w:rFonts w:cs="Arial"/>
          <w:szCs w:val="20"/>
          <w:lang w:val="sl-SI" w:eastAsia="sl-SI"/>
        </w:rPr>
        <w:t>števila glav živine. Izpusti amonijaka so bili leta 2014 za 4 % nižji od ciljne vrednosti, ki ne sme biti presežena od leta 2010 dalje.</w:t>
      </w:r>
    </w:p>
    <w:p w:rsidR="00225F01" w:rsidRPr="005771BD" w:rsidRDefault="00225F01" w:rsidP="00225F01">
      <w:pPr>
        <w:spacing w:after="200" w:line="276" w:lineRule="auto"/>
        <w:jc w:val="both"/>
        <w:rPr>
          <w:rFonts w:cs="Arial"/>
          <w:szCs w:val="20"/>
          <w:lang w:val="sl-SI" w:eastAsia="sl-SI"/>
        </w:rPr>
      </w:pPr>
      <w:r w:rsidRPr="005771BD">
        <w:rPr>
          <w:rFonts w:cs="Arial"/>
          <w:szCs w:val="20"/>
          <w:lang w:val="sl-SI" w:eastAsia="sl-SI"/>
        </w:rPr>
        <w:t>Delež izpustov dušikovih oksidov je v skupnih izpustih snovi, ki povzročajo zakisljevanje in evtrofikacijo, v letu 2014 predstavljal 38 %. Glavna vira izpustov dušikovih oksidov v letu 2014  sta bila cestni promet (52 %) in oskrba z energijo (17 %). Glede na leto 1990 so se izpusti NOx zmanjšali za 42 %, najbolj v prometu zaradi strožjih emisijskih standardov za motorna vozila, izvajanja ukrepov v termoelektrarnah in toplarnah, pa tudi zaradi zamenjave goriv in izboljšanja procesov izgorevanja v industriji. Vrednosti izpustov dušikovih oksidov so bili v letu 2014 za 12 % nižji od ciljne vrednosti, ki ne sme biti presežena od leta 2010 dalje. Izpusti dušikovih oksidov niso odvisni le od vsebnosti dušika v gorivu, temveč nastajajo predvsem z reakcijo dušika in kisika v zraku med zgorevanjem pri visokih temperaturah.</w:t>
      </w:r>
    </w:p>
    <w:p w:rsidR="00225F01" w:rsidRPr="005771BD" w:rsidRDefault="00225F01" w:rsidP="00225F01">
      <w:pPr>
        <w:spacing w:after="200" w:line="276" w:lineRule="auto"/>
        <w:rPr>
          <w:rFonts w:eastAsiaTheme="minorHAnsi" w:cs="Arial"/>
          <w:szCs w:val="20"/>
          <w:lang w:val="sl-SI"/>
        </w:rPr>
      </w:pPr>
    </w:p>
    <w:p w:rsidR="00225F01" w:rsidRPr="005771BD" w:rsidRDefault="00225F01" w:rsidP="00225F01">
      <w:pPr>
        <w:spacing w:after="200" w:line="276" w:lineRule="auto"/>
        <w:jc w:val="center"/>
        <w:rPr>
          <w:rFonts w:eastAsiaTheme="minorHAnsi" w:cs="Arial"/>
          <w:szCs w:val="20"/>
          <w:lang w:val="sl-SI"/>
        </w:rPr>
      </w:pPr>
      <w:r w:rsidRPr="007F272F">
        <w:rPr>
          <w:rFonts w:eastAsiaTheme="minorHAnsi" w:cs="Arial"/>
          <w:noProof/>
          <w:szCs w:val="20"/>
          <w:lang w:val="sl-SI" w:eastAsia="sl-SI"/>
        </w:rPr>
        <w:drawing>
          <wp:inline distT="0" distB="0" distL="0" distR="0" wp14:anchorId="73F14B18" wp14:editId="0ADAC45E">
            <wp:extent cx="5102860" cy="2889885"/>
            <wp:effectExtent l="0" t="0" r="2540" b="5715"/>
            <wp:docPr id="516" name="Slika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102860" cy="2889885"/>
                    </a:xfrm>
                    <a:prstGeom prst="rect">
                      <a:avLst/>
                    </a:prstGeom>
                    <a:noFill/>
                  </pic:spPr>
                </pic:pic>
              </a:graphicData>
            </a:graphic>
          </wp:inline>
        </w:drawing>
      </w:r>
    </w:p>
    <w:p w:rsidR="00225F01" w:rsidRPr="005771BD" w:rsidRDefault="0000410C" w:rsidP="00225F01">
      <w:pPr>
        <w:spacing w:line="276" w:lineRule="auto"/>
        <w:rPr>
          <w:rFonts w:eastAsiaTheme="minorHAnsi" w:cs="Arial"/>
          <w:i/>
          <w:szCs w:val="20"/>
          <w:lang w:val="sl-SI"/>
        </w:rPr>
      </w:pPr>
      <w:r>
        <w:rPr>
          <w:rFonts w:cs="Arial"/>
          <w:i/>
          <w:color w:val="000000"/>
          <w:szCs w:val="20"/>
          <w:lang w:val="sl-SI" w:eastAsia="sl-SI"/>
        </w:rPr>
        <w:t>Slika 6</w:t>
      </w:r>
      <w:r w:rsidR="00225F01" w:rsidRPr="005771BD">
        <w:rPr>
          <w:rFonts w:cs="Arial"/>
          <w:i/>
          <w:color w:val="000000"/>
          <w:szCs w:val="20"/>
          <w:lang w:val="sl-SI" w:eastAsia="sl-SI"/>
        </w:rPr>
        <w:t xml:space="preserve">.10: </w:t>
      </w:r>
      <w:r w:rsidR="00225F01" w:rsidRPr="005771BD">
        <w:rPr>
          <w:rFonts w:eastAsiaTheme="minorHAnsi" w:cs="Arial"/>
          <w:i/>
          <w:szCs w:val="20"/>
          <w:lang w:val="sl-SI"/>
        </w:rPr>
        <w:t xml:space="preserve">Prispevek posameznih sektorjem k izpustom snovi, ki povzročajo zakisljevanje, za leto 2014. </w:t>
      </w:r>
    </w:p>
    <w:p w:rsidR="00225F01" w:rsidRPr="005771BD" w:rsidRDefault="00225F01" w:rsidP="00225F01">
      <w:pPr>
        <w:spacing w:after="200" w:line="276" w:lineRule="auto"/>
        <w:rPr>
          <w:rFonts w:eastAsiaTheme="minorHAnsi" w:cs="Arial"/>
          <w:i/>
          <w:sz w:val="18"/>
          <w:szCs w:val="18"/>
          <w:lang w:val="sl-SI"/>
        </w:rPr>
      </w:pPr>
      <w:r w:rsidRPr="005771BD">
        <w:rPr>
          <w:rFonts w:eastAsiaTheme="minorHAnsi" w:cs="Arial"/>
          <w:i/>
          <w:sz w:val="18"/>
          <w:szCs w:val="18"/>
          <w:lang w:val="sl-SI"/>
        </w:rPr>
        <w:t>Vir: Državne evidence izpustov onesnaževal zraka, Državne evidence izpustov toplogrednih plinov, ARSO, 2016.</w:t>
      </w:r>
    </w:p>
    <w:p w:rsidR="00225F01" w:rsidRPr="005771BD" w:rsidRDefault="00225F01" w:rsidP="00225F01">
      <w:pPr>
        <w:spacing w:after="200" w:line="276" w:lineRule="auto"/>
        <w:jc w:val="center"/>
        <w:rPr>
          <w:rFonts w:eastAsiaTheme="minorHAnsi" w:cs="Arial"/>
          <w:szCs w:val="20"/>
          <w:lang w:val="sl-SI"/>
        </w:rPr>
      </w:pPr>
      <w:r w:rsidRPr="007F272F">
        <w:rPr>
          <w:rFonts w:eastAsiaTheme="minorHAnsi" w:cs="Arial"/>
          <w:noProof/>
          <w:szCs w:val="20"/>
          <w:lang w:val="sl-SI" w:eastAsia="sl-SI"/>
        </w:rPr>
        <w:drawing>
          <wp:inline distT="0" distB="0" distL="0" distR="0" wp14:anchorId="05AC0C2A" wp14:editId="345B5BB5">
            <wp:extent cx="3560445" cy="2097405"/>
            <wp:effectExtent l="0" t="0" r="1905" b="0"/>
            <wp:docPr id="517" name="Slika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560445" cy="2097405"/>
                    </a:xfrm>
                    <a:prstGeom prst="rect">
                      <a:avLst/>
                    </a:prstGeom>
                    <a:noFill/>
                  </pic:spPr>
                </pic:pic>
              </a:graphicData>
            </a:graphic>
          </wp:inline>
        </w:drawing>
      </w:r>
    </w:p>
    <w:p w:rsidR="00225F01" w:rsidRPr="005771BD" w:rsidRDefault="00225F01" w:rsidP="00225F01">
      <w:pPr>
        <w:spacing w:line="276" w:lineRule="auto"/>
        <w:jc w:val="both"/>
        <w:rPr>
          <w:rFonts w:eastAsiaTheme="minorHAnsi" w:cs="Arial"/>
          <w:i/>
          <w:szCs w:val="20"/>
          <w:lang w:val="sl-SI"/>
        </w:rPr>
      </w:pPr>
      <w:r w:rsidRPr="005771BD">
        <w:rPr>
          <w:rFonts w:cs="Arial"/>
          <w:i/>
          <w:color w:val="000000"/>
          <w:szCs w:val="20"/>
          <w:lang w:val="sl-SI" w:eastAsia="sl-SI"/>
        </w:rPr>
        <w:t xml:space="preserve">Slika </w:t>
      </w:r>
      <w:r w:rsidR="0000410C">
        <w:rPr>
          <w:rFonts w:cs="Arial"/>
          <w:i/>
          <w:color w:val="000000"/>
          <w:szCs w:val="20"/>
          <w:lang w:val="sl-SI" w:eastAsia="sl-SI"/>
        </w:rPr>
        <w:t>6.</w:t>
      </w:r>
      <w:r w:rsidRPr="005771BD">
        <w:rPr>
          <w:rFonts w:cs="Arial"/>
          <w:i/>
          <w:color w:val="000000"/>
          <w:szCs w:val="20"/>
          <w:lang w:val="sl-SI" w:eastAsia="sl-SI"/>
        </w:rPr>
        <w:t xml:space="preserve">11: </w:t>
      </w:r>
      <w:r w:rsidRPr="005771BD">
        <w:rPr>
          <w:rFonts w:eastAsiaTheme="minorHAnsi" w:cs="Arial"/>
          <w:i/>
          <w:szCs w:val="20"/>
          <w:lang w:val="sl-SI"/>
        </w:rPr>
        <w:t xml:space="preserve">Prispevek posameznih snovi k izpustom snovi, ki povzročajo zakisljevanje, za leto 2014. </w:t>
      </w:r>
    </w:p>
    <w:p w:rsidR="00225F01" w:rsidRPr="005771BD" w:rsidRDefault="00225F01" w:rsidP="00225F01">
      <w:pPr>
        <w:spacing w:after="360" w:line="276" w:lineRule="auto"/>
        <w:rPr>
          <w:rFonts w:eastAsiaTheme="minorHAnsi" w:cs="Arial"/>
          <w:i/>
          <w:sz w:val="18"/>
          <w:szCs w:val="18"/>
          <w:lang w:val="sl-SI"/>
        </w:rPr>
      </w:pPr>
      <w:r w:rsidRPr="005771BD">
        <w:rPr>
          <w:rFonts w:eastAsiaTheme="minorHAnsi" w:cs="Arial"/>
          <w:i/>
          <w:sz w:val="18"/>
          <w:szCs w:val="18"/>
          <w:lang w:val="sl-SI"/>
        </w:rPr>
        <w:t>Vir: Državne evidence izpustov onesnaževal zraka, Državne evidence izpustov toplogrednih plinov, ARSO, 2016.</w:t>
      </w:r>
    </w:p>
    <w:p w:rsidR="00225F01" w:rsidRPr="005771BD" w:rsidRDefault="00225F01" w:rsidP="00225F01">
      <w:pPr>
        <w:spacing w:after="360" w:line="276" w:lineRule="auto"/>
        <w:rPr>
          <w:rFonts w:eastAsiaTheme="minorHAnsi" w:cs="Arial"/>
          <w:i/>
          <w:sz w:val="18"/>
          <w:szCs w:val="18"/>
          <w:lang w:val="sl-SI"/>
        </w:rPr>
      </w:pPr>
      <w:r w:rsidRPr="007F272F">
        <w:rPr>
          <w:rFonts w:eastAsiaTheme="minorHAnsi" w:cs="Arial"/>
          <w:i/>
          <w:noProof/>
          <w:sz w:val="18"/>
          <w:szCs w:val="18"/>
          <w:lang w:val="sl-SI" w:eastAsia="sl-SI"/>
        </w:rPr>
        <w:drawing>
          <wp:inline distT="0" distB="0" distL="0" distR="0" wp14:anchorId="2FDA0E4A" wp14:editId="5B62F70F">
            <wp:extent cx="5596890" cy="2804160"/>
            <wp:effectExtent l="0" t="0" r="3810" b="0"/>
            <wp:docPr id="518" name="Slika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596890" cy="2804160"/>
                    </a:xfrm>
                    <a:prstGeom prst="rect">
                      <a:avLst/>
                    </a:prstGeom>
                    <a:noFill/>
                  </pic:spPr>
                </pic:pic>
              </a:graphicData>
            </a:graphic>
          </wp:inline>
        </w:drawing>
      </w:r>
    </w:p>
    <w:p w:rsidR="00225F01" w:rsidRPr="005771BD" w:rsidRDefault="00225F01" w:rsidP="00225F01">
      <w:pPr>
        <w:spacing w:line="276" w:lineRule="auto"/>
        <w:rPr>
          <w:rFonts w:cs="Arial"/>
          <w:i/>
          <w:color w:val="000000"/>
          <w:szCs w:val="20"/>
          <w:lang w:val="sl-SI" w:eastAsia="sl-SI"/>
        </w:rPr>
      </w:pPr>
      <w:r w:rsidRPr="005771BD">
        <w:rPr>
          <w:rFonts w:cs="Arial"/>
          <w:i/>
          <w:color w:val="000000"/>
          <w:szCs w:val="20"/>
          <w:lang w:val="sl-SI" w:eastAsia="sl-SI"/>
        </w:rPr>
        <w:t xml:space="preserve">Slika </w:t>
      </w:r>
      <w:r w:rsidR="0000410C">
        <w:rPr>
          <w:rFonts w:cs="Arial"/>
          <w:i/>
          <w:color w:val="000000"/>
          <w:szCs w:val="20"/>
          <w:lang w:val="sl-SI" w:eastAsia="sl-SI"/>
        </w:rPr>
        <w:t>6</w:t>
      </w:r>
      <w:r w:rsidRPr="005771BD">
        <w:rPr>
          <w:rFonts w:cs="Arial"/>
          <w:i/>
          <w:color w:val="000000"/>
          <w:szCs w:val="20"/>
          <w:lang w:val="sl-SI" w:eastAsia="sl-SI"/>
        </w:rPr>
        <w:t xml:space="preserve">.12: Gibanje izpustov </w:t>
      </w:r>
      <w:r w:rsidRPr="005771BD">
        <w:rPr>
          <w:rFonts w:eastAsiaTheme="minorHAnsi" w:cs="Arial"/>
          <w:i/>
          <w:szCs w:val="20"/>
          <w:lang w:val="sl-SI"/>
        </w:rPr>
        <w:t>snovi, ki povzročajo zakisljevanje,</w:t>
      </w:r>
      <w:r w:rsidRPr="005771BD">
        <w:rPr>
          <w:rFonts w:cs="Arial"/>
          <w:i/>
          <w:color w:val="000000"/>
          <w:szCs w:val="20"/>
          <w:lang w:val="sl-SI" w:eastAsia="sl-SI"/>
        </w:rPr>
        <w:t xml:space="preserve"> glede na izpuste leta 1990 in glede na cilje po letu 2010. </w:t>
      </w:r>
    </w:p>
    <w:p w:rsidR="00225F01" w:rsidRPr="005771BD" w:rsidRDefault="00225F01" w:rsidP="00225F01">
      <w:pPr>
        <w:spacing w:after="360" w:line="276" w:lineRule="auto"/>
        <w:rPr>
          <w:rFonts w:eastAsiaTheme="minorHAnsi" w:cs="Arial"/>
          <w:i/>
          <w:sz w:val="18"/>
          <w:szCs w:val="18"/>
          <w:lang w:val="sl-SI"/>
        </w:rPr>
      </w:pPr>
      <w:r w:rsidRPr="005771BD">
        <w:rPr>
          <w:rFonts w:eastAsiaTheme="minorHAnsi" w:cs="Arial"/>
          <w:i/>
          <w:sz w:val="18"/>
          <w:szCs w:val="18"/>
          <w:lang w:val="sl-SI"/>
        </w:rPr>
        <w:t>Vir: Državne evidence izpustov onesnaževal zraka, Državne evidence izpustov toplogrednih plinov, ARSO, 2016.</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 xml:space="preserve">Skupna točka vseh skupin izpustov glede na vplive na okolje je NOx. V izpustih predhodnikov ozona in delcev ima daleč največji delež, pri snoveh, ki povzročajo </w:t>
      </w:r>
      <w:r w:rsidRPr="004F6FB7">
        <w:rPr>
          <w:rFonts w:eastAsiaTheme="minorHAnsi" w:cs="Arial"/>
          <w:szCs w:val="20"/>
          <w:lang w:val="sl-SI"/>
        </w:rPr>
        <w:t>zakisovanje</w:t>
      </w:r>
      <w:r w:rsidRPr="005771BD">
        <w:rPr>
          <w:rFonts w:eastAsiaTheme="minorHAnsi" w:cs="Arial"/>
          <w:szCs w:val="20"/>
          <w:lang w:val="sl-SI"/>
        </w:rPr>
        <w:t>, pa le minimalno zaostaja za vodečim NH</w:t>
      </w:r>
      <w:r w:rsidRPr="005771BD">
        <w:rPr>
          <w:rFonts w:eastAsiaTheme="minorHAnsi" w:cs="Arial"/>
          <w:szCs w:val="20"/>
          <w:vertAlign w:val="subscript"/>
          <w:lang w:val="sl-SI"/>
        </w:rPr>
        <w:t>3</w:t>
      </w:r>
      <w:r w:rsidRPr="005771BD">
        <w:rPr>
          <w:rFonts w:eastAsiaTheme="minorHAnsi" w:cs="Arial"/>
          <w:szCs w:val="20"/>
          <w:lang w:val="sl-SI"/>
        </w:rPr>
        <w:t>. Iz tega lahko sklepamo, da z zmanjševanjem izpustov NOx zelo učinkovito zmanjšujemo vse tu obravnavane škodljive vplive na okolje.</w:t>
      </w:r>
    </w:p>
    <w:p w:rsidR="00225F01" w:rsidRPr="005771BD" w:rsidRDefault="00225F01" w:rsidP="00225F01">
      <w:pPr>
        <w:spacing w:after="200" w:line="276" w:lineRule="auto"/>
        <w:rPr>
          <w:rFonts w:eastAsiaTheme="minorHAnsi" w:cs="Arial"/>
          <w:szCs w:val="20"/>
          <w:lang w:val="sl-SI"/>
        </w:rPr>
      </w:pPr>
    </w:p>
    <w:p w:rsidR="00225F01" w:rsidRPr="005771BD" w:rsidRDefault="00225F01" w:rsidP="00225F01">
      <w:pPr>
        <w:spacing w:after="200" w:line="276" w:lineRule="auto"/>
        <w:rPr>
          <w:rFonts w:eastAsiaTheme="minorHAnsi" w:cs="Arial"/>
          <w:szCs w:val="20"/>
          <w:lang w:val="sl-SI"/>
        </w:rPr>
      </w:pPr>
    </w:p>
    <w:p w:rsidR="00225F01" w:rsidRPr="005771BD" w:rsidRDefault="00225F01" w:rsidP="00225F01">
      <w:pPr>
        <w:spacing w:after="200" w:line="276" w:lineRule="auto"/>
        <w:rPr>
          <w:rFonts w:eastAsiaTheme="minorHAnsi" w:cs="Arial"/>
          <w:szCs w:val="20"/>
          <w:lang w:val="sl-SI"/>
        </w:rPr>
      </w:pPr>
    </w:p>
    <w:p w:rsidR="00225F01" w:rsidRPr="005771BD" w:rsidRDefault="0000410C" w:rsidP="00225F01">
      <w:pPr>
        <w:spacing w:after="200" w:line="276" w:lineRule="auto"/>
        <w:jc w:val="both"/>
        <w:rPr>
          <w:rFonts w:eastAsiaTheme="minorHAnsi" w:cs="Arial"/>
          <w:b/>
          <w:szCs w:val="20"/>
          <w:lang w:val="sl-SI"/>
        </w:rPr>
      </w:pPr>
      <w:r>
        <w:rPr>
          <w:rFonts w:eastAsiaTheme="minorHAnsi" w:cs="Arial"/>
          <w:b/>
          <w:szCs w:val="20"/>
          <w:lang w:val="sl-SI"/>
        </w:rPr>
        <w:t>6</w:t>
      </w:r>
      <w:r w:rsidR="00225F01" w:rsidRPr="005771BD">
        <w:rPr>
          <w:rFonts w:eastAsiaTheme="minorHAnsi" w:cs="Arial"/>
          <w:b/>
          <w:szCs w:val="20"/>
          <w:lang w:val="sl-SI"/>
        </w:rPr>
        <w:t>.2.4 Izpusti obstojnih organskih onesnaževal (POPs) v zrak</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Obstojna organska onesnaževala so težko razgradljive in strupene kemikalije, ki se bioakumulirajo in prenašajo po zraku, vodi in s selitvenimi vrstami čez mednarodne meje ter odlagajo daleč od kraja izpusta, kjer se akumulirajo v kopenskih in vodnih ekosistemih. To so zelo stabilne spojine, ki se uporabljajo npr. kot pesticidi v kmetijstvu in kot vhodne snovi pri tehnoloških procesih v industriji ali pa nastajajo kot soprodukti pri sežigu goriv.</w:t>
      </w:r>
    </w:p>
    <w:p w:rsidR="00225F01" w:rsidRPr="005771BD" w:rsidRDefault="00225F01" w:rsidP="00225F01">
      <w:pPr>
        <w:spacing w:after="200" w:line="276" w:lineRule="auto"/>
        <w:jc w:val="both"/>
        <w:rPr>
          <w:rFonts w:cs="Arial"/>
          <w:color w:val="000000"/>
          <w:szCs w:val="20"/>
          <w:lang w:val="sl-SI" w:eastAsia="sl-SI"/>
        </w:rPr>
      </w:pPr>
      <w:r w:rsidRPr="005771BD">
        <w:rPr>
          <w:rFonts w:eastAsiaTheme="minorHAnsi" w:cs="Arial"/>
          <w:szCs w:val="20"/>
          <w:lang w:val="sl-SI"/>
        </w:rPr>
        <w:t xml:space="preserve">Obstojna organska onesnaževala (POPs), za katera se spremljajo izpusti, so </w:t>
      </w:r>
      <w:r w:rsidRPr="005771BD">
        <w:rPr>
          <w:rFonts w:cs="Arial"/>
          <w:szCs w:val="20"/>
          <w:lang w:val="sl-SI" w:eastAsia="sl-SI"/>
        </w:rPr>
        <w:t>policiklični aromatski ogljikovodiki (PAH):</w:t>
      </w:r>
      <w:r w:rsidRPr="005771BD">
        <w:rPr>
          <w:rFonts w:cs="Arial"/>
          <w:color w:val="000000"/>
          <w:szCs w:val="20"/>
          <w:lang w:val="sl-SI" w:eastAsia="sl-SI"/>
        </w:rPr>
        <w:t xml:space="preserve"> benzo(a)piren, benzo(k)fluoranten, benzo(b)fluoranten, indeno(1,2,3-cd)piren; dioksini in furani, </w:t>
      </w:r>
      <w:r w:rsidRPr="005771BD">
        <w:rPr>
          <w:rFonts w:cs="Arial"/>
          <w:szCs w:val="20"/>
          <w:lang w:val="sl-SI" w:eastAsia="sl-SI"/>
        </w:rPr>
        <w:t xml:space="preserve">heksaklorobenzen </w:t>
      </w:r>
      <w:r w:rsidRPr="005771BD">
        <w:rPr>
          <w:rFonts w:cs="Arial"/>
          <w:color w:val="000000"/>
          <w:szCs w:val="20"/>
          <w:lang w:val="sl-SI" w:eastAsia="sl-SI"/>
        </w:rPr>
        <w:t xml:space="preserve">(HCB) ter poliklorirani bifenili (PCB). </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Izpusti policikličnih aromatskih ogljikovodikov (PAH) so se zmanjšali z 8,73 tone v letu 1990 na 5,59 tone v letu 2014 ali 36 %. Največji delež je k izpustom v letu 2014 prispevala raba goriv v gospodinjstvih (kurjenje na prostem, kurjenje premoga in drv za ogrevanje), in sicer 74,1 %.</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Izpusti dioksinov in furanov so se od leta 1990 do leta 2014 zmanjšali za 26,1%. Poglavitni viri dioksinov in furanov so v letu 2014 male kurilne naprave (70,4%) in industrijski procesi (17,3%.)</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Izpusti heksaklorobenzena (HCB) so se od leta 1990 do leta 2014 zmanjšali za 98,9 %. Močno zmanjšanje je posledica opustitve uporabe heksaklorobenzena pri proizvodnji aluminija. Glavni vir heksaklorobenzena (HCB) v letu 2014 je proizvodnja elektrike in toplote s 57,4 % deležem.</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 xml:space="preserve">Izpusti </w:t>
      </w:r>
      <w:r w:rsidRPr="005771BD">
        <w:rPr>
          <w:rFonts w:eastAsiaTheme="minorHAnsi" w:cs="Arial"/>
          <w:color w:val="000000"/>
          <w:szCs w:val="20"/>
          <w:lang w:val="sl-SI"/>
        </w:rPr>
        <w:t xml:space="preserve">polikloriranih bifenilov (PCB) </w:t>
      </w:r>
      <w:r w:rsidRPr="005771BD">
        <w:rPr>
          <w:rFonts w:eastAsiaTheme="minorHAnsi" w:cs="Arial"/>
          <w:szCs w:val="20"/>
          <w:lang w:val="sl-SI"/>
        </w:rPr>
        <w:t>so se od leta 1990 do leta 2014 zmanjšali za 75,4 %, predvsem zaradi prenehanja rabe elektronske opreme, ki vsebuje PCB</w:t>
      </w:r>
      <w:r w:rsidRPr="005771BD">
        <w:rPr>
          <w:rFonts w:eastAsiaTheme="minorHAnsi" w:cs="Arial"/>
          <w:color w:val="000000"/>
          <w:szCs w:val="20"/>
          <w:lang w:val="sl-SI"/>
        </w:rPr>
        <w:t xml:space="preserve">. </w:t>
      </w:r>
      <w:r w:rsidRPr="005771BD">
        <w:rPr>
          <w:rFonts w:eastAsiaTheme="minorHAnsi" w:cs="Arial"/>
          <w:szCs w:val="20"/>
          <w:lang w:val="sl-SI"/>
        </w:rPr>
        <w:t xml:space="preserve">Glavni vir </w:t>
      </w:r>
      <w:r w:rsidRPr="005771BD">
        <w:rPr>
          <w:rFonts w:eastAsiaTheme="minorHAnsi" w:cs="Arial"/>
          <w:color w:val="000000"/>
          <w:szCs w:val="20"/>
          <w:lang w:val="sl-SI"/>
        </w:rPr>
        <w:t xml:space="preserve">polikloriranih bifenilov (PCB) </w:t>
      </w:r>
      <w:r w:rsidRPr="005771BD">
        <w:rPr>
          <w:rFonts w:eastAsiaTheme="minorHAnsi" w:cs="Arial"/>
          <w:szCs w:val="20"/>
          <w:lang w:val="sl-SI"/>
        </w:rPr>
        <w:t>v letu 2014 so industrijski procesi in raba topil z več kot 99 % deležem.</w:t>
      </w:r>
    </w:p>
    <w:p w:rsidR="00225F01" w:rsidRPr="005771BD" w:rsidRDefault="00225F01" w:rsidP="00225F01">
      <w:pPr>
        <w:spacing w:after="200" w:line="276" w:lineRule="auto"/>
        <w:jc w:val="both"/>
        <w:rPr>
          <w:rFonts w:eastAsiaTheme="minorHAnsi" w:cs="Arial"/>
          <w:color w:val="000000"/>
          <w:szCs w:val="20"/>
          <w:lang w:val="sl-SI"/>
        </w:rPr>
      </w:pPr>
      <w:r w:rsidRPr="007F272F">
        <w:rPr>
          <w:rFonts w:eastAsiaTheme="minorHAnsi" w:cs="Arial"/>
          <w:noProof/>
          <w:color w:val="000000"/>
          <w:szCs w:val="20"/>
          <w:lang w:val="sl-SI" w:eastAsia="sl-SI"/>
        </w:rPr>
        <w:drawing>
          <wp:inline distT="0" distB="0" distL="0" distR="0" wp14:anchorId="7EACF3E8" wp14:editId="4C15F5FB">
            <wp:extent cx="5529580" cy="2390140"/>
            <wp:effectExtent l="0" t="0" r="0" b="0"/>
            <wp:docPr id="519" name="Slika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29580" cy="2390140"/>
                    </a:xfrm>
                    <a:prstGeom prst="rect">
                      <a:avLst/>
                    </a:prstGeom>
                    <a:noFill/>
                  </pic:spPr>
                </pic:pic>
              </a:graphicData>
            </a:graphic>
          </wp:inline>
        </w:drawing>
      </w:r>
    </w:p>
    <w:p w:rsidR="00225F01" w:rsidRPr="005771BD" w:rsidRDefault="00225F01" w:rsidP="00225F01">
      <w:pPr>
        <w:spacing w:line="276" w:lineRule="auto"/>
        <w:rPr>
          <w:rFonts w:eastAsiaTheme="minorHAnsi" w:cs="Arial"/>
          <w:i/>
          <w:szCs w:val="20"/>
          <w:lang w:val="sl-SI"/>
        </w:rPr>
      </w:pPr>
      <w:r w:rsidRPr="005771BD">
        <w:rPr>
          <w:rFonts w:cs="Arial"/>
          <w:i/>
          <w:color w:val="000000"/>
          <w:szCs w:val="20"/>
          <w:lang w:val="sl-SI" w:eastAsia="sl-SI"/>
        </w:rPr>
        <w:t xml:space="preserve">Slika </w:t>
      </w:r>
      <w:r w:rsidR="0000410C">
        <w:rPr>
          <w:rFonts w:cs="Arial"/>
          <w:i/>
          <w:color w:val="000000"/>
          <w:szCs w:val="20"/>
          <w:lang w:val="sl-SI" w:eastAsia="sl-SI"/>
        </w:rPr>
        <w:t>6</w:t>
      </w:r>
      <w:r w:rsidRPr="005771BD">
        <w:rPr>
          <w:rFonts w:cs="Arial"/>
          <w:i/>
          <w:color w:val="000000"/>
          <w:szCs w:val="20"/>
          <w:lang w:val="sl-SI" w:eastAsia="sl-SI"/>
        </w:rPr>
        <w:t xml:space="preserve">.13: </w:t>
      </w:r>
      <w:r w:rsidRPr="005771BD">
        <w:rPr>
          <w:rFonts w:eastAsiaTheme="minorHAnsi" w:cs="Arial"/>
          <w:i/>
          <w:szCs w:val="20"/>
          <w:lang w:val="sl-SI"/>
        </w:rPr>
        <w:t xml:space="preserve">Potek izpustov celotnih obstojnih organskih ogljikovodikov (POPs) v obdobju 1990–2013 po deležu posameznih onesnaževal. </w:t>
      </w:r>
    </w:p>
    <w:p w:rsidR="00225F01" w:rsidRPr="005771BD" w:rsidRDefault="00225F01" w:rsidP="00225F01">
      <w:pPr>
        <w:spacing w:after="200" w:line="276" w:lineRule="auto"/>
        <w:rPr>
          <w:rFonts w:eastAsiaTheme="minorHAnsi" w:cs="Arial"/>
          <w:i/>
          <w:sz w:val="18"/>
          <w:szCs w:val="18"/>
          <w:lang w:val="sl-SI"/>
        </w:rPr>
      </w:pPr>
      <w:r w:rsidRPr="005771BD">
        <w:rPr>
          <w:rFonts w:eastAsiaTheme="minorHAnsi" w:cs="Arial"/>
          <w:i/>
          <w:sz w:val="18"/>
          <w:szCs w:val="18"/>
          <w:lang w:val="sl-SI"/>
        </w:rPr>
        <w:t>Vir: Državne evidence izpustov onesnaževal zraka, ARSO, 2016.</w:t>
      </w:r>
    </w:p>
    <w:p w:rsidR="00225F01" w:rsidRPr="005771BD" w:rsidRDefault="00225F01" w:rsidP="00225F01">
      <w:pPr>
        <w:spacing w:after="200" w:line="276" w:lineRule="auto"/>
        <w:jc w:val="center"/>
        <w:rPr>
          <w:rFonts w:eastAsiaTheme="minorHAnsi" w:cs="Arial"/>
          <w:szCs w:val="20"/>
          <w:u w:val="single"/>
          <w:lang w:val="sl-SI"/>
        </w:rPr>
      </w:pPr>
      <w:r w:rsidRPr="007F272F">
        <w:rPr>
          <w:rFonts w:eastAsiaTheme="minorHAnsi" w:cs="Arial"/>
          <w:noProof/>
          <w:szCs w:val="20"/>
          <w:u w:val="single"/>
          <w:lang w:val="sl-SI" w:eastAsia="sl-SI"/>
        </w:rPr>
        <w:drawing>
          <wp:inline distT="0" distB="0" distL="0" distR="0" wp14:anchorId="018A6AD7" wp14:editId="3631669D">
            <wp:extent cx="5724525" cy="2871470"/>
            <wp:effectExtent l="0" t="0" r="9525" b="5080"/>
            <wp:docPr id="520" name="Slika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24525" cy="2871470"/>
                    </a:xfrm>
                    <a:prstGeom prst="rect">
                      <a:avLst/>
                    </a:prstGeom>
                    <a:noFill/>
                  </pic:spPr>
                </pic:pic>
              </a:graphicData>
            </a:graphic>
          </wp:inline>
        </w:drawing>
      </w:r>
    </w:p>
    <w:p w:rsidR="00225F01" w:rsidRPr="005771BD" w:rsidRDefault="00225F01" w:rsidP="00225F01">
      <w:pPr>
        <w:spacing w:line="276" w:lineRule="auto"/>
        <w:rPr>
          <w:rFonts w:eastAsiaTheme="minorHAnsi" w:cs="Arial"/>
          <w:i/>
          <w:szCs w:val="20"/>
          <w:lang w:val="sl-SI"/>
        </w:rPr>
      </w:pPr>
      <w:r w:rsidRPr="005771BD">
        <w:rPr>
          <w:rFonts w:cs="Arial"/>
          <w:i/>
          <w:color w:val="000000"/>
          <w:szCs w:val="20"/>
          <w:lang w:val="sl-SI" w:eastAsia="sl-SI"/>
        </w:rPr>
        <w:t xml:space="preserve">Slika </w:t>
      </w:r>
      <w:r w:rsidR="0000410C">
        <w:rPr>
          <w:rFonts w:cs="Arial"/>
          <w:i/>
          <w:color w:val="000000"/>
          <w:szCs w:val="20"/>
          <w:lang w:val="sl-SI" w:eastAsia="sl-SI"/>
        </w:rPr>
        <w:t>6</w:t>
      </w:r>
      <w:r w:rsidRPr="005771BD">
        <w:rPr>
          <w:rFonts w:cs="Arial"/>
          <w:i/>
          <w:color w:val="000000"/>
          <w:szCs w:val="20"/>
          <w:lang w:val="sl-SI" w:eastAsia="sl-SI"/>
        </w:rPr>
        <w:t xml:space="preserve">.14: </w:t>
      </w:r>
      <w:r w:rsidRPr="005771BD">
        <w:rPr>
          <w:rFonts w:eastAsiaTheme="minorHAnsi" w:cs="Arial"/>
          <w:i/>
          <w:szCs w:val="20"/>
          <w:lang w:val="sl-SI"/>
        </w:rPr>
        <w:t xml:space="preserve">Potek izpustov policikličnih aromatskih ogljikovodikov (PAH) v obdobju 1990–2013 po sektorjih. </w:t>
      </w:r>
    </w:p>
    <w:p w:rsidR="00225F01" w:rsidRPr="005771BD" w:rsidRDefault="00225F01" w:rsidP="00225F01">
      <w:pPr>
        <w:spacing w:after="200" w:line="276" w:lineRule="auto"/>
        <w:rPr>
          <w:rFonts w:eastAsiaTheme="minorHAnsi" w:cs="Arial"/>
          <w:i/>
          <w:sz w:val="18"/>
          <w:szCs w:val="18"/>
          <w:lang w:val="sl-SI"/>
        </w:rPr>
      </w:pPr>
      <w:r w:rsidRPr="005771BD">
        <w:rPr>
          <w:rFonts w:eastAsiaTheme="minorHAnsi" w:cs="Arial"/>
          <w:i/>
          <w:sz w:val="18"/>
          <w:szCs w:val="18"/>
          <w:lang w:val="sl-SI"/>
        </w:rPr>
        <w:t>Vir: Državne evidence izpustov onesnaževal zraka, ARSO, 2016.</w:t>
      </w:r>
    </w:p>
    <w:p w:rsidR="00225F01" w:rsidRPr="005771BD" w:rsidRDefault="00225F01" w:rsidP="00225F01">
      <w:pPr>
        <w:spacing w:after="200" w:line="276" w:lineRule="auto"/>
        <w:jc w:val="center"/>
        <w:rPr>
          <w:rFonts w:eastAsiaTheme="minorHAnsi" w:cs="Arial"/>
          <w:szCs w:val="20"/>
          <w:u w:val="single"/>
          <w:lang w:val="sl-SI"/>
        </w:rPr>
      </w:pPr>
      <w:r w:rsidRPr="007F272F">
        <w:rPr>
          <w:rFonts w:eastAsiaTheme="minorHAnsi" w:cs="Arial"/>
          <w:noProof/>
          <w:szCs w:val="20"/>
          <w:u w:val="single"/>
          <w:lang w:val="sl-SI" w:eastAsia="sl-SI"/>
        </w:rPr>
        <w:drawing>
          <wp:inline distT="0" distB="0" distL="0" distR="0" wp14:anchorId="203A6AD5" wp14:editId="7C212B7E">
            <wp:extent cx="5572125" cy="2792095"/>
            <wp:effectExtent l="0" t="0" r="9525" b="8255"/>
            <wp:docPr id="521" name="Slika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572125" cy="2792095"/>
                    </a:xfrm>
                    <a:prstGeom prst="rect">
                      <a:avLst/>
                    </a:prstGeom>
                    <a:noFill/>
                  </pic:spPr>
                </pic:pic>
              </a:graphicData>
            </a:graphic>
          </wp:inline>
        </w:drawing>
      </w:r>
    </w:p>
    <w:p w:rsidR="00225F01" w:rsidRPr="005771BD" w:rsidRDefault="0000410C" w:rsidP="00225F01">
      <w:pPr>
        <w:spacing w:line="276" w:lineRule="auto"/>
        <w:rPr>
          <w:rFonts w:eastAsiaTheme="minorHAnsi" w:cs="Arial"/>
          <w:i/>
          <w:szCs w:val="20"/>
          <w:lang w:val="sl-SI"/>
        </w:rPr>
      </w:pPr>
      <w:r>
        <w:rPr>
          <w:rFonts w:cs="Arial"/>
          <w:i/>
          <w:color w:val="000000"/>
          <w:szCs w:val="20"/>
          <w:lang w:val="sl-SI" w:eastAsia="sl-SI"/>
        </w:rPr>
        <w:t>Slika 6</w:t>
      </w:r>
      <w:r w:rsidR="00225F01" w:rsidRPr="005771BD">
        <w:rPr>
          <w:rFonts w:cs="Arial"/>
          <w:i/>
          <w:color w:val="000000"/>
          <w:szCs w:val="20"/>
          <w:lang w:val="sl-SI" w:eastAsia="sl-SI"/>
        </w:rPr>
        <w:t xml:space="preserve">.15: </w:t>
      </w:r>
      <w:r w:rsidR="00225F01" w:rsidRPr="005771BD">
        <w:rPr>
          <w:rFonts w:eastAsiaTheme="minorHAnsi" w:cs="Arial"/>
          <w:i/>
          <w:szCs w:val="20"/>
          <w:lang w:val="sl-SI"/>
        </w:rPr>
        <w:t xml:space="preserve">Potek izpustov dioksinov/furanov v obdobju 1990–2013 po sektorjih. </w:t>
      </w:r>
    </w:p>
    <w:p w:rsidR="00225F01" w:rsidRPr="005771BD" w:rsidRDefault="00225F01" w:rsidP="00225F01">
      <w:pPr>
        <w:spacing w:after="360" w:line="276" w:lineRule="auto"/>
        <w:rPr>
          <w:rFonts w:eastAsiaTheme="minorHAnsi" w:cs="Arial"/>
          <w:i/>
          <w:sz w:val="18"/>
          <w:szCs w:val="18"/>
          <w:lang w:val="sl-SI"/>
        </w:rPr>
      </w:pPr>
      <w:r w:rsidRPr="005771BD">
        <w:rPr>
          <w:rFonts w:eastAsiaTheme="minorHAnsi" w:cs="Arial"/>
          <w:i/>
          <w:sz w:val="18"/>
          <w:szCs w:val="18"/>
          <w:lang w:val="sl-SI"/>
        </w:rPr>
        <w:t>Vir: Državne evidence izpustov onesnaževal zraka, ARSO, 2016.</w:t>
      </w:r>
    </w:p>
    <w:p w:rsidR="00225F01" w:rsidRPr="005771BD" w:rsidRDefault="0000410C" w:rsidP="00225F01">
      <w:pPr>
        <w:spacing w:after="200" w:line="276" w:lineRule="auto"/>
        <w:jc w:val="both"/>
        <w:rPr>
          <w:rFonts w:eastAsiaTheme="minorHAnsi" w:cs="Arial"/>
          <w:b/>
          <w:szCs w:val="20"/>
          <w:lang w:val="sl-SI"/>
        </w:rPr>
      </w:pPr>
      <w:r>
        <w:rPr>
          <w:rFonts w:eastAsiaTheme="minorHAnsi" w:cs="Arial"/>
          <w:b/>
          <w:szCs w:val="20"/>
          <w:lang w:val="sl-SI"/>
        </w:rPr>
        <w:t>6</w:t>
      </w:r>
      <w:r w:rsidR="00225F01" w:rsidRPr="005771BD">
        <w:rPr>
          <w:rFonts w:eastAsiaTheme="minorHAnsi" w:cs="Arial"/>
          <w:b/>
          <w:szCs w:val="20"/>
          <w:lang w:val="sl-SI"/>
        </w:rPr>
        <w:t>.2.5 Izpusti težkih kovin v zrak</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Najpomembnejši vir izpustov težkih kovin (svinca, kadmija in živega srebra) so industrijski procesi, raba fosilnih goriv in cestni promet. V obdobju 1990–2014 so se zmanjšali izpusti svinca za 98,7 %, kadmija za 65,5 %  in živega  srebra za 50,5 %.</w:t>
      </w:r>
    </w:p>
    <w:p w:rsidR="00225F01" w:rsidRPr="005771BD" w:rsidRDefault="00225F01" w:rsidP="00225F01">
      <w:pPr>
        <w:spacing w:after="200" w:line="276" w:lineRule="auto"/>
        <w:jc w:val="center"/>
        <w:rPr>
          <w:rFonts w:eastAsiaTheme="minorHAnsi" w:cs="Arial"/>
          <w:szCs w:val="20"/>
          <w:u w:val="single"/>
          <w:lang w:val="sl-SI"/>
        </w:rPr>
      </w:pPr>
      <w:r w:rsidRPr="007F272F">
        <w:rPr>
          <w:rFonts w:eastAsiaTheme="minorHAnsi" w:cs="Arial"/>
          <w:noProof/>
          <w:szCs w:val="20"/>
          <w:u w:val="single"/>
          <w:lang w:val="sl-SI" w:eastAsia="sl-SI"/>
        </w:rPr>
        <w:drawing>
          <wp:inline distT="0" distB="0" distL="0" distR="0" wp14:anchorId="1F8E70DE" wp14:editId="368CC44C">
            <wp:extent cx="4871085" cy="2603500"/>
            <wp:effectExtent l="0" t="0" r="5715" b="6350"/>
            <wp:docPr id="522" name="Slika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71085" cy="2603500"/>
                    </a:xfrm>
                    <a:prstGeom prst="rect">
                      <a:avLst/>
                    </a:prstGeom>
                    <a:noFill/>
                  </pic:spPr>
                </pic:pic>
              </a:graphicData>
            </a:graphic>
          </wp:inline>
        </w:drawing>
      </w:r>
    </w:p>
    <w:p w:rsidR="00225F01" w:rsidRPr="005771BD" w:rsidRDefault="00225F01" w:rsidP="00225F01">
      <w:pPr>
        <w:spacing w:after="360" w:line="276" w:lineRule="auto"/>
        <w:rPr>
          <w:rFonts w:eastAsiaTheme="minorHAnsi" w:cs="Arial"/>
          <w:i/>
          <w:szCs w:val="20"/>
          <w:u w:val="single"/>
          <w:lang w:val="sl-SI"/>
        </w:rPr>
      </w:pPr>
      <w:r w:rsidRPr="005771BD">
        <w:rPr>
          <w:rFonts w:cs="Arial"/>
          <w:i/>
          <w:color w:val="000000"/>
          <w:szCs w:val="20"/>
          <w:lang w:val="sl-SI" w:eastAsia="sl-SI"/>
        </w:rPr>
        <w:t xml:space="preserve">Slika </w:t>
      </w:r>
      <w:r w:rsidR="0000410C">
        <w:rPr>
          <w:rFonts w:cs="Arial"/>
          <w:i/>
          <w:color w:val="000000"/>
          <w:szCs w:val="20"/>
          <w:lang w:val="sl-SI" w:eastAsia="sl-SI"/>
        </w:rPr>
        <w:t>6</w:t>
      </w:r>
      <w:r w:rsidRPr="005771BD">
        <w:rPr>
          <w:rFonts w:cs="Arial"/>
          <w:i/>
          <w:color w:val="000000"/>
          <w:szCs w:val="20"/>
          <w:lang w:val="sl-SI" w:eastAsia="sl-SI"/>
        </w:rPr>
        <w:t xml:space="preserve">.16: </w:t>
      </w:r>
      <w:r w:rsidRPr="005771BD">
        <w:rPr>
          <w:rFonts w:eastAsiaTheme="minorHAnsi" w:cs="Arial"/>
          <w:i/>
          <w:szCs w:val="20"/>
          <w:lang w:val="sl-SI"/>
        </w:rPr>
        <w:t>Potek izpustov težkih kovin v obdobju 1990–2013</w:t>
      </w:r>
    </w:p>
    <w:p w:rsidR="00225F01" w:rsidRPr="005771BD" w:rsidRDefault="0000410C" w:rsidP="00225F01">
      <w:pPr>
        <w:spacing w:after="200" w:line="276" w:lineRule="auto"/>
        <w:rPr>
          <w:rFonts w:eastAsiaTheme="minorHAnsi" w:cs="Arial"/>
          <w:b/>
          <w:szCs w:val="20"/>
          <w:lang w:val="sl-SI"/>
        </w:rPr>
      </w:pPr>
      <w:r>
        <w:rPr>
          <w:rFonts w:eastAsiaTheme="minorHAnsi" w:cs="Arial"/>
          <w:b/>
          <w:szCs w:val="20"/>
          <w:lang w:val="sl-SI"/>
        </w:rPr>
        <w:t>6</w:t>
      </w:r>
      <w:r w:rsidR="00225F01" w:rsidRPr="005771BD">
        <w:rPr>
          <w:rFonts w:eastAsiaTheme="minorHAnsi" w:cs="Arial"/>
          <w:b/>
          <w:szCs w:val="20"/>
          <w:lang w:val="sl-SI"/>
        </w:rPr>
        <w:t>.2.6 Ocenjevanje kakovosti zraka</w:t>
      </w:r>
    </w:p>
    <w:p w:rsidR="00225F01" w:rsidRPr="005771BD" w:rsidRDefault="00225F01" w:rsidP="00225F01">
      <w:pPr>
        <w:autoSpaceDE w:val="0"/>
        <w:autoSpaceDN w:val="0"/>
        <w:adjustRightInd w:val="0"/>
        <w:spacing w:after="200" w:line="276" w:lineRule="auto"/>
        <w:jc w:val="both"/>
        <w:rPr>
          <w:rFonts w:eastAsiaTheme="minorHAnsi" w:cs="Arial"/>
          <w:szCs w:val="20"/>
          <w:lang w:val="sl-SI"/>
        </w:rPr>
      </w:pPr>
      <w:r w:rsidRPr="005771BD">
        <w:rPr>
          <w:rFonts w:eastAsiaTheme="minorHAnsi" w:cs="Arial"/>
          <w:szCs w:val="20"/>
          <w:lang w:val="sl-SI"/>
        </w:rPr>
        <w:t xml:space="preserve">Za potrebe ocenjevanja kakovosti zraka je Slovenija razdeljena na območja in aglomeraciji. S sprejemom Uredbe o spremembah in dopolnitvah Uredbe o kakovosti zunanjega zraka (Uradni list RS, št. 8/15) so se </w:t>
      </w:r>
      <w:r w:rsidRPr="005771BD">
        <w:rPr>
          <w:rFonts w:eastAsiaTheme="minorHAnsi" w:cs="Arial"/>
          <w:bCs/>
          <w:szCs w:val="20"/>
          <w:lang w:val="sl-SI"/>
        </w:rPr>
        <w:t xml:space="preserve">spremenila merila za določitev območij in aglomeracij </w:t>
      </w:r>
      <w:r w:rsidRPr="005771BD">
        <w:rPr>
          <w:rFonts w:eastAsiaTheme="minorHAnsi" w:cs="Arial"/>
          <w:szCs w:val="20"/>
          <w:lang w:val="sl-SI"/>
        </w:rPr>
        <w:t>glede na onesnaževala. Za delce PM</w:t>
      </w:r>
      <w:r w:rsidRPr="005771BD">
        <w:rPr>
          <w:rFonts w:eastAsiaTheme="minorHAnsi" w:cs="Arial"/>
          <w:szCs w:val="20"/>
          <w:vertAlign w:val="subscript"/>
          <w:lang w:val="sl-SI"/>
        </w:rPr>
        <w:t>10</w:t>
      </w:r>
      <w:r w:rsidRPr="005771BD">
        <w:rPr>
          <w:rFonts w:eastAsiaTheme="minorHAnsi" w:cs="Arial"/>
          <w:szCs w:val="20"/>
          <w:lang w:val="sl-SI"/>
        </w:rPr>
        <w:t xml:space="preserve"> je bila sprejeta naslednja nova razdelitev.</w:t>
      </w:r>
    </w:p>
    <w:p w:rsidR="00225F01" w:rsidRPr="005771BD" w:rsidRDefault="00225F01" w:rsidP="00225F01">
      <w:pPr>
        <w:spacing w:before="60" w:after="200" w:line="276" w:lineRule="auto"/>
        <w:jc w:val="both"/>
        <w:rPr>
          <w:rFonts w:eastAsiaTheme="minorHAnsi" w:cs="Arial"/>
          <w:szCs w:val="20"/>
          <w:lang w:val="sl-SI"/>
        </w:rPr>
      </w:pPr>
      <w:r w:rsidRPr="005771BD">
        <w:rPr>
          <w:rFonts w:cs="Arial"/>
          <w:i/>
          <w:color w:val="000000"/>
          <w:szCs w:val="20"/>
          <w:lang w:val="sl-SI" w:eastAsia="sl-SI"/>
        </w:rPr>
        <w:t xml:space="preserve">Preglednica </w:t>
      </w:r>
      <w:r w:rsidR="0000410C">
        <w:rPr>
          <w:rFonts w:cs="Arial"/>
          <w:i/>
          <w:color w:val="000000"/>
          <w:szCs w:val="20"/>
          <w:lang w:val="sl-SI" w:eastAsia="sl-SI"/>
        </w:rPr>
        <w:t>6</w:t>
      </w:r>
      <w:r w:rsidRPr="005771BD">
        <w:rPr>
          <w:rFonts w:cs="Arial"/>
          <w:i/>
          <w:color w:val="000000"/>
          <w:szCs w:val="20"/>
          <w:lang w:val="sl-SI" w:eastAsia="sl-SI"/>
        </w:rPr>
        <w:t>.1</w:t>
      </w:r>
      <w:r w:rsidRPr="005771BD">
        <w:rPr>
          <w:rFonts w:eastAsiaTheme="minorHAnsi" w:cs="Arial"/>
          <w:i/>
          <w:szCs w:val="20"/>
          <w:lang w:val="sl-SI"/>
        </w:rPr>
        <w:t>:</w:t>
      </w:r>
      <w:r w:rsidRPr="005771BD">
        <w:rPr>
          <w:rFonts w:eastAsiaTheme="minorHAnsi" w:cs="Arial"/>
          <w:i/>
          <w:iCs/>
          <w:szCs w:val="20"/>
          <w:lang w:val="sl-SI"/>
        </w:rPr>
        <w:t xml:space="preserve"> Območja in aglomeracije v zvezi z delci PM</w:t>
      </w:r>
      <w:r w:rsidRPr="005771BD">
        <w:rPr>
          <w:rFonts w:eastAsiaTheme="minorHAnsi" w:cs="Arial"/>
          <w:i/>
          <w:iCs/>
          <w:szCs w:val="20"/>
          <w:vertAlign w:val="subscript"/>
          <w:lang w:val="sl-SI"/>
        </w:rPr>
        <w:t>10</w:t>
      </w:r>
      <w:r w:rsidRPr="005771BD">
        <w:rPr>
          <w:rFonts w:eastAsiaTheme="minorHAnsi" w:cs="Arial"/>
          <w:i/>
          <w:iCs/>
          <w:szCs w:val="20"/>
          <w:lang w:val="sl-SI"/>
        </w:rPr>
        <w:t xml:space="preserve"> v skladu s spremenjeno uredbo o kakovosti zunanjega zraka</w:t>
      </w:r>
    </w:p>
    <w:tbl>
      <w:tblPr>
        <w:tblW w:w="8471" w:type="dxa"/>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0"/>
        <w:gridCol w:w="1134"/>
        <w:gridCol w:w="1701"/>
        <w:gridCol w:w="1842"/>
        <w:gridCol w:w="2694"/>
      </w:tblGrid>
      <w:tr w:rsidR="00225F01" w:rsidRPr="005771BD" w:rsidTr="00225F01">
        <w:trPr>
          <w:trHeight w:val="232"/>
        </w:trPr>
        <w:tc>
          <w:tcPr>
            <w:tcW w:w="1100" w:type="dxa"/>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b/>
                <w:bCs/>
                <w:color w:val="000000"/>
                <w:szCs w:val="20"/>
                <w:lang w:val="sl-SI"/>
              </w:rPr>
              <w:t xml:space="preserve">Koda območja </w:t>
            </w:r>
          </w:p>
        </w:tc>
        <w:tc>
          <w:tcPr>
            <w:tcW w:w="1134" w:type="dxa"/>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b/>
                <w:bCs/>
                <w:color w:val="000000"/>
                <w:szCs w:val="20"/>
                <w:lang w:val="sl-SI"/>
              </w:rPr>
              <w:t xml:space="preserve">Prejšnje območje </w:t>
            </w:r>
          </w:p>
        </w:tc>
        <w:tc>
          <w:tcPr>
            <w:tcW w:w="1701" w:type="dxa"/>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b/>
                <w:bCs/>
                <w:color w:val="000000"/>
                <w:szCs w:val="20"/>
                <w:lang w:val="sl-SI"/>
              </w:rPr>
              <w:t xml:space="preserve">Ime območja </w:t>
            </w:r>
          </w:p>
        </w:tc>
        <w:tc>
          <w:tcPr>
            <w:tcW w:w="1842" w:type="dxa"/>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b/>
                <w:bCs/>
                <w:color w:val="000000"/>
                <w:szCs w:val="20"/>
                <w:lang w:val="sl-SI"/>
              </w:rPr>
              <w:t xml:space="preserve">Občine </w:t>
            </w:r>
          </w:p>
        </w:tc>
        <w:tc>
          <w:tcPr>
            <w:tcW w:w="2694" w:type="dxa"/>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b/>
                <w:bCs/>
                <w:color w:val="000000"/>
                <w:szCs w:val="20"/>
                <w:lang w:val="sl-SI"/>
              </w:rPr>
              <w:t xml:space="preserve">Statistične regije </w:t>
            </w:r>
          </w:p>
        </w:tc>
      </w:tr>
      <w:tr w:rsidR="00225F01" w:rsidRPr="005771BD" w:rsidTr="00225F01">
        <w:trPr>
          <w:trHeight w:val="508"/>
        </w:trPr>
        <w:tc>
          <w:tcPr>
            <w:tcW w:w="1100" w:type="dxa"/>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color w:val="000000"/>
                <w:szCs w:val="20"/>
                <w:lang w:val="sl-SI"/>
              </w:rPr>
              <w:t xml:space="preserve">SIC </w:t>
            </w:r>
          </w:p>
        </w:tc>
        <w:tc>
          <w:tcPr>
            <w:tcW w:w="1134" w:type="dxa"/>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color w:val="000000"/>
                <w:szCs w:val="20"/>
                <w:lang w:val="sl-SI"/>
              </w:rPr>
              <w:t xml:space="preserve">SI1, SI2, SI3 </w:t>
            </w:r>
          </w:p>
        </w:tc>
        <w:tc>
          <w:tcPr>
            <w:tcW w:w="1701" w:type="dxa"/>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color w:val="000000"/>
                <w:szCs w:val="20"/>
                <w:lang w:val="sl-SI"/>
              </w:rPr>
              <w:t xml:space="preserve">celinsko območje </w:t>
            </w:r>
          </w:p>
        </w:tc>
        <w:tc>
          <w:tcPr>
            <w:tcW w:w="1842" w:type="dxa"/>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color w:val="000000"/>
                <w:szCs w:val="20"/>
                <w:lang w:val="sl-SI"/>
              </w:rPr>
              <w:t xml:space="preserve">Celje, Hrastnik, Kranj, Murska Sobota, Novo mesto, Trbovlje, Zagorje ob Savi </w:t>
            </w:r>
          </w:p>
        </w:tc>
        <w:tc>
          <w:tcPr>
            <w:tcW w:w="2694" w:type="dxa"/>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color w:val="000000"/>
                <w:szCs w:val="20"/>
                <w:lang w:val="sl-SI"/>
              </w:rPr>
              <w:t xml:space="preserve">pomurska, podravska, koroška, savinjska, zasavska, spodnjeposavska, jugovzhodna Slovenija, osrednja Slovenija, gorenjska. </w:t>
            </w:r>
          </w:p>
        </w:tc>
      </w:tr>
      <w:tr w:rsidR="00225F01" w:rsidRPr="005771BD" w:rsidTr="00225F01">
        <w:trPr>
          <w:trHeight w:val="231"/>
        </w:trPr>
        <w:tc>
          <w:tcPr>
            <w:tcW w:w="1100" w:type="dxa"/>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color w:val="000000"/>
                <w:szCs w:val="20"/>
                <w:lang w:val="sl-SI"/>
              </w:rPr>
              <w:t xml:space="preserve">SIP </w:t>
            </w:r>
          </w:p>
        </w:tc>
        <w:tc>
          <w:tcPr>
            <w:tcW w:w="1134" w:type="dxa"/>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color w:val="000000"/>
                <w:szCs w:val="20"/>
                <w:lang w:val="sl-SI"/>
              </w:rPr>
              <w:t xml:space="preserve">SI4 </w:t>
            </w:r>
          </w:p>
        </w:tc>
        <w:tc>
          <w:tcPr>
            <w:tcW w:w="1701" w:type="dxa"/>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color w:val="000000"/>
                <w:szCs w:val="20"/>
                <w:lang w:val="sl-SI"/>
              </w:rPr>
              <w:t xml:space="preserve">primorsko območje </w:t>
            </w:r>
          </w:p>
        </w:tc>
        <w:tc>
          <w:tcPr>
            <w:tcW w:w="1842" w:type="dxa"/>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color w:val="000000"/>
                <w:szCs w:val="20"/>
                <w:lang w:val="sl-SI"/>
              </w:rPr>
              <w:t xml:space="preserve">- </w:t>
            </w:r>
          </w:p>
        </w:tc>
        <w:tc>
          <w:tcPr>
            <w:tcW w:w="2694" w:type="dxa"/>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color w:val="000000"/>
                <w:szCs w:val="20"/>
                <w:lang w:val="sl-SI"/>
              </w:rPr>
              <w:t xml:space="preserve">goriška, obalno-kraška notranjsko-kraška </w:t>
            </w:r>
          </w:p>
        </w:tc>
      </w:tr>
      <w:tr w:rsidR="00225F01" w:rsidRPr="005771BD" w:rsidTr="00225F01">
        <w:trPr>
          <w:trHeight w:val="75"/>
        </w:trPr>
        <w:tc>
          <w:tcPr>
            <w:tcW w:w="1100" w:type="dxa"/>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color w:val="000000"/>
                <w:szCs w:val="20"/>
                <w:lang w:val="sl-SI"/>
              </w:rPr>
              <w:t xml:space="preserve">SIL </w:t>
            </w:r>
          </w:p>
        </w:tc>
        <w:tc>
          <w:tcPr>
            <w:tcW w:w="1134" w:type="dxa"/>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color w:val="000000"/>
                <w:szCs w:val="20"/>
                <w:lang w:val="sl-SI"/>
              </w:rPr>
              <w:t xml:space="preserve">SIL </w:t>
            </w:r>
          </w:p>
        </w:tc>
        <w:tc>
          <w:tcPr>
            <w:tcW w:w="1701" w:type="dxa"/>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color w:val="000000"/>
                <w:szCs w:val="20"/>
                <w:lang w:val="sl-SI"/>
              </w:rPr>
              <w:t xml:space="preserve">Ljubljana </w:t>
            </w:r>
          </w:p>
        </w:tc>
        <w:tc>
          <w:tcPr>
            <w:tcW w:w="1842" w:type="dxa"/>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color w:val="000000"/>
                <w:szCs w:val="20"/>
                <w:lang w:val="sl-SI"/>
              </w:rPr>
              <w:t xml:space="preserve">Mestna občina Ljubljana </w:t>
            </w:r>
          </w:p>
        </w:tc>
        <w:tc>
          <w:tcPr>
            <w:tcW w:w="2694" w:type="dxa"/>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color w:val="000000"/>
                <w:szCs w:val="20"/>
                <w:lang w:val="sl-SI"/>
              </w:rPr>
              <w:t xml:space="preserve">mestna občina Ljubljana </w:t>
            </w:r>
          </w:p>
        </w:tc>
      </w:tr>
      <w:tr w:rsidR="00225F01" w:rsidRPr="005771BD" w:rsidTr="00225F01">
        <w:trPr>
          <w:trHeight w:val="75"/>
        </w:trPr>
        <w:tc>
          <w:tcPr>
            <w:tcW w:w="1100" w:type="dxa"/>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color w:val="000000"/>
                <w:szCs w:val="20"/>
                <w:lang w:val="sl-SI"/>
              </w:rPr>
              <w:t xml:space="preserve">SIM </w:t>
            </w:r>
          </w:p>
        </w:tc>
        <w:tc>
          <w:tcPr>
            <w:tcW w:w="1134" w:type="dxa"/>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color w:val="000000"/>
                <w:szCs w:val="20"/>
                <w:lang w:val="sl-SI"/>
              </w:rPr>
              <w:t xml:space="preserve">SIM </w:t>
            </w:r>
          </w:p>
        </w:tc>
        <w:tc>
          <w:tcPr>
            <w:tcW w:w="1701" w:type="dxa"/>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color w:val="000000"/>
                <w:szCs w:val="20"/>
                <w:lang w:val="sl-SI"/>
              </w:rPr>
              <w:t xml:space="preserve">Maribor </w:t>
            </w:r>
          </w:p>
        </w:tc>
        <w:tc>
          <w:tcPr>
            <w:tcW w:w="1842" w:type="dxa"/>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color w:val="000000"/>
                <w:szCs w:val="20"/>
                <w:lang w:val="sl-SI"/>
              </w:rPr>
              <w:t xml:space="preserve">Mestna občina Maribor </w:t>
            </w:r>
          </w:p>
        </w:tc>
        <w:tc>
          <w:tcPr>
            <w:tcW w:w="2694" w:type="dxa"/>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color w:val="000000"/>
                <w:szCs w:val="20"/>
                <w:lang w:val="sl-SI"/>
              </w:rPr>
              <w:t xml:space="preserve">mestna občina Maribor </w:t>
            </w:r>
          </w:p>
        </w:tc>
      </w:tr>
    </w:tbl>
    <w:p w:rsidR="00225F01" w:rsidRPr="005771BD" w:rsidRDefault="00225F01" w:rsidP="00225F01">
      <w:pPr>
        <w:spacing w:after="200" w:line="276" w:lineRule="auto"/>
        <w:rPr>
          <w:rFonts w:eastAsiaTheme="minorHAnsi" w:cs="Arial"/>
          <w:szCs w:val="20"/>
          <w:u w:val="single"/>
          <w:lang w:val="sl-SI"/>
        </w:rPr>
      </w:pPr>
    </w:p>
    <w:p w:rsidR="00225F01" w:rsidRPr="005771BD" w:rsidRDefault="00225F01" w:rsidP="00225F01">
      <w:pPr>
        <w:spacing w:after="200" w:line="276" w:lineRule="auto"/>
        <w:rPr>
          <w:rFonts w:eastAsiaTheme="minorHAnsi" w:cs="Arial"/>
          <w:szCs w:val="20"/>
          <w:u w:val="single"/>
          <w:lang w:val="sl-SI"/>
        </w:rPr>
      </w:pPr>
    </w:p>
    <w:p w:rsidR="00225F01" w:rsidRPr="005771BD" w:rsidRDefault="00225F01" w:rsidP="00225F01">
      <w:pPr>
        <w:spacing w:after="200" w:line="276" w:lineRule="auto"/>
        <w:rPr>
          <w:rFonts w:eastAsiaTheme="minorHAnsi" w:cs="Arial"/>
          <w:i/>
          <w:szCs w:val="20"/>
          <w:u w:val="single"/>
          <w:vertAlign w:val="subscript"/>
          <w:lang w:val="sl-SI"/>
        </w:rPr>
      </w:pPr>
      <w:r w:rsidRPr="005771BD">
        <w:rPr>
          <w:rFonts w:eastAsiaTheme="minorHAnsi" w:cs="Arial"/>
          <w:i/>
          <w:szCs w:val="20"/>
          <w:u w:val="single"/>
          <w:lang w:val="sl-SI"/>
        </w:rPr>
        <w:t>Onesnaženost zraka z delci PM</w:t>
      </w:r>
      <w:r w:rsidRPr="005771BD">
        <w:rPr>
          <w:rFonts w:eastAsiaTheme="minorHAnsi" w:cs="Arial"/>
          <w:i/>
          <w:szCs w:val="20"/>
          <w:u w:val="single"/>
          <w:vertAlign w:val="subscript"/>
          <w:lang w:val="sl-SI"/>
        </w:rPr>
        <w:t>10</w:t>
      </w:r>
      <w:r w:rsidRPr="005771BD">
        <w:rPr>
          <w:rFonts w:eastAsiaTheme="minorHAnsi" w:cs="Arial"/>
          <w:i/>
          <w:szCs w:val="20"/>
          <w:u w:val="single"/>
          <w:lang w:val="sl-SI"/>
        </w:rPr>
        <w:t xml:space="preserve"> in PM</w:t>
      </w:r>
      <w:r w:rsidRPr="005771BD">
        <w:rPr>
          <w:rFonts w:eastAsiaTheme="minorHAnsi" w:cs="Arial"/>
          <w:i/>
          <w:szCs w:val="20"/>
          <w:u w:val="single"/>
          <w:vertAlign w:val="subscript"/>
          <w:lang w:val="sl-SI"/>
        </w:rPr>
        <w:t>2,5</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Slovenija se glede delcev uvršča med države Evropske unije z bolj onesnaženim zrakom in je v vrhu po izpustih delcev na prebivalca in tudi na enoto površine. K onesnaženju z delci PM</w:t>
      </w:r>
      <w:r w:rsidRPr="005771BD">
        <w:rPr>
          <w:rFonts w:eastAsiaTheme="minorHAnsi" w:cs="Arial"/>
          <w:szCs w:val="20"/>
          <w:vertAlign w:val="subscript"/>
          <w:lang w:val="sl-SI"/>
        </w:rPr>
        <w:t>10</w:t>
      </w:r>
      <w:r w:rsidRPr="005771BD">
        <w:rPr>
          <w:rFonts w:eastAsiaTheme="minorHAnsi" w:cs="Arial"/>
          <w:szCs w:val="20"/>
          <w:lang w:val="sl-SI"/>
        </w:rPr>
        <w:t xml:space="preserve"> v času kurilne sezone največ prispevajo individualna kurišča na les, predvsem močno razširjena uporaba lesa v zastarelih kurilnih napravah gospodinjstev. Viri delcev so tudi promet, zlasti izpusti onesnaževal iz dizelskih vozil, industrija in ponovni dvig ter lebdenje delcev v ozračju.</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 xml:space="preserve">Visoke ravni delcev v zraku pa so tudi posledica neugodnih vremenskih razmer v slabo prevetrenih kotlinah in dolinah celinskega dela Slovenije, kjer lahko ob pogostih in izrazitih temperaturnih inverzijah že manjša gostota izpustov povzroči čezmerno onesnaženost zraka. </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Preseganja dnevnih mejnih vrednosti PM</w:t>
      </w:r>
      <w:r w:rsidRPr="005771BD">
        <w:rPr>
          <w:rFonts w:eastAsiaTheme="minorHAnsi" w:cs="Arial"/>
          <w:szCs w:val="20"/>
          <w:vertAlign w:val="subscript"/>
          <w:lang w:val="sl-SI"/>
        </w:rPr>
        <w:t>10</w:t>
      </w:r>
      <w:r w:rsidRPr="005771BD">
        <w:rPr>
          <w:rFonts w:eastAsiaTheme="minorHAnsi" w:cs="Arial"/>
          <w:szCs w:val="20"/>
          <w:lang w:val="sl-SI"/>
        </w:rPr>
        <w:t xml:space="preserve"> so praviloma omejena na hladni del leta, ko so meteorološke razmere za razredčevanje izpustov še posebej neugodne. Hkrati pa zrak pozimi onesnažujejo male kurilne naprave, ki imajo v Sloveniji kar dvotretjinski delež v skupnih izpustih delcev.</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S skladnostjo z letnimi mejnimi vrednostmi je v Sloveniji manj težav kot z dnevnimi mejnimi vrednostmi, ker so ravni delcev v topli polovici leta nizke zaradi boljše prevetrenosti, poleg tega pa so izpusti delcev izven kurilne sezone bistveno manjši. Čezmerna onesnaženost z delci v Sloveniji je predvsem posledica lokalnih izpustov in manj prenosa onesnaževal v regionalnem merilu.</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Največ, kar 85 preseganj dnevne mejne vrednosti za delce PM</w:t>
      </w:r>
      <w:r w:rsidRPr="005771BD">
        <w:rPr>
          <w:rFonts w:eastAsiaTheme="minorHAnsi" w:cs="Arial"/>
          <w:szCs w:val="20"/>
          <w:vertAlign w:val="subscript"/>
          <w:lang w:val="sl-SI"/>
        </w:rPr>
        <w:t>10</w:t>
      </w:r>
      <w:r w:rsidRPr="005771BD">
        <w:rPr>
          <w:rFonts w:eastAsiaTheme="minorHAnsi" w:cs="Arial"/>
          <w:szCs w:val="20"/>
          <w:lang w:val="sl-SI"/>
        </w:rPr>
        <w:t>, je bilo leta 2015 izmerjenih na prometnem merilnem mestu Ljubljana Center (merilno mesto Mestne občine Ljubljana).</w:t>
      </w:r>
    </w:p>
    <w:p w:rsidR="00225F01" w:rsidRPr="005771BD" w:rsidRDefault="00225F01" w:rsidP="00225F01">
      <w:pPr>
        <w:spacing w:after="200" w:line="276" w:lineRule="auto"/>
        <w:rPr>
          <w:rFonts w:eastAsiaTheme="minorHAnsi" w:cs="Arial"/>
          <w:szCs w:val="20"/>
          <w:lang w:val="sl-SI"/>
        </w:rPr>
      </w:pPr>
    </w:p>
    <w:p w:rsidR="00225F01" w:rsidRPr="005771BD" w:rsidRDefault="00225F01" w:rsidP="00225F01">
      <w:pPr>
        <w:spacing w:after="200" w:line="276" w:lineRule="auto"/>
        <w:jc w:val="both"/>
        <w:rPr>
          <w:rFonts w:cs="Arial"/>
          <w:color w:val="000000"/>
          <w:szCs w:val="20"/>
          <w:lang w:val="sl-SI" w:eastAsia="sl-SI"/>
        </w:rPr>
      </w:pPr>
      <w:r w:rsidRPr="007F272F">
        <w:rPr>
          <w:rFonts w:cs="Arial"/>
          <w:noProof/>
          <w:color w:val="000000"/>
          <w:szCs w:val="20"/>
          <w:lang w:val="sl-SI" w:eastAsia="sl-SI"/>
        </w:rPr>
        <w:drawing>
          <wp:inline distT="0" distB="0" distL="0" distR="0" wp14:anchorId="1A8343B8" wp14:editId="38C99B39">
            <wp:extent cx="5358765" cy="3011805"/>
            <wp:effectExtent l="0" t="0" r="0" b="0"/>
            <wp:docPr id="523" name="Slika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58765" cy="3011805"/>
                    </a:xfrm>
                    <a:prstGeom prst="rect">
                      <a:avLst/>
                    </a:prstGeom>
                    <a:noFill/>
                  </pic:spPr>
                </pic:pic>
              </a:graphicData>
            </a:graphic>
          </wp:inline>
        </w:drawing>
      </w:r>
    </w:p>
    <w:p w:rsidR="00225F01" w:rsidRPr="005771BD" w:rsidRDefault="00225F01" w:rsidP="00225F01">
      <w:pPr>
        <w:spacing w:after="360" w:line="276" w:lineRule="auto"/>
        <w:jc w:val="both"/>
        <w:rPr>
          <w:rFonts w:eastAsiaTheme="minorHAnsi" w:cs="Arial"/>
          <w:i/>
          <w:szCs w:val="20"/>
          <w:lang w:val="sl-SI"/>
        </w:rPr>
      </w:pPr>
      <w:r w:rsidRPr="005771BD">
        <w:rPr>
          <w:rFonts w:cs="Arial"/>
          <w:i/>
          <w:color w:val="000000"/>
          <w:szCs w:val="20"/>
          <w:lang w:val="sl-SI" w:eastAsia="sl-SI"/>
        </w:rPr>
        <w:t xml:space="preserve">Slika </w:t>
      </w:r>
      <w:r w:rsidR="0000410C">
        <w:rPr>
          <w:rFonts w:cs="Arial"/>
          <w:i/>
          <w:color w:val="000000"/>
          <w:szCs w:val="20"/>
          <w:lang w:val="sl-SI" w:eastAsia="sl-SI"/>
        </w:rPr>
        <w:t>6</w:t>
      </w:r>
      <w:r w:rsidRPr="005771BD">
        <w:rPr>
          <w:rFonts w:cs="Arial"/>
          <w:i/>
          <w:color w:val="000000"/>
          <w:szCs w:val="20"/>
          <w:lang w:val="sl-SI" w:eastAsia="sl-SI"/>
        </w:rPr>
        <w:t xml:space="preserve">.17: </w:t>
      </w:r>
      <w:r w:rsidRPr="005771BD">
        <w:rPr>
          <w:rFonts w:eastAsiaTheme="minorHAnsi" w:cs="Arial"/>
          <w:bCs/>
          <w:i/>
          <w:szCs w:val="20"/>
          <w:lang w:val="sl-SI"/>
        </w:rPr>
        <w:t>Število dni s preseženo dnevno mejno koncentracijo PM</w:t>
      </w:r>
      <w:r w:rsidRPr="005771BD">
        <w:rPr>
          <w:rFonts w:eastAsiaTheme="minorHAnsi" w:cs="Arial"/>
          <w:bCs/>
          <w:i/>
          <w:szCs w:val="20"/>
          <w:vertAlign w:val="subscript"/>
          <w:lang w:val="sl-SI"/>
        </w:rPr>
        <w:t>10</w:t>
      </w:r>
      <w:r w:rsidRPr="005771BD">
        <w:rPr>
          <w:rFonts w:eastAsiaTheme="minorHAnsi" w:cs="Arial"/>
          <w:bCs/>
          <w:i/>
          <w:szCs w:val="20"/>
          <w:lang w:val="sl-SI"/>
        </w:rPr>
        <w:t xml:space="preserve"> 50 µg/m</w:t>
      </w:r>
      <w:r w:rsidRPr="005771BD">
        <w:rPr>
          <w:rFonts w:eastAsiaTheme="minorHAnsi" w:cs="Arial"/>
          <w:bCs/>
          <w:i/>
          <w:szCs w:val="20"/>
          <w:vertAlign w:val="superscript"/>
          <w:lang w:val="sl-SI"/>
        </w:rPr>
        <w:t>3</w:t>
      </w:r>
      <w:r w:rsidRPr="005771BD">
        <w:rPr>
          <w:rFonts w:eastAsiaTheme="minorHAnsi" w:cs="Arial"/>
          <w:i/>
          <w:szCs w:val="20"/>
          <w:lang w:val="sl-SI"/>
        </w:rPr>
        <w:t xml:space="preserve"> (dovoljeno je preseganje največ 35-krat v koledarskem letu) po </w:t>
      </w:r>
      <w:r w:rsidRPr="00D30936">
        <w:rPr>
          <w:rFonts w:eastAsiaTheme="minorHAnsi" w:cs="Arial"/>
          <w:i/>
          <w:szCs w:val="20"/>
          <w:lang w:val="sl-SI"/>
        </w:rPr>
        <w:t>tipih</w:t>
      </w:r>
      <w:r w:rsidRPr="005771BD">
        <w:rPr>
          <w:rFonts w:eastAsiaTheme="minorHAnsi" w:cs="Arial"/>
          <w:i/>
          <w:szCs w:val="20"/>
          <w:lang w:val="sl-SI"/>
        </w:rPr>
        <w:t xml:space="preserve"> merilnih mest v obdobju 2005–2015. </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Skladnost s standardi kakovosti zraka za delce PM</w:t>
      </w:r>
      <w:r w:rsidRPr="005771BD">
        <w:rPr>
          <w:rFonts w:eastAsiaTheme="minorHAnsi" w:cs="Arial"/>
          <w:szCs w:val="20"/>
          <w:vertAlign w:val="subscript"/>
          <w:lang w:val="sl-SI"/>
        </w:rPr>
        <w:t>2</w:t>
      </w:r>
      <w:r w:rsidRPr="005771BD">
        <w:rPr>
          <w:rFonts w:eastAsiaTheme="minorHAnsi" w:cs="Arial"/>
          <w:i/>
          <w:iCs/>
          <w:szCs w:val="20"/>
          <w:vertAlign w:val="subscript"/>
          <w:lang w:val="sl-SI"/>
        </w:rPr>
        <w:t>,</w:t>
      </w:r>
      <w:r w:rsidRPr="005771BD">
        <w:rPr>
          <w:rFonts w:eastAsiaTheme="minorHAnsi" w:cs="Arial"/>
          <w:szCs w:val="20"/>
          <w:vertAlign w:val="subscript"/>
          <w:lang w:val="sl-SI"/>
        </w:rPr>
        <w:t>5</w:t>
      </w:r>
      <w:r w:rsidRPr="005771BD">
        <w:rPr>
          <w:rFonts w:eastAsiaTheme="minorHAnsi" w:cs="Arial"/>
          <w:szCs w:val="20"/>
          <w:lang w:val="sl-SI"/>
        </w:rPr>
        <w:t>, za katere je predpisana le letna mejna vrednost, je v značilnih razmerah Slovenije lažje doseči. Pri nas se s povišanimi ravnmi delcev PM</w:t>
      </w:r>
      <w:r w:rsidRPr="005771BD">
        <w:rPr>
          <w:rFonts w:eastAsiaTheme="minorHAnsi" w:cs="Arial"/>
          <w:szCs w:val="20"/>
          <w:vertAlign w:val="subscript"/>
          <w:lang w:val="sl-SI"/>
        </w:rPr>
        <w:t>2</w:t>
      </w:r>
      <w:r w:rsidRPr="005771BD">
        <w:rPr>
          <w:rFonts w:eastAsiaTheme="minorHAnsi" w:cs="Arial"/>
          <w:i/>
          <w:iCs/>
          <w:szCs w:val="20"/>
          <w:vertAlign w:val="subscript"/>
          <w:lang w:val="sl-SI"/>
        </w:rPr>
        <w:t>,</w:t>
      </w:r>
      <w:r w:rsidRPr="005771BD">
        <w:rPr>
          <w:rFonts w:eastAsiaTheme="minorHAnsi" w:cs="Arial"/>
          <w:szCs w:val="20"/>
          <w:vertAlign w:val="subscript"/>
          <w:lang w:val="sl-SI"/>
        </w:rPr>
        <w:t>5</w:t>
      </w:r>
      <w:r w:rsidRPr="005771BD">
        <w:rPr>
          <w:rFonts w:eastAsiaTheme="minorHAnsi" w:cs="Arial"/>
          <w:szCs w:val="20"/>
          <w:lang w:val="sl-SI"/>
        </w:rPr>
        <w:t xml:space="preserve"> srečujemo predvsem v hladni polovici leta, letno povprečje pa zniža z delci manj onesnaženi zrak v topli polovici leta. Od začetka meritev in tudi v letu 2014 na nobenem od štirih merilnih mest mejna vrednost za delce PM</w:t>
      </w:r>
      <w:r w:rsidRPr="005771BD">
        <w:rPr>
          <w:rFonts w:eastAsiaTheme="minorHAnsi" w:cs="Arial"/>
          <w:szCs w:val="20"/>
          <w:vertAlign w:val="subscript"/>
          <w:lang w:val="sl-SI"/>
        </w:rPr>
        <w:t>2</w:t>
      </w:r>
      <w:r w:rsidRPr="005771BD">
        <w:rPr>
          <w:rFonts w:eastAsiaTheme="minorHAnsi" w:cs="Arial"/>
          <w:i/>
          <w:iCs/>
          <w:szCs w:val="20"/>
          <w:vertAlign w:val="subscript"/>
          <w:lang w:val="sl-SI"/>
        </w:rPr>
        <w:t>,</w:t>
      </w:r>
      <w:r w:rsidRPr="005771BD">
        <w:rPr>
          <w:rFonts w:eastAsiaTheme="minorHAnsi" w:cs="Arial"/>
          <w:szCs w:val="20"/>
          <w:vertAlign w:val="subscript"/>
          <w:lang w:val="sl-SI"/>
        </w:rPr>
        <w:t xml:space="preserve">5 </w:t>
      </w:r>
      <w:r w:rsidRPr="005771BD">
        <w:rPr>
          <w:rFonts w:eastAsiaTheme="minorHAnsi" w:cs="Arial"/>
          <w:szCs w:val="20"/>
          <w:lang w:val="sl-SI"/>
        </w:rPr>
        <w:t>ni bila prekoračena.</w:t>
      </w:r>
    </w:p>
    <w:p w:rsidR="00225F01" w:rsidRPr="005771BD" w:rsidRDefault="00225F01" w:rsidP="00225F01">
      <w:pPr>
        <w:spacing w:after="200" w:line="276" w:lineRule="auto"/>
        <w:rPr>
          <w:rFonts w:eastAsiaTheme="minorHAnsi" w:cs="Arial"/>
          <w:i/>
          <w:szCs w:val="20"/>
          <w:u w:val="single"/>
          <w:lang w:val="sl-SI"/>
        </w:rPr>
      </w:pPr>
      <w:r w:rsidRPr="005771BD">
        <w:rPr>
          <w:rFonts w:eastAsiaTheme="minorHAnsi" w:cs="Arial"/>
          <w:i/>
          <w:szCs w:val="20"/>
          <w:u w:val="single"/>
          <w:lang w:val="sl-SI"/>
        </w:rPr>
        <w:t xml:space="preserve"> Onesnaženost zraka s prizemnim ozonom</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Podatki meritev ravni ozona kažejo, da Slovenija sodi med bolj onesnažene države v Evropi. Dopustno število prekoračitev ciljne maksimalne 8-urne koncentracije za zaščito zdravja je bilo v zadnjih letih preseženo skoraj na vseh merilnih mestih. Izjema so le merilna mesta pod neposrednim vplivom izpustov prometa, kjer so ravni na omejenem območju nižje, saj ozon reagira z dušikovim oksidom. Najnižje koncentracije ozona so izmerjene na prometnih merilnih mestih Maribor Center in Zagorje. Največ preseganj ciljnih vrednosti prizemnega ozona je bilo zabeleženih na merilnih mestih podeželskega ozadja.</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 xml:space="preserve">Prav tako so na vzorčnih merilnih mestih presežene tudi ciljne vrednosti za zaščito vegetacije. </w:t>
      </w:r>
    </w:p>
    <w:p w:rsidR="00225F01" w:rsidRPr="005771BD" w:rsidRDefault="00225F01" w:rsidP="00225F01">
      <w:pPr>
        <w:spacing w:after="200" w:line="276" w:lineRule="auto"/>
        <w:jc w:val="both"/>
        <w:rPr>
          <w:rFonts w:eastAsiaTheme="minorHAnsi" w:cs="Arial"/>
          <w:szCs w:val="20"/>
          <w:u w:val="single"/>
          <w:lang w:val="sl-SI"/>
        </w:rPr>
      </w:pPr>
      <w:r w:rsidRPr="005771BD">
        <w:rPr>
          <w:rFonts w:eastAsiaTheme="minorHAnsi" w:cs="Arial"/>
          <w:szCs w:val="20"/>
          <w:lang w:val="sl-SI"/>
        </w:rPr>
        <w:t xml:space="preserve">Večletni </w:t>
      </w:r>
      <w:r>
        <w:rPr>
          <w:rFonts w:eastAsiaTheme="minorHAnsi" w:cs="Arial"/>
          <w:szCs w:val="20"/>
          <w:lang w:val="sl-SI"/>
        </w:rPr>
        <w:t xml:space="preserve">niz </w:t>
      </w:r>
      <w:r w:rsidRPr="005771BD">
        <w:rPr>
          <w:rFonts w:eastAsiaTheme="minorHAnsi" w:cs="Arial"/>
          <w:szCs w:val="20"/>
          <w:lang w:val="sl-SI"/>
        </w:rPr>
        <w:t>podatk</w:t>
      </w:r>
      <w:r>
        <w:rPr>
          <w:rFonts w:eastAsiaTheme="minorHAnsi" w:cs="Arial"/>
          <w:szCs w:val="20"/>
          <w:lang w:val="sl-SI"/>
        </w:rPr>
        <w:t>ov</w:t>
      </w:r>
      <w:r w:rsidRPr="005771BD">
        <w:rPr>
          <w:rFonts w:eastAsiaTheme="minorHAnsi" w:cs="Arial"/>
          <w:szCs w:val="20"/>
          <w:lang w:val="sl-SI"/>
        </w:rPr>
        <w:t xml:space="preserve"> ne </w:t>
      </w:r>
      <w:r>
        <w:rPr>
          <w:rFonts w:eastAsiaTheme="minorHAnsi" w:cs="Arial"/>
          <w:szCs w:val="20"/>
          <w:lang w:val="sl-SI"/>
        </w:rPr>
        <w:t>kaže</w:t>
      </w:r>
      <w:r w:rsidRPr="005771BD">
        <w:rPr>
          <w:rFonts w:eastAsiaTheme="minorHAnsi" w:cs="Arial"/>
          <w:szCs w:val="20"/>
          <w:lang w:val="sl-SI"/>
        </w:rPr>
        <w:t xml:space="preserve"> opaznega trenda. Koncentracije ozona so odvisne predvsem od  vremena v poletnih mesecih in od izpustov predhodnikov ozona. </w:t>
      </w:r>
    </w:p>
    <w:p w:rsidR="00225F01" w:rsidRPr="005771BD" w:rsidRDefault="00225F01" w:rsidP="00225F01">
      <w:pPr>
        <w:spacing w:after="200" w:line="276" w:lineRule="auto"/>
        <w:jc w:val="center"/>
        <w:rPr>
          <w:rFonts w:eastAsiaTheme="minorHAnsi" w:cs="Arial"/>
          <w:szCs w:val="20"/>
          <w:u w:val="single"/>
          <w:lang w:val="sl-SI"/>
        </w:rPr>
      </w:pPr>
      <w:r w:rsidRPr="007F272F">
        <w:rPr>
          <w:rFonts w:eastAsiaTheme="minorHAnsi" w:cs="Arial"/>
          <w:noProof/>
          <w:szCs w:val="20"/>
          <w:u w:val="single"/>
          <w:lang w:val="sl-SI" w:eastAsia="sl-SI"/>
        </w:rPr>
        <w:drawing>
          <wp:inline distT="0" distB="0" distL="0" distR="0" wp14:anchorId="2954A815" wp14:editId="2FC10752">
            <wp:extent cx="5633085" cy="3096895"/>
            <wp:effectExtent l="0" t="0" r="5715" b="8255"/>
            <wp:docPr id="524" name="Slika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33085" cy="3096895"/>
                    </a:xfrm>
                    <a:prstGeom prst="rect">
                      <a:avLst/>
                    </a:prstGeom>
                    <a:noFill/>
                  </pic:spPr>
                </pic:pic>
              </a:graphicData>
            </a:graphic>
          </wp:inline>
        </w:drawing>
      </w:r>
    </w:p>
    <w:p w:rsidR="00225F01" w:rsidRPr="005771BD" w:rsidRDefault="00225F01" w:rsidP="00225F01">
      <w:pPr>
        <w:spacing w:after="200" w:line="276" w:lineRule="auto"/>
        <w:jc w:val="both"/>
        <w:rPr>
          <w:rFonts w:eastAsiaTheme="minorHAnsi" w:cs="Arial"/>
          <w:i/>
          <w:szCs w:val="20"/>
          <w:lang w:val="sl-SI"/>
        </w:rPr>
      </w:pPr>
      <w:r w:rsidRPr="005771BD">
        <w:rPr>
          <w:rFonts w:cs="Arial"/>
          <w:i/>
          <w:color w:val="000000"/>
          <w:szCs w:val="20"/>
          <w:lang w:val="sl-SI" w:eastAsia="sl-SI"/>
        </w:rPr>
        <w:t xml:space="preserve">Slika </w:t>
      </w:r>
      <w:r w:rsidR="0000410C">
        <w:rPr>
          <w:rFonts w:cs="Arial"/>
          <w:i/>
          <w:color w:val="000000"/>
          <w:szCs w:val="20"/>
          <w:lang w:val="sl-SI" w:eastAsia="sl-SI"/>
        </w:rPr>
        <w:t>6</w:t>
      </w:r>
      <w:r w:rsidRPr="005771BD">
        <w:rPr>
          <w:rFonts w:cs="Arial"/>
          <w:i/>
          <w:color w:val="000000"/>
          <w:szCs w:val="20"/>
          <w:lang w:val="sl-SI" w:eastAsia="sl-SI"/>
        </w:rPr>
        <w:t xml:space="preserve">.18: </w:t>
      </w:r>
      <w:r w:rsidRPr="005771BD">
        <w:rPr>
          <w:rFonts w:eastAsiaTheme="minorHAnsi" w:cs="Arial"/>
          <w:i/>
          <w:szCs w:val="20"/>
          <w:lang w:val="sl-SI"/>
        </w:rPr>
        <w:t>Število dni s preseženo ciljno vrednostjo za prizemni ozon v slovenskih krajih v obdobju 2004–2015, ko je najvišja povprečna 8-urna drseča vrednost, izračunana kot povprečje zadnjih treh let, več kot 120 μg/m</w:t>
      </w:r>
      <w:r w:rsidRPr="005771BD">
        <w:rPr>
          <w:rFonts w:eastAsiaTheme="minorHAnsi" w:cs="Arial"/>
          <w:i/>
          <w:szCs w:val="20"/>
          <w:vertAlign w:val="superscript"/>
          <w:lang w:val="sl-SI"/>
        </w:rPr>
        <w:t>3</w:t>
      </w:r>
      <w:r w:rsidRPr="005771BD">
        <w:rPr>
          <w:rFonts w:eastAsiaTheme="minorHAnsi" w:cs="Arial"/>
          <w:i/>
          <w:szCs w:val="20"/>
          <w:lang w:val="sl-SI"/>
        </w:rPr>
        <w:t xml:space="preserve">, po posameznih </w:t>
      </w:r>
      <w:r>
        <w:rPr>
          <w:rFonts w:eastAsiaTheme="minorHAnsi" w:cs="Arial"/>
          <w:i/>
          <w:szCs w:val="20"/>
          <w:lang w:val="sl-SI"/>
        </w:rPr>
        <w:t>vrstah</w:t>
      </w:r>
      <w:r w:rsidRPr="005771BD">
        <w:rPr>
          <w:rFonts w:eastAsiaTheme="minorHAnsi" w:cs="Arial"/>
          <w:i/>
          <w:szCs w:val="20"/>
          <w:lang w:val="sl-SI"/>
        </w:rPr>
        <w:t xml:space="preserve"> merilnih mest. Dovoljeno je preseganje ciljne vrednosti največ 25 dni v koledarskem letu.</w:t>
      </w:r>
    </w:p>
    <w:p w:rsidR="00225F01" w:rsidRPr="005771BD" w:rsidRDefault="00225F01" w:rsidP="00225F01">
      <w:pPr>
        <w:spacing w:after="200" w:line="276" w:lineRule="auto"/>
        <w:jc w:val="both"/>
        <w:rPr>
          <w:rFonts w:eastAsiaTheme="minorHAnsi" w:cs="Arial"/>
          <w:szCs w:val="20"/>
          <w:lang w:val="sl-SI"/>
        </w:rPr>
      </w:pPr>
    </w:p>
    <w:p w:rsidR="00225F01" w:rsidRPr="005771BD" w:rsidRDefault="00225F01" w:rsidP="00225F01">
      <w:pPr>
        <w:spacing w:after="200" w:line="276" w:lineRule="auto"/>
        <w:ind w:left="-567"/>
        <w:rPr>
          <w:rFonts w:eastAsiaTheme="minorHAnsi" w:cs="Arial"/>
          <w:szCs w:val="20"/>
          <w:u w:val="single"/>
          <w:lang w:val="sl-SI"/>
        </w:rPr>
      </w:pPr>
      <w:r w:rsidRPr="007F272F">
        <w:rPr>
          <w:rFonts w:eastAsiaTheme="minorHAnsi" w:cs="Arial"/>
          <w:noProof/>
          <w:szCs w:val="20"/>
          <w:u w:val="single"/>
          <w:lang w:val="sl-SI" w:eastAsia="sl-SI"/>
        </w:rPr>
        <w:drawing>
          <wp:inline distT="0" distB="0" distL="0" distR="0" wp14:anchorId="1B429887" wp14:editId="64E22E4F">
            <wp:extent cx="6480810" cy="3785870"/>
            <wp:effectExtent l="0" t="0" r="0" b="5080"/>
            <wp:docPr id="525" name="Slika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480810" cy="3785870"/>
                    </a:xfrm>
                    <a:prstGeom prst="rect">
                      <a:avLst/>
                    </a:prstGeom>
                    <a:noFill/>
                  </pic:spPr>
                </pic:pic>
              </a:graphicData>
            </a:graphic>
          </wp:inline>
        </w:drawing>
      </w:r>
    </w:p>
    <w:p w:rsidR="00225F01" w:rsidRPr="005771BD" w:rsidRDefault="00225F01" w:rsidP="00225F01">
      <w:pPr>
        <w:spacing w:after="200" w:line="276" w:lineRule="auto"/>
        <w:jc w:val="both"/>
        <w:rPr>
          <w:rFonts w:cs="Arial"/>
          <w:i/>
          <w:szCs w:val="20"/>
          <w:lang w:val="sl-SI" w:eastAsia="sl-SI"/>
        </w:rPr>
      </w:pPr>
      <w:r w:rsidRPr="005771BD">
        <w:rPr>
          <w:rFonts w:cs="Arial"/>
          <w:i/>
          <w:color w:val="000000"/>
          <w:szCs w:val="20"/>
          <w:lang w:val="sl-SI" w:eastAsia="sl-SI"/>
        </w:rPr>
        <w:t xml:space="preserve">Slika </w:t>
      </w:r>
      <w:r w:rsidR="0000410C">
        <w:rPr>
          <w:rFonts w:cs="Arial"/>
          <w:i/>
          <w:color w:val="000000"/>
          <w:szCs w:val="20"/>
          <w:lang w:val="sl-SI" w:eastAsia="sl-SI"/>
        </w:rPr>
        <w:t>6</w:t>
      </w:r>
      <w:r w:rsidRPr="005771BD">
        <w:rPr>
          <w:rFonts w:cs="Arial"/>
          <w:i/>
          <w:color w:val="000000"/>
          <w:szCs w:val="20"/>
          <w:lang w:val="sl-SI" w:eastAsia="sl-SI"/>
        </w:rPr>
        <w:t xml:space="preserve">.19: </w:t>
      </w:r>
      <w:r w:rsidRPr="005771BD">
        <w:rPr>
          <w:rFonts w:cs="Arial"/>
          <w:i/>
          <w:szCs w:val="20"/>
          <w:lang w:val="sl-SI" w:eastAsia="sl-SI"/>
        </w:rPr>
        <w:t>Število ur s preseženo opozorilno vrednostjo za prizemni ozon v slovenskih krajih, ko je najvišja urna vrednost več kot 180 μg/m</w:t>
      </w:r>
      <w:r w:rsidRPr="005771BD">
        <w:rPr>
          <w:rFonts w:cs="Arial"/>
          <w:i/>
          <w:szCs w:val="20"/>
          <w:vertAlign w:val="superscript"/>
          <w:lang w:val="sl-SI" w:eastAsia="sl-SI"/>
        </w:rPr>
        <w:t>3</w:t>
      </w:r>
      <w:r w:rsidRPr="005771BD">
        <w:rPr>
          <w:rFonts w:cs="Arial"/>
          <w:i/>
          <w:szCs w:val="20"/>
          <w:lang w:val="sl-SI" w:eastAsia="sl-SI"/>
        </w:rPr>
        <w:t xml:space="preserve"> , v obdobju 1995–2015, po posameznih </w:t>
      </w:r>
      <w:r w:rsidRPr="00D30936">
        <w:rPr>
          <w:rFonts w:cs="Arial"/>
          <w:i/>
          <w:szCs w:val="20"/>
          <w:lang w:val="sl-SI" w:eastAsia="sl-SI"/>
        </w:rPr>
        <w:t>tipih</w:t>
      </w:r>
      <w:r w:rsidRPr="005771BD">
        <w:rPr>
          <w:rFonts w:cs="Arial"/>
          <w:i/>
          <w:szCs w:val="20"/>
          <w:lang w:val="sl-SI" w:eastAsia="sl-SI"/>
        </w:rPr>
        <w:t xml:space="preserve"> merilnih mest.</w:t>
      </w:r>
    </w:p>
    <w:p w:rsidR="00225F01" w:rsidRPr="005771BD" w:rsidRDefault="00225F01" w:rsidP="00225F01">
      <w:pPr>
        <w:spacing w:after="200" w:line="276" w:lineRule="auto"/>
        <w:jc w:val="both"/>
        <w:rPr>
          <w:rFonts w:eastAsiaTheme="minorHAnsi" w:cs="Arial"/>
          <w:szCs w:val="20"/>
          <w:u w:val="single"/>
          <w:lang w:val="sl-SI"/>
        </w:rPr>
      </w:pPr>
    </w:p>
    <w:p w:rsidR="00225F01" w:rsidRPr="005771BD" w:rsidRDefault="00225F01" w:rsidP="00225F01">
      <w:pPr>
        <w:spacing w:after="200" w:line="276" w:lineRule="auto"/>
        <w:jc w:val="both"/>
        <w:rPr>
          <w:rFonts w:eastAsiaTheme="minorHAnsi" w:cs="Arial"/>
          <w:i/>
          <w:szCs w:val="20"/>
          <w:u w:val="single"/>
          <w:lang w:val="sl-SI"/>
        </w:rPr>
      </w:pPr>
      <w:r w:rsidRPr="005771BD">
        <w:rPr>
          <w:rFonts w:eastAsiaTheme="minorHAnsi" w:cs="Arial"/>
          <w:i/>
          <w:szCs w:val="20"/>
          <w:u w:val="single"/>
          <w:lang w:val="sl-SI"/>
        </w:rPr>
        <w:t>Vpliv ozona na vegetacijo</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 xml:space="preserve">Onesnaženost zraka s prizemnim ozonom je v zadnjih letih na vseh merilnih mestih, reprezentativnih za vegetacijo, nad ciljno, še bolj pa nad dolgoročno naravnano vrednostjo. </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 xml:space="preserve">Ciljna vrednost parametra </w:t>
      </w:r>
      <w:r w:rsidRPr="005771BD">
        <w:rPr>
          <w:rFonts w:eastAsiaTheme="minorHAnsi" w:cs="Arial"/>
          <w:bCs/>
          <w:szCs w:val="20"/>
          <w:lang w:val="sl-SI"/>
        </w:rPr>
        <w:t xml:space="preserve">AOT40 </w:t>
      </w:r>
      <w:r w:rsidRPr="005771BD">
        <w:rPr>
          <w:rFonts w:eastAsiaTheme="minorHAnsi" w:cs="Arial"/>
          <w:szCs w:val="20"/>
          <w:lang w:val="sl-SI"/>
        </w:rPr>
        <w:t xml:space="preserve">za varstvo rastlin (petletno povprečje za štiri pretekla in tekoče leto) je bila v vegetacijskem obdobju 2007–2014 prekoračena na vseh reprezentativnih merilnih mestih, razen pri Sv. Mohorju nad Brestanico v letih med 2009 in 2012. </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 xml:space="preserve">Najvišje vrednosti so bile izmerjene na Otlici in Krvavcu, kjer so bile izmerjene najvišje povprečne vrednosti. Merilna postaja Krvavec je visokogorska postaja, kjer je manj dnevnega nihanja koncentracije ozona, zato jutranje in dopoldanske koncentracije povečajo vsoto. Merilno mesto Otlica je tudi na nadmorski višini malo pod 1000 m, visoke koncentracije pa nastajajo zaradi prenosa ozona iz doline in Italije. Koncentracije ozona in s tem povezana vrednost parametra AOT40 so močno odvisne od vremena, najvišje vrednosti so v letih z dolgotrajnim suhim in vročim vremenom z veliko sončnega obsevanja. </w:t>
      </w:r>
    </w:p>
    <w:p w:rsidR="00225F01" w:rsidRPr="005771BD" w:rsidRDefault="00225F01" w:rsidP="00225F01">
      <w:pPr>
        <w:spacing w:after="200" w:line="276" w:lineRule="auto"/>
        <w:jc w:val="center"/>
        <w:rPr>
          <w:rFonts w:eastAsiaTheme="minorHAnsi" w:cs="Arial"/>
          <w:szCs w:val="20"/>
          <w:lang w:val="sl-SI"/>
        </w:rPr>
      </w:pPr>
      <w:r w:rsidRPr="007F272F">
        <w:rPr>
          <w:rFonts w:eastAsiaTheme="minorHAnsi" w:cs="Arial"/>
          <w:noProof/>
          <w:szCs w:val="20"/>
          <w:lang w:val="sl-SI" w:eastAsia="sl-SI"/>
        </w:rPr>
        <w:drawing>
          <wp:inline distT="0" distB="0" distL="0" distR="0" wp14:anchorId="5417808A" wp14:editId="24AB00EE">
            <wp:extent cx="5084445" cy="2773680"/>
            <wp:effectExtent l="0" t="0" r="1905" b="7620"/>
            <wp:docPr id="526" name="Slika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84445" cy="2773680"/>
                    </a:xfrm>
                    <a:prstGeom prst="rect">
                      <a:avLst/>
                    </a:prstGeom>
                    <a:noFill/>
                  </pic:spPr>
                </pic:pic>
              </a:graphicData>
            </a:graphic>
          </wp:inline>
        </w:drawing>
      </w:r>
    </w:p>
    <w:p w:rsidR="00225F01" w:rsidRPr="005771BD" w:rsidRDefault="00225F01" w:rsidP="00225F01">
      <w:pPr>
        <w:spacing w:line="276" w:lineRule="auto"/>
        <w:jc w:val="both"/>
        <w:rPr>
          <w:rFonts w:eastAsiaTheme="minorHAnsi" w:cs="Arial"/>
          <w:i/>
          <w:color w:val="000000"/>
          <w:szCs w:val="20"/>
          <w:lang w:val="sl-SI"/>
        </w:rPr>
      </w:pPr>
      <w:r w:rsidRPr="005771BD">
        <w:rPr>
          <w:rFonts w:cs="Arial"/>
          <w:i/>
          <w:color w:val="000000"/>
          <w:szCs w:val="20"/>
          <w:lang w:val="sl-SI" w:eastAsia="sl-SI"/>
        </w:rPr>
        <w:t xml:space="preserve">Slika </w:t>
      </w:r>
      <w:r w:rsidR="00044E8C">
        <w:rPr>
          <w:rFonts w:cs="Arial"/>
          <w:i/>
          <w:color w:val="000000"/>
          <w:szCs w:val="20"/>
          <w:lang w:val="sl-SI" w:eastAsia="sl-SI"/>
        </w:rPr>
        <w:t>6</w:t>
      </w:r>
      <w:r w:rsidRPr="005771BD">
        <w:rPr>
          <w:rFonts w:cs="Arial"/>
          <w:i/>
          <w:color w:val="000000"/>
          <w:szCs w:val="20"/>
          <w:lang w:val="sl-SI" w:eastAsia="sl-SI"/>
        </w:rPr>
        <w:t xml:space="preserve">.20: </w:t>
      </w:r>
      <w:r w:rsidRPr="005771BD">
        <w:rPr>
          <w:rFonts w:eastAsiaTheme="minorHAnsi" w:cs="Arial"/>
          <w:i/>
          <w:color w:val="000000"/>
          <w:szCs w:val="20"/>
          <w:lang w:val="sl-SI"/>
        </w:rPr>
        <w:t xml:space="preserve">Gibanje </w:t>
      </w:r>
      <w:r w:rsidRPr="005771BD">
        <w:rPr>
          <w:rFonts w:eastAsiaTheme="minorHAnsi" w:cs="Arial"/>
          <w:bCs/>
          <w:i/>
          <w:color w:val="000000"/>
          <w:szCs w:val="20"/>
          <w:lang w:val="sl-SI"/>
        </w:rPr>
        <w:t xml:space="preserve">parametra AOT40 </w:t>
      </w:r>
      <w:r w:rsidRPr="005771BD">
        <w:rPr>
          <w:rFonts w:eastAsiaTheme="minorHAnsi" w:cs="Arial"/>
          <w:i/>
          <w:color w:val="000000"/>
          <w:szCs w:val="20"/>
          <w:lang w:val="sl-SI"/>
        </w:rPr>
        <w:t xml:space="preserve">za vegetacijo v obdobju 2007–2014  na merilnih mestih Krvavec in Otlica po letih (podano je petletno povprečje za tekoče leto in štiri leta pred njim). </w:t>
      </w:r>
    </w:p>
    <w:p w:rsidR="00225F01" w:rsidRPr="005771BD" w:rsidRDefault="00225F01" w:rsidP="00225F01">
      <w:pPr>
        <w:spacing w:after="200" w:line="276" w:lineRule="auto"/>
        <w:jc w:val="both"/>
        <w:rPr>
          <w:rFonts w:eastAsiaTheme="minorHAnsi" w:cs="Arial"/>
          <w:i/>
          <w:sz w:val="18"/>
          <w:szCs w:val="18"/>
          <w:lang w:val="sl-SI"/>
        </w:rPr>
      </w:pPr>
      <w:r w:rsidRPr="005771BD">
        <w:rPr>
          <w:rFonts w:eastAsiaTheme="minorHAnsi" w:cs="Arial"/>
          <w:bCs/>
          <w:i/>
          <w:color w:val="000000"/>
          <w:sz w:val="18"/>
          <w:szCs w:val="18"/>
          <w:lang w:val="sl-SI"/>
        </w:rPr>
        <w:t xml:space="preserve">Vir: </w:t>
      </w:r>
      <w:r w:rsidRPr="005771BD">
        <w:rPr>
          <w:rFonts w:eastAsiaTheme="minorHAnsi" w:cs="Arial"/>
          <w:i/>
          <w:color w:val="000000"/>
          <w:sz w:val="18"/>
          <w:szCs w:val="18"/>
          <w:lang w:val="sl-SI"/>
        </w:rPr>
        <w:t>Zbirka podatkov avtomatskih meritev državne mreže za spremljanje kakovosti zraka (DMKZ), Agencija Republike Slovenije za okolje, 2015</w:t>
      </w:r>
    </w:p>
    <w:p w:rsidR="00225F01" w:rsidRPr="005771BD" w:rsidRDefault="00225F01" w:rsidP="00225F01">
      <w:pPr>
        <w:spacing w:after="200" w:line="276" w:lineRule="auto"/>
        <w:rPr>
          <w:rFonts w:eastAsiaTheme="minorHAnsi" w:cs="Arial"/>
          <w:b/>
          <w:szCs w:val="20"/>
          <w:lang w:val="sl-SI"/>
        </w:rPr>
      </w:pPr>
    </w:p>
    <w:p w:rsidR="00225F01" w:rsidRPr="005771BD" w:rsidRDefault="00225F01" w:rsidP="00225F01">
      <w:pPr>
        <w:spacing w:after="200" w:line="276" w:lineRule="auto"/>
        <w:rPr>
          <w:rFonts w:eastAsiaTheme="minorHAnsi" w:cs="Arial"/>
          <w:i/>
          <w:szCs w:val="20"/>
          <w:u w:val="single"/>
          <w:lang w:val="sl-SI"/>
        </w:rPr>
      </w:pPr>
      <w:r w:rsidRPr="005771BD">
        <w:rPr>
          <w:rFonts w:eastAsiaTheme="minorHAnsi" w:cs="Arial"/>
          <w:i/>
          <w:szCs w:val="20"/>
          <w:u w:val="single"/>
          <w:lang w:val="sl-SI"/>
        </w:rPr>
        <w:t>Onesnaženost zraka z benzo(a)pirenom in drugimi onesnaževali</w:t>
      </w:r>
    </w:p>
    <w:p w:rsidR="00225F01" w:rsidRPr="005771BD" w:rsidRDefault="00225F01" w:rsidP="00225F01">
      <w:pPr>
        <w:spacing w:after="200" w:line="276" w:lineRule="auto"/>
        <w:rPr>
          <w:rFonts w:eastAsiaTheme="minorHAnsi" w:cs="Arial"/>
          <w:bCs/>
          <w:i/>
          <w:szCs w:val="20"/>
          <w:u w:val="single"/>
          <w:lang w:val="sl-SI"/>
        </w:rPr>
      </w:pPr>
      <w:r w:rsidRPr="005771BD">
        <w:rPr>
          <w:rFonts w:eastAsiaTheme="minorHAnsi" w:cs="Arial"/>
          <w:bCs/>
          <w:i/>
          <w:szCs w:val="20"/>
          <w:u w:val="single"/>
          <w:lang w:val="sl-SI"/>
        </w:rPr>
        <w:t xml:space="preserve"> Benzo(a)piren</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 xml:space="preserve">Onesnaženost zraka z benzo(a)pirenom v obdobju 2008–2015 blago narašča in je nad ciljno vrednostjo na izpostavljenih merilnih mestih. Po onesnaženosti zraka z benzo(a)pirenom je Slovenija nekoliko nad povprečjem držav Evropske unije. </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Najvišje koncentracije benzo(a)pirena so izmerjene v hladnejšem obdobju leta. Takrat so izpusti večji, dodatno pa so za hladno obdobje leta značilne tudi neugodne vremenske razmere. Poleti so koncentracije na vseh merilnih lokacijah znatno nižje.</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Benzo(a)piren (BaP) je rakotvorno onesnaževalo, ki spada v skupino policikličnih aromatskih ogljikovodikov (PAH). Glavni vir so izpusti iz zastarelih malih kurilnih naprav v gospodinjstvih na trdna goriva (npr. les), za katere so značilni slabši proces zgorevanja, slab energetski izkoristek ter visoki izpusti delcev in organskih spojin. Pomemben vir benzo(a)pirena je tudi promet, zlasti vozila na dizelski pogon.</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 xml:space="preserve">Benzo(a)piren (BaP) je znan povzročitelj raka pri ljudeh, zato se uporablja tudi kot pokazatelj izpostavljenosti drugih škodljivih policikličnih aromatskih ogljikovodikov (PAH). Benzo(a)piren – poleg tega, da je rakotvoren, draži oči, nos, grlo in bronhije. </w:t>
      </w:r>
    </w:p>
    <w:p w:rsidR="00225F01" w:rsidRPr="005771BD" w:rsidRDefault="00225F01" w:rsidP="00225F01">
      <w:pPr>
        <w:spacing w:after="200" w:line="276" w:lineRule="auto"/>
        <w:jc w:val="both"/>
        <w:rPr>
          <w:rFonts w:eastAsiaTheme="minorHAnsi" w:cs="Arial"/>
          <w:b/>
          <w:szCs w:val="20"/>
          <w:u w:val="single"/>
          <w:lang w:val="sl-SI"/>
        </w:rPr>
      </w:pPr>
      <w:r w:rsidRPr="005771BD">
        <w:rPr>
          <w:rFonts w:eastAsiaTheme="minorHAnsi" w:cs="Arial"/>
          <w:szCs w:val="20"/>
          <w:lang w:val="sl-SI"/>
        </w:rPr>
        <w:t>Onesnaževanje z benzo(a)pirenom postaja problem, saj so se izpusti benzo(a)pirena v EU med letoma 2002 in 2011 povečali za 11 %.</w:t>
      </w:r>
    </w:p>
    <w:p w:rsidR="00225F01" w:rsidRPr="005771BD" w:rsidRDefault="00225F01" w:rsidP="00225F01">
      <w:pPr>
        <w:spacing w:after="200" w:line="276" w:lineRule="auto"/>
        <w:jc w:val="both"/>
        <w:rPr>
          <w:rFonts w:eastAsiaTheme="minorHAnsi" w:cs="Arial"/>
          <w:noProof/>
          <w:szCs w:val="20"/>
          <w:lang w:val="sl-SI" w:eastAsia="sl-SI"/>
        </w:rPr>
      </w:pPr>
      <w:r w:rsidRPr="007F272F">
        <w:rPr>
          <w:rFonts w:eastAsiaTheme="minorHAnsi" w:cs="Arial"/>
          <w:noProof/>
          <w:szCs w:val="20"/>
          <w:lang w:val="sl-SI" w:eastAsia="sl-SI"/>
        </w:rPr>
        <w:drawing>
          <wp:inline distT="0" distB="0" distL="0" distR="0" wp14:anchorId="4F4F7949" wp14:editId="36ECC2A8">
            <wp:extent cx="5937885" cy="2767965"/>
            <wp:effectExtent l="0" t="0" r="5715" b="0"/>
            <wp:docPr id="527" name="Slika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37885" cy="2767965"/>
                    </a:xfrm>
                    <a:prstGeom prst="rect">
                      <a:avLst/>
                    </a:prstGeom>
                    <a:noFill/>
                  </pic:spPr>
                </pic:pic>
              </a:graphicData>
            </a:graphic>
          </wp:inline>
        </w:drawing>
      </w:r>
    </w:p>
    <w:p w:rsidR="00225F01" w:rsidRPr="005771BD" w:rsidRDefault="00225F01" w:rsidP="00225F01">
      <w:pPr>
        <w:spacing w:line="276" w:lineRule="auto"/>
        <w:rPr>
          <w:rFonts w:eastAsiaTheme="minorHAnsi" w:cs="Arial"/>
          <w:i/>
          <w:szCs w:val="20"/>
          <w:u w:val="single"/>
          <w:lang w:val="sl-SI"/>
        </w:rPr>
      </w:pPr>
      <w:r w:rsidRPr="005771BD">
        <w:rPr>
          <w:rFonts w:cs="Arial"/>
          <w:i/>
          <w:color w:val="000000"/>
          <w:szCs w:val="20"/>
          <w:lang w:val="sl-SI" w:eastAsia="sl-SI"/>
        </w:rPr>
        <w:t xml:space="preserve">Slika </w:t>
      </w:r>
      <w:r w:rsidR="00044E8C">
        <w:rPr>
          <w:rFonts w:cs="Arial"/>
          <w:i/>
          <w:color w:val="000000"/>
          <w:szCs w:val="20"/>
          <w:lang w:val="sl-SI" w:eastAsia="sl-SI"/>
        </w:rPr>
        <w:t>6</w:t>
      </w:r>
      <w:r w:rsidRPr="005771BD">
        <w:rPr>
          <w:rFonts w:cs="Arial"/>
          <w:i/>
          <w:color w:val="000000"/>
          <w:szCs w:val="20"/>
          <w:lang w:val="sl-SI" w:eastAsia="sl-SI"/>
        </w:rPr>
        <w:t xml:space="preserve">.21: </w:t>
      </w:r>
      <w:r w:rsidRPr="005771BD">
        <w:rPr>
          <w:rFonts w:eastAsiaTheme="minorHAnsi" w:cs="Arial"/>
          <w:bCs/>
          <w:i/>
          <w:szCs w:val="20"/>
          <w:lang w:val="sl-SI"/>
        </w:rPr>
        <w:t>Povprečne letne koncentracije benzo(a)pirena v zunanjem zraku na izbranih merilnih mestih, 2008–2012</w:t>
      </w:r>
    </w:p>
    <w:p w:rsidR="00225F01" w:rsidRPr="005771BD" w:rsidRDefault="00225F01" w:rsidP="00225F01">
      <w:pPr>
        <w:spacing w:after="360" w:line="276" w:lineRule="auto"/>
        <w:jc w:val="both"/>
        <w:rPr>
          <w:rFonts w:eastAsiaTheme="minorHAnsi" w:cs="Arial"/>
          <w:i/>
          <w:sz w:val="18"/>
          <w:szCs w:val="18"/>
          <w:lang w:val="sl-SI"/>
        </w:rPr>
      </w:pPr>
      <w:r w:rsidRPr="005771BD">
        <w:rPr>
          <w:rFonts w:eastAsiaTheme="minorHAnsi" w:cs="Arial"/>
          <w:bCs/>
          <w:i/>
          <w:sz w:val="18"/>
          <w:szCs w:val="18"/>
          <w:lang w:val="sl-SI"/>
        </w:rPr>
        <w:t>Vir:</w:t>
      </w:r>
      <w:r w:rsidRPr="005771BD">
        <w:rPr>
          <w:rFonts w:eastAsiaTheme="minorHAnsi" w:cs="Arial"/>
          <w:i/>
          <w:sz w:val="18"/>
          <w:szCs w:val="18"/>
          <w:lang w:val="sl-SI"/>
        </w:rPr>
        <w:t xml:space="preserve"> Zbirka podatkov meritev državne mreže za spremljanje kakovosti zraka (DMKZ), Agencija RS za okolje in zbirka podatkov dopolnilnih samodejnih merilnih mrež (TE Šoštanj, TE Trbovlje, TE-TO Ljubljana, EIS Anhovo, MO Ljubljana). </w:t>
      </w:r>
    </w:p>
    <w:p w:rsidR="00225F01" w:rsidRPr="005771BD" w:rsidRDefault="00225F01" w:rsidP="00225F01">
      <w:pPr>
        <w:spacing w:after="200" w:line="276" w:lineRule="auto"/>
        <w:jc w:val="both"/>
        <w:rPr>
          <w:rFonts w:eastAsiaTheme="minorHAnsi" w:cs="Arial"/>
          <w:i/>
          <w:szCs w:val="20"/>
          <w:u w:val="single"/>
          <w:lang w:val="sl-SI"/>
        </w:rPr>
      </w:pPr>
      <w:r w:rsidRPr="005771BD">
        <w:rPr>
          <w:rFonts w:eastAsiaTheme="minorHAnsi" w:cs="Arial"/>
          <w:i/>
          <w:szCs w:val="20"/>
          <w:u w:val="single"/>
          <w:lang w:val="sl-SI"/>
        </w:rPr>
        <w:t xml:space="preserve">Benzen in ogljikov monoksid (CO) </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 xml:space="preserve">Ravni benzena in ogljikovega monoksida so pod mejnimi oziroma ciljnimi vrednostmi. Povprečna letna raven benzena na merilnem mestu mestnega ozadja Ljubljana Bežigrad in na prometnem merilnem mestu Maribor Center je v letu 2014 znašala manj kot tretjino mejne vrednosti. Najvišja izmerjena raven ogljikovega monoksida se na nobenem merilnem mestu ni približala mejni vrednosti. </w:t>
      </w:r>
    </w:p>
    <w:p w:rsidR="00225F01" w:rsidRPr="005771BD" w:rsidRDefault="00225F01" w:rsidP="00225F01">
      <w:pPr>
        <w:spacing w:after="200" w:line="276" w:lineRule="auto"/>
        <w:jc w:val="both"/>
        <w:rPr>
          <w:rFonts w:eastAsiaTheme="minorHAnsi" w:cs="Arial"/>
          <w:szCs w:val="20"/>
          <w:u w:val="single"/>
          <w:lang w:val="sl-SI"/>
        </w:rPr>
      </w:pPr>
      <w:r w:rsidRPr="005771BD">
        <w:rPr>
          <w:rFonts w:eastAsiaTheme="minorHAnsi" w:cs="Arial"/>
          <w:i/>
          <w:szCs w:val="20"/>
          <w:u w:val="single"/>
          <w:lang w:val="sl-SI"/>
        </w:rPr>
        <w:t>Težke kovine</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Izmerjene ravni težkih kovin (arzena, kadmija, niklja in svinca) v PM</w:t>
      </w:r>
      <w:r w:rsidRPr="005771BD">
        <w:rPr>
          <w:rFonts w:eastAsiaTheme="minorHAnsi" w:cs="Arial"/>
          <w:szCs w:val="20"/>
          <w:vertAlign w:val="subscript"/>
          <w:lang w:val="sl-SI"/>
        </w:rPr>
        <w:t>10</w:t>
      </w:r>
      <w:r w:rsidRPr="005771BD">
        <w:rPr>
          <w:rFonts w:eastAsiaTheme="minorHAnsi" w:cs="Arial"/>
          <w:szCs w:val="20"/>
          <w:lang w:val="sl-SI"/>
        </w:rPr>
        <w:t xml:space="preserve"> so pod mejnimi oziroma ciljnimi vrednostmi</w:t>
      </w:r>
      <w:r w:rsidR="00CC6664">
        <w:rPr>
          <w:rFonts w:eastAsiaTheme="minorHAnsi" w:cs="Arial"/>
          <w:szCs w:val="20"/>
          <w:lang w:val="sl-SI"/>
        </w:rPr>
        <w:t>.</w:t>
      </w:r>
      <w:r w:rsidRPr="005771BD">
        <w:rPr>
          <w:rFonts w:eastAsiaTheme="minorHAnsi" w:cs="Arial"/>
          <w:szCs w:val="20"/>
          <w:lang w:val="sl-SI"/>
        </w:rPr>
        <w:t xml:space="preserve"> </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V zgornji Mežiški dolini poteka vzorčenje delcev PM</w:t>
      </w:r>
      <w:r w:rsidRPr="005771BD">
        <w:rPr>
          <w:rFonts w:eastAsiaTheme="minorHAnsi" w:cs="Arial"/>
          <w:szCs w:val="20"/>
          <w:vertAlign w:val="subscript"/>
          <w:lang w:val="sl-SI"/>
        </w:rPr>
        <w:t>10</w:t>
      </w:r>
      <w:r w:rsidRPr="005771BD">
        <w:rPr>
          <w:rFonts w:eastAsiaTheme="minorHAnsi" w:cs="Arial"/>
          <w:szCs w:val="20"/>
          <w:lang w:val="sl-SI"/>
        </w:rPr>
        <w:t xml:space="preserve"> in nato njihova kemijska analiza na težke kovine: svinec, arzen, kadmij in nikelj s prekinitvami od leta 2007. Povprečne koncentracije svinca na merilnem mestu Žerjav so se od leta 2007 do 2010 zmanjšale, so pa v primerjavi z drugimi merilnimi mesti po Sloveniji še vedno izjemno visoke. Enako velja tudi za arzen. Koncentracije kadmija so se v Žerjavu v letu 2009 zmanjšale, nato v letu 2010 znova povišale in so tako kot koncentracije arzena in svinca v primerjavi z drugimi merilnimi mesti po Sloveniji veliko višje.</w:t>
      </w:r>
    </w:p>
    <w:p w:rsidR="00225F01" w:rsidRPr="005771BD" w:rsidRDefault="00225F01" w:rsidP="00225F01">
      <w:pPr>
        <w:spacing w:after="200" w:line="276" w:lineRule="auto"/>
        <w:jc w:val="both"/>
        <w:rPr>
          <w:rFonts w:eastAsiaTheme="minorHAnsi" w:cs="Arial"/>
          <w:szCs w:val="20"/>
          <w:lang w:val="sl-SI"/>
        </w:rPr>
      </w:pPr>
    </w:p>
    <w:p w:rsidR="00225F01" w:rsidRPr="005771BD" w:rsidRDefault="00225F01" w:rsidP="00225F01">
      <w:pPr>
        <w:spacing w:after="200" w:line="276" w:lineRule="auto"/>
        <w:ind w:left="-426"/>
        <w:jc w:val="both"/>
        <w:rPr>
          <w:rFonts w:eastAsiaTheme="minorHAnsi" w:cs="Arial"/>
          <w:szCs w:val="20"/>
          <w:lang w:val="sl-SI"/>
        </w:rPr>
      </w:pPr>
      <w:r w:rsidRPr="007F272F">
        <w:rPr>
          <w:rFonts w:eastAsiaTheme="minorHAnsi" w:cs="Arial"/>
          <w:noProof/>
          <w:szCs w:val="20"/>
          <w:lang w:val="sl-SI" w:eastAsia="sl-SI"/>
        </w:rPr>
        <w:drawing>
          <wp:inline distT="0" distB="0" distL="0" distR="0" wp14:anchorId="33F47868" wp14:editId="44BBEB4C">
            <wp:extent cx="6640933" cy="3800475"/>
            <wp:effectExtent l="0" t="0" r="7620" b="0"/>
            <wp:docPr id="528" name="Slika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6646890" cy="3803884"/>
                    </a:xfrm>
                    <a:prstGeom prst="rect">
                      <a:avLst/>
                    </a:prstGeom>
                  </pic:spPr>
                </pic:pic>
              </a:graphicData>
            </a:graphic>
          </wp:inline>
        </w:drawing>
      </w:r>
    </w:p>
    <w:p w:rsidR="00225F01" w:rsidRPr="005771BD" w:rsidRDefault="00225F01" w:rsidP="00225F01">
      <w:pPr>
        <w:spacing w:line="276" w:lineRule="auto"/>
        <w:rPr>
          <w:rFonts w:eastAsiaTheme="minorHAnsi" w:cs="Arial"/>
          <w:i/>
          <w:szCs w:val="20"/>
          <w:lang w:val="sl-SI"/>
        </w:rPr>
      </w:pPr>
      <w:r w:rsidRPr="005771BD">
        <w:rPr>
          <w:rFonts w:cs="Arial"/>
          <w:i/>
          <w:color w:val="000000"/>
          <w:szCs w:val="20"/>
          <w:lang w:val="sl-SI" w:eastAsia="sl-SI"/>
        </w:rPr>
        <w:t xml:space="preserve">Slika </w:t>
      </w:r>
      <w:r w:rsidR="00044E8C">
        <w:rPr>
          <w:rFonts w:cs="Arial"/>
          <w:i/>
          <w:color w:val="000000"/>
          <w:szCs w:val="20"/>
          <w:lang w:val="sl-SI" w:eastAsia="sl-SI"/>
        </w:rPr>
        <w:t>6</w:t>
      </w:r>
      <w:r w:rsidRPr="005771BD">
        <w:rPr>
          <w:rFonts w:cs="Arial"/>
          <w:i/>
          <w:color w:val="000000"/>
          <w:szCs w:val="20"/>
          <w:lang w:val="sl-SI" w:eastAsia="sl-SI"/>
        </w:rPr>
        <w:t xml:space="preserve">.22: </w:t>
      </w:r>
      <w:r w:rsidRPr="005771BD">
        <w:rPr>
          <w:rFonts w:eastAsiaTheme="minorHAnsi" w:cs="Arial"/>
          <w:i/>
          <w:szCs w:val="20"/>
          <w:lang w:val="sl-SI"/>
        </w:rPr>
        <w:t>Povprečne koncentracije težkih kovin v različnih obdobjih na merilnem mestu Žerjav in v letu 2010 na drugih merilnih mestih po Sloveniji</w:t>
      </w:r>
    </w:p>
    <w:p w:rsidR="00225F01" w:rsidRPr="005771BD" w:rsidRDefault="00225F01" w:rsidP="00225F01">
      <w:pPr>
        <w:spacing w:after="200" w:line="276" w:lineRule="auto"/>
        <w:jc w:val="both"/>
        <w:rPr>
          <w:rFonts w:eastAsiaTheme="minorHAnsi" w:cs="Arial"/>
          <w:i/>
          <w:sz w:val="18"/>
          <w:szCs w:val="18"/>
          <w:lang w:val="sl-SI"/>
        </w:rPr>
      </w:pPr>
      <w:r w:rsidRPr="005771BD">
        <w:rPr>
          <w:rFonts w:eastAsiaTheme="minorHAnsi" w:cs="Arial"/>
          <w:bCs/>
          <w:i/>
          <w:sz w:val="18"/>
          <w:szCs w:val="18"/>
          <w:lang w:val="sl-SI"/>
        </w:rPr>
        <w:t>Vir:</w:t>
      </w:r>
      <w:r w:rsidRPr="005771BD">
        <w:rPr>
          <w:rFonts w:eastAsiaTheme="minorHAnsi" w:cs="Arial"/>
          <w:i/>
          <w:sz w:val="18"/>
          <w:szCs w:val="18"/>
          <w:lang w:val="sl-SI"/>
        </w:rPr>
        <w:t xml:space="preserve"> Zbirka podatkov meritev državne mreže za spremljanje kakovosti zraka (DMKZ), Agencija RS za okolje in zbirka podatkov dopolnilnih samodejnih merilnih mrež (TE Šoštanj, TE Trbovlje, TE-TO Ljubljana, EIS Anhovo, MO Ljubljana). </w:t>
      </w:r>
    </w:p>
    <w:p w:rsidR="00225F01" w:rsidRPr="005771BD" w:rsidRDefault="00225F01" w:rsidP="00225F01">
      <w:pPr>
        <w:spacing w:after="200" w:line="276" w:lineRule="auto"/>
        <w:jc w:val="both"/>
        <w:rPr>
          <w:rFonts w:eastAsiaTheme="minorHAnsi" w:cs="Arial"/>
          <w:szCs w:val="20"/>
          <w:lang w:val="sl-SI"/>
        </w:rPr>
      </w:pPr>
    </w:p>
    <w:p w:rsidR="00225F01" w:rsidRPr="005771BD" w:rsidRDefault="00044E8C" w:rsidP="00225F01">
      <w:pPr>
        <w:spacing w:after="200" w:line="276" w:lineRule="auto"/>
        <w:jc w:val="both"/>
        <w:rPr>
          <w:rFonts w:eastAsiaTheme="minorHAnsi" w:cs="Arial"/>
          <w:b/>
          <w:szCs w:val="20"/>
          <w:u w:val="single"/>
          <w:lang w:val="sl-SI"/>
        </w:rPr>
      </w:pPr>
      <w:r>
        <w:rPr>
          <w:rFonts w:eastAsiaTheme="minorHAnsi" w:cs="Arial"/>
          <w:b/>
          <w:szCs w:val="20"/>
          <w:u w:val="single"/>
          <w:lang w:val="sl-SI"/>
        </w:rPr>
        <w:t>6</w:t>
      </w:r>
      <w:r w:rsidR="00225F01" w:rsidRPr="005771BD">
        <w:rPr>
          <w:rFonts w:eastAsiaTheme="minorHAnsi" w:cs="Arial"/>
          <w:b/>
          <w:szCs w:val="20"/>
          <w:u w:val="single"/>
          <w:lang w:val="sl-SI"/>
        </w:rPr>
        <w:t xml:space="preserve">.3 Povzročitelji in razlogi </w:t>
      </w:r>
    </w:p>
    <w:p w:rsidR="00225F01" w:rsidRPr="005771BD" w:rsidRDefault="00044E8C" w:rsidP="00225F01">
      <w:pPr>
        <w:spacing w:after="200" w:line="276" w:lineRule="auto"/>
        <w:rPr>
          <w:rFonts w:eastAsiaTheme="minorHAnsi" w:cs="Arial"/>
          <w:b/>
          <w:szCs w:val="20"/>
          <w:lang w:val="sl-SI"/>
        </w:rPr>
      </w:pPr>
      <w:r>
        <w:rPr>
          <w:rFonts w:eastAsiaTheme="minorHAnsi" w:cs="Arial"/>
          <w:b/>
          <w:szCs w:val="20"/>
          <w:lang w:val="sl-SI"/>
        </w:rPr>
        <w:t>6</w:t>
      </w:r>
      <w:r w:rsidR="00225F01" w:rsidRPr="005771BD">
        <w:rPr>
          <w:rFonts w:eastAsiaTheme="minorHAnsi" w:cs="Arial"/>
          <w:b/>
          <w:szCs w:val="20"/>
          <w:lang w:val="sl-SI"/>
        </w:rPr>
        <w:t xml:space="preserve">.3.1 Male kurilne naprave </w:t>
      </w:r>
    </w:p>
    <w:p w:rsidR="00225F01" w:rsidRPr="005771BD" w:rsidRDefault="00225F01" w:rsidP="00225F01">
      <w:pPr>
        <w:spacing w:after="200" w:line="276" w:lineRule="auto"/>
        <w:jc w:val="both"/>
        <w:rPr>
          <w:rFonts w:eastAsiaTheme="minorHAnsi" w:cs="Arial"/>
          <w:b/>
          <w:szCs w:val="20"/>
          <w:u w:val="single"/>
          <w:lang w:val="sl-SI"/>
        </w:rPr>
      </w:pPr>
      <w:r w:rsidRPr="005771BD">
        <w:rPr>
          <w:rFonts w:eastAsiaTheme="minorHAnsi" w:cs="Arial"/>
          <w:szCs w:val="20"/>
          <w:lang w:val="sl-SI"/>
        </w:rPr>
        <w:t>Les se velikokrat napačno obravnava kot brezpogojno ekološko gorivo, saj je obnovljivi vir energije (kurjenje lesa se spodbuja kot ukrep proti podnebnim spremembam), vendar se pri tem pogosto pozablja, da je tudi vir emisij onesnaževal zraka, ki zelo negativno vplivajo na zdravje ljudi: delci, benzen, policiklični aromatski ogljikovodiki (PAH), formaldehid, dioksini, ogljikov monoksid, itd.</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Male kurilne naprave na les, ki se uporabljajo za ogrevanje v gospodinjstvih, so najpomembnejši vir primarnih delcev, saj so leta 2014 predstavljale 63 % celotnih emisij delcev PM</w:t>
      </w:r>
      <w:r w:rsidRPr="005771BD">
        <w:rPr>
          <w:rFonts w:eastAsiaTheme="minorHAnsi" w:cs="Arial"/>
          <w:szCs w:val="20"/>
          <w:vertAlign w:val="subscript"/>
          <w:lang w:val="sl-SI"/>
        </w:rPr>
        <w:t>2,5</w:t>
      </w:r>
      <w:r w:rsidRPr="005771BD">
        <w:rPr>
          <w:rFonts w:eastAsiaTheme="minorHAnsi" w:cs="Arial"/>
          <w:szCs w:val="20"/>
          <w:lang w:val="sl-SI"/>
        </w:rPr>
        <w:t>. Zlasti so problematične enostavnejše kurilne naprave, ki temperaturo v kotlu uravnavajo z zapiranjem dotoka zraka v kotel, in lokalne naprave z dotokom zraka iz prostora. V teh napravah prihaja do nepopolnega zgorevanja, posledica česar so veliki izpusti delcev. Z uporabo sodobnejših naprav, ki prek lambda sonde omogočajo učinkovito zgorevanje, in hranilnikov toplote, lokalnih naprav z dovodom zunanjega zraka ter predvsem z boljšim ravnanjem (pri enostavnih kotlih in lokalnih napravah prižig goriva od zgoraj, uporaba kakovostnega goriva – suhih drv, brez odpadkov itd.) se lahko izpusti občutno zmanjšajo.</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Uporaba lesa za ogrevanje se je po letu 2008 občutno povečala, kakor je razvidno iz strukture goriv v gospodinjstvih. To je večinoma posledica izboljšanja statistike, pa tudi zamenjave energentov, zlasti kurilnega olja z lesom, zaradi visokih cen kurilnega olja.</w:t>
      </w:r>
    </w:p>
    <w:p w:rsidR="00225F01" w:rsidRPr="005771BD" w:rsidRDefault="00225F01" w:rsidP="00225F01">
      <w:pPr>
        <w:spacing w:after="200" w:line="276" w:lineRule="auto"/>
        <w:jc w:val="both"/>
        <w:rPr>
          <w:rFonts w:eastAsiaTheme="minorHAnsi" w:cs="Arial"/>
          <w:szCs w:val="20"/>
          <w:lang w:val="sl-SI"/>
        </w:rPr>
      </w:pPr>
      <w:r w:rsidRPr="007F272F">
        <w:rPr>
          <w:rFonts w:eastAsiaTheme="minorHAnsi" w:cs="Arial"/>
          <w:noProof/>
          <w:szCs w:val="20"/>
          <w:lang w:val="sl-SI" w:eastAsia="sl-SI"/>
        </w:rPr>
        <w:drawing>
          <wp:inline distT="0" distB="0" distL="0" distR="0" wp14:anchorId="783EA151" wp14:editId="15BF910C">
            <wp:extent cx="5627370" cy="3505200"/>
            <wp:effectExtent l="0" t="0" r="0" b="0"/>
            <wp:docPr id="529" name="Slika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27370" cy="3505200"/>
                    </a:xfrm>
                    <a:prstGeom prst="rect">
                      <a:avLst/>
                    </a:prstGeom>
                    <a:noFill/>
                  </pic:spPr>
                </pic:pic>
              </a:graphicData>
            </a:graphic>
          </wp:inline>
        </w:drawing>
      </w:r>
    </w:p>
    <w:p w:rsidR="00225F01" w:rsidRPr="005771BD" w:rsidRDefault="00225F01" w:rsidP="00225F01">
      <w:pPr>
        <w:spacing w:line="276" w:lineRule="auto"/>
        <w:jc w:val="both"/>
        <w:rPr>
          <w:rFonts w:eastAsiaTheme="minorHAnsi" w:cs="Arial"/>
          <w:i/>
          <w:szCs w:val="20"/>
          <w:lang w:val="sl-SI"/>
        </w:rPr>
      </w:pPr>
      <w:r w:rsidRPr="005771BD">
        <w:rPr>
          <w:rFonts w:eastAsiaTheme="minorHAnsi" w:cs="Arial"/>
          <w:i/>
          <w:szCs w:val="20"/>
          <w:lang w:val="sl-SI"/>
        </w:rPr>
        <w:t xml:space="preserve">Slika </w:t>
      </w:r>
      <w:r w:rsidR="00044E8C">
        <w:rPr>
          <w:rFonts w:eastAsiaTheme="minorHAnsi" w:cs="Arial"/>
          <w:i/>
          <w:szCs w:val="20"/>
          <w:lang w:val="sl-SI"/>
        </w:rPr>
        <w:t>6</w:t>
      </w:r>
      <w:r w:rsidRPr="005771BD">
        <w:rPr>
          <w:rFonts w:eastAsiaTheme="minorHAnsi" w:cs="Arial"/>
          <w:i/>
          <w:szCs w:val="20"/>
          <w:lang w:val="sl-SI"/>
        </w:rPr>
        <w:t xml:space="preserve">.23: Raba energije v gospodinjstvih po energentih v obdobju 2000–2014. </w:t>
      </w:r>
    </w:p>
    <w:p w:rsidR="00225F01" w:rsidRPr="005771BD" w:rsidRDefault="00225F01" w:rsidP="00225F01">
      <w:pPr>
        <w:spacing w:after="360" w:line="276" w:lineRule="auto"/>
        <w:jc w:val="both"/>
        <w:rPr>
          <w:rFonts w:eastAsiaTheme="minorHAnsi" w:cs="Arial"/>
          <w:i/>
          <w:sz w:val="18"/>
          <w:szCs w:val="18"/>
          <w:lang w:val="sl-SI"/>
        </w:rPr>
      </w:pPr>
      <w:r w:rsidRPr="005771BD">
        <w:rPr>
          <w:rFonts w:eastAsiaTheme="minorHAnsi" w:cs="Arial"/>
          <w:i/>
          <w:sz w:val="18"/>
          <w:szCs w:val="18"/>
          <w:lang w:val="sl-SI"/>
        </w:rPr>
        <w:t>Vir: IJS, 2016.</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Raba lesa se je povečala v učinkovitih sodobnih kotlih, nakup katerih spodbuja tudi Eko sklad (Slovenski okoljski javni sklad) s subvencijami, vendar se je pomembno povečala tudi raba lesa v neučinkovitih kotlih, ki so cenovno mnogo bolj dostopni od sodobnih učinkovitih kotlov</w:t>
      </w:r>
      <w:r>
        <w:rPr>
          <w:rFonts w:eastAsiaTheme="minorHAnsi" w:cs="Arial"/>
          <w:szCs w:val="20"/>
          <w:lang w:val="sl-SI"/>
        </w:rPr>
        <w:t xml:space="preserve"> </w:t>
      </w:r>
      <w:r w:rsidRPr="005771BD">
        <w:rPr>
          <w:rFonts w:eastAsiaTheme="minorHAnsi" w:cs="Arial"/>
          <w:szCs w:val="20"/>
          <w:lang w:val="sl-SI"/>
        </w:rPr>
        <w:t>in ki jih je bilo še  do nedavnega mogoče kupiti na trgu. Problematični so tudi kombinirani kotli, v katerih se lahko uporabljata kurilno olje ali les, ki so še pogosti v gospodinjstvih, in imajo ob uporabi lesa prav tako visoke izpuste.</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 xml:space="preserve">Uredba, ki ureja emisije snovi iz malih kurilnih naprav, določa mejne koncentracije delcev, katerim enostavni kotli ne morejo zadostiti, zato jih gospodinjstva ne bi smela uporabljati, kljub temu da so jih lahko kupila. Za izboljšanje stanja je torej ključna prepoved prodaje neučinkovitih kotlov. </w:t>
      </w:r>
    </w:p>
    <w:p w:rsidR="00225F01" w:rsidRPr="005771BD" w:rsidRDefault="00225F01" w:rsidP="00225F01">
      <w:pPr>
        <w:spacing w:after="200" w:line="276" w:lineRule="auto"/>
        <w:jc w:val="both"/>
        <w:rPr>
          <w:rFonts w:eastAsiaTheme="minorHAnsi" w:cs="Arial"/>
          <w:bCs/>
          <w:i/>
          <w:noProof/>
          <w:szCs w:val="20"/>
          <w:lang w:val="sl-SI"/>
        </w:rPr>
      </w:pPr>
      <w:r w:rsidRPr="005771BD">
        <w:rPr>
          <w:rFonts w:eastAsiaTheme="minorHAnsi" w:cs="Arial"/>
          <w:color w:val="000000"/>
          <w:szCs w:val="20"/>
          <w:lang w:val="sl-SI"/>
        </w:rPr>
        <w:t xml:space="preserve">Leta 2016 je bila sprejeta sprememba </w:t>
      </w:r>
      <w:r w:rsidRPr="005771BD">
        <w:rPr>
          <w:rFonts w:eastAsiaTheme="minorHAnsi" w:cs="Arial"/>
          <w:i/>
          <w:szCs w:val="20"/>
          <w:lang w:val="sl-SI"/>
        </w:rPr>
        <w:t>Uredbe o spremembah in dopolnitvah Uredbe o emisiji snovi v zrak iz malih in srednjih kurilnih naprav (Uradni list RS, št. 50/2016)</w:t>
      </w:r>
      <w:r w:rsidRPr="005771BD">
        <w:rPr>
          <w:rFonts w:eastAsiaTheme="minorHAnsi" w:cs="Arial"/>
          <w:bCs/>
          <w:i/>
          <w:noProof/>
          <w:szCs w:val="20"/>
          <w:lang w:val="sl-SI"/>
        </w:rPr>
        <w:t xml:space="preserve">, </w:t>
      </w:r>
      <w:r w:rsidRPr="005771BD">
        <w:rPr>
          <w:rFonts w:eastAsiaTheme="minorHAnsi" w:cs="Arial"/>
          <w:bCs/>
          <w:noProof/>
          <w:szCs w:val="20"/>
          <w:lang w:val="sl-SI"/>
        </w:rPr>
        <w:t>na podlagi katere je prepovedano dajanje malih kurilnih naprav na trg, ki ne izpolnjujejo mejnih vrednosti izpustov onesnaževal, določenih za posamezno vrsto kurilne naprave.</w:t>
      </w:r>
    </w:p>
    <w:p w:rsidR="00225F01" w:rsidRPr="005771BD" w:rsidRDefault="00225F01" w:rsidP="00044E8C">
      <w:pPr>
        <w:spacing w:after="360" w:line="276" w:lineRule="auto"/>
        <w:jc w:val="both"/>
        <w:rPr>
          <w:rFonts w:eastAsiaTheme="minorHAnsi" w:cs="Arial"/>
          <w:color w:val="000000"/>
          <w:szCs w:val="20"/>
          <w:lang w:val="sl-SI" w:eastAsia="sl-SI"/>
        </w:rPr>
      </w:pPr>
      <w:r w:rsidRPr="005771BD">
        <w:rPr>
          <w:rFonts w:eastAsiaTheme="minorHAnsi" w:cs="Arial"/>
          <w:color w:val="000000"/>
          <w:szCs w:val="20"/>
          <w:lang w:val="sl-SI" w:eastAsia="sl-SI"/>
        </w:rPr>
        <w:t>V pripravi je  predpis, ki bo določal metodologijo meritve emisij prahu iz malih kurilnih naprav na trdna goriva (z nazivno toplotno močjo 4 kW–1 MW). Meritve se bodo izvajale med uporabo kurilne naprave pri uporabniku doma oziroma v obratu. Kurilne naprave, katerih emisije prahu presegajo mejne vrednosti, bodo morale svoje emisije zmanjšati. Za kurilne naprave, ki bodo le malo presegale mejne vrednosti emisij, se bo priporočala vgradnja filtrov. Za kurilne naprave, ki bodo precej presegale mejne vrednosti emisij, pa bo verjetno potrebna zamenjava z novo, sodobnejšo kurilno napravo. To bo predvsem veljalo za male kurilne naprave na trdna goriva, starejše od 20 let.</w:t>
      </w:r>
    </w:p>
    <w:p w:rsidR="00225F01" w:rsidRPr="005771BD" w:rsidRDefault="00044E8C" w:rsidP="00225F01">
      <w:pPr>
        <w:spacing w:after="200" w:line="276" w:lineRule="auto"/>
        <w:rPr>
          <w:rFonts w:eastAsiaTheme="minorHAnsi" w:cs="Arial"/>
          <w:b/>
          <w:szCs w:val="20"/>
          <w:lang w:val="sl-SI"/>
        </w:rPr>
      </w:pPr>
      <w:r>
        <w:rPr>
          <w:rFonts w:eastAsiaTheme="minorHAnsi" w:cs="Arial"/>
          <w:b/>
          <w:szCs w:val="20"/>
          <w:lang w:val="sl-SI"/>
        </w:rPr>
        <w:t>6</w:t>
      </w:r>
      <w:r w:rsidR="00225F01" w:rsidRPr="005771BD">
        <w:rPr>
          <w:rFonts w:eastAsiaTheme="minorHAnsi" w:cs="Arial"/>
          <w:b/>
          <w:szCs w:val="20"/>
          <w:lang w:val="sl-SI"/>
        </w:rPr>
        <w:t>.3.2 Kmetijstvo</w:t>
      </w:r>
    </w:p>
    <w:p w:rsidR="00225F01" w:rsidRPr="005771BD" w:rsidRDefault="00225F01" w:rsidP="00225F01">
      <w:pPr>
        <w:spacing w:after="200" w:line="276" w:lineRule="auto"/>
        <w:jc w:val="both"/>
        <w:rPr>
          <w:rFonts w:eastAsiaTheme="minorHAnsi" w:cs="Arial"/>
          <w:bCs/>
          <w:color w:val="000000" w:themeColor="text1"/>
          <w:szCs w:val="20"/>
          <w:shd w:val="clear" w:color="auto" w:fill="FFFFFF"/>
          <w:lang w:val="sl-SI"/>
        </w:rPr>
      </w:pPr>
      <w:r w:rsidRPr="005771BD">
        <w:rPr>
          <w:rFonts w:eastAsiaTheme="minorHAnsi" w:cs="Arial"/>
          <w:color w:val="000000" w:themeColor="text1"/>
          <w:szCs w:val="20"/>
          <w:shd w:val="clear" w:color="auto" w:fill="FFFFFF"/>
          <w:lang w:val="sl-SI"/>
        </w:rPr>
        <w:t>Kmetijska dejavnost je prav tako vir onesnaževanja zunanjega zraka, predvsem z amonijakom (NH</w:t>
      </w:r>
      <w:r w:rsidRPr="005771BD">
        <w:rPr>
          <w:rFonts w:eastAsiaTheme="minorHAnsi" w:cs="Arial"/>
          <w:color w:val="000000" w:themeColor="text1"/>
          <w:szCs w:val="20"/>
          <w:shd w:val="clear" w:color="auto" w:fill="FFFFFF"/>
          <w:vertAlign w:val="subscript"/>
          <w:lang w:val="sl-SI"/>
        </w:rPr>
        <w:t>3</w:t>
      </w:r>
      <w:r w:rsidRPr="005771BD">
        <w:rPr>
          <w:rFonts w:eastAsiaTheme="minorHAnsi" w:cs="Arial"/>
          <w:color w:val="000000" w:themeColor="text1"/>
          <w:szCs w:val="20"/>
          <w:shd w:val="clear" w:color="auto" w:fill="FFFFFF"/>
          <w:lang w:val="sl-SI"/>
        </w:rPr>
        <w:t>) in primarnimi delci PM</w:t>
      </w:r>
      <w:r w:rsidRPr="005771BD">
        <w:rPr>
          <w:rFonts w:eastAsiaTheme="minorHAnsi" w:cs="Arial"/>
          <w:color w:val="000000" w:themeColor="text1"/>
          <w:szCs w:val="20"/>
          <w:shd w:val="clear" w:color="auto" w:fill="FFFFFF"/>
          <w:vertAlign w:val="subscript"/>
          <w:lang w:val="sl-SI"/>
        </w:rPr>
        <w:t>2,5</w:t>
      </w:r>
      <w:r w:rsidRPr="005771BD">
        <w:rPr>
          <w:rFonts w:eastAsiaTheme="minorHAnsi" w:cs="Arial"/>
          <w:color w:val="000000" w:themeColor="text1"/>
          <w:szCs w:val="20"/>
          <w:shd w:val="clear" w:color="auto" w:fill="FFFFFF"/>
          <w:lang w:val="sl-SI"/>
        </w:rPr>
        <w:t>.</w:t>
      </w:r>
      <w:r w:rsidRPr="005771BD">
        <w:rPr>
          <w:rFonts w:eastAsiaTheme="minorHAnsi" w:cs="Arial"/>
          <w:b/>
          <w:color w:val="000000" w:themeColor="text1"/>
          <w:szCs w:val="20"/>
          <w:shd w:val="clear" w:color="auto" w:fill="FFFFFF"/>
          <w:lang w:val="sl-SI"/>
        </w:rPr>
        <w:t xml:space="preserve"> </w:t>
      </w:r>
      <w:r w:rsidRPr="005771BD">
        <w:rPr>
          <w:rFonts w:eastAsiaTheme="minorHAnsi" w:cs="Arial"/>
          <w:b/>
          <w:bCs/>
          <w:color w:val="000000" w:themeColor="text1"/>
          <w:szCs w:val="20"/>
          <w:shd w:val="clear" w:color="auto" w:fill="FFFFFF"/>
          <w:lang w:val="sl-SI"/>
        </w:rPr>
        <w:t> </w:t>
      </w:r>
      <w:r w:rsidRPr="005771BD">
        <w:rPr>
          <w:rFonts w:eastAsiaTheme="minorHAnsi" w:cs="Arial"/>
          <w:bCs/>
          <w:color w:val="000000" w:themeColor="text1"/>
          <w:szCs w:val="20"/>
          <w:shd w:val="clear" w:color="auto" w:fill="FFFFFF"/>
          <w:lang w:val="sl-SI"/>
        </w:rPr>
        <w:t>Kmetijstvo je daleč največji vir emisij amonijaka (NH</w:t>
      </w:r>
      <w:r w:rsidRPr="005771BD">
        <w:rPr>
          <w:rFonts w:eastAsiaTheme="minorHAnsi" w:cs="Arial"/>
          <w:bCs/>
          <w:color w:val="000000" w:themeColor="text1"/>
          <w:szCs w:val="20"/>
          <w:shd w:val="clear" w:color="auto" w:fill="FFFFFF"/>
          <w:vertAlign w:val="subscript"/>
          <w:lang w:val="sl-SI"/>
        </w:rPr>
        <w:t>3</w:t>
      </w:r>
      <w:r w:rsidRPr="005771BD">
        <w:rPr>
          <w:rFonts w:eastAsiaTheme="minorHAnsi" w:cs="Arial"/>
          <w:bCs/>
          <w:color w:val="000000" w:themeColor="text1"/>
          <w:szCs w:val="20"/>
          <w:shd w:val="clear" w:color="auto" w:fill="FFFFFF"/>
          <w:lang w:val="sl-SI"/>
        </w:rPr>
        <w:t>), saj je delež emisij tega sektorja več kot 95 odstotkov skupnih emisij v državi v posameznem letu.</w:t>
      </w:r>
    </w:p>
    <w:p w:rsidR="00225F01" w:rsidRPr="005771BD" w:rsidRDefault="00225F01" w:rsidP="00225F01">
      <w:pPr>
        <w:spacing w:after="200" w:line="276" w:lineRule="auto"/>
        <w:jc w:val="both"/>
        <w:rPr>
          <w:rFonts w:eastAsiaTheme="minorHAnsi" w:cs="Arial"/>
          <w:color w:val="000000" w:themeColor="text1"/>
          <w:szCs w:val="20"/>
          <w:u w:val="single"/>
          <w:lang w:val="sl-SI"/>
        </w:rPr>
      </w:pPr>
      <w:r w:rsidRPr="005771BD">
        <w:rPr>
          <w:rFonts w:eastAsiaTheme="minorHAnsi" w:cs="Arial"/>
          <w:color w:val="000000" w:themeColor="text1"/>
          <w:szCs w:val="20"/>
          <w:shd w:val="clear" w:color="auto" w:fill="FFFFFF"/>
          <w:lang w:val="sl-SI"/>
        </w:rPr>
        <w:t>Amonijak (NH</w:t>
      </w:r>
      <w:r w:rsidRPr="005771BD">
        <w:rPr>
          <w:rFonts w:eastAsiaTheme="minorHAnsi" w:cs="Arial"/>
          <w:color w:val="000000" w:themeColor="text1"/>
          <w:szCs w:val="20"/>
          <w:shd w:val="clear" w:color="auto" w:fill="FFFFFF"/>
          <w:vertAlign w:val="subscript"/>
          <w:lang w:val="sl-SI"/>
        </w:rPr>
        <w:t>3</w:t>
      </w:r>
      <w:r w:rsidRPr="005771BD">
        <w:rPr>
          <w:rFonts w:eastAsiaTheme="minorHAnsi" w:cs="Arial"/>
          <w:color w:val="000000" w:themeColor="text1"/>
          <w:szCs w:val="20"/>
          <w:shd w:val="clear" w:color="auto" w:fill="FFFFFF"/>
          <w:lang w:val="sl-SI"/>
        </w:rPr>
        <w:t>) je predhodnik sekundarnih delcev PM</w:t>
      </w:r>
      <w:r w:rsidRPr="005771BD">
        <w:rPr>
          <w:rFonts w:eastAsiaTheme="minorHAnsi" w:cs="Arial"/>
          <w:color w:val="000000" w:themeColor="text1"/>
          <w:szCs w:val="20"/>
          <w:shd w:val="clear" w:color="auto" w:fill="FFFFFF"/>
          <w:vertAlign w:val="subscript"/>
          <w:lang w:val="sl-SI"/>
        </w:rPr>
        <w:t>2,5</w:t>
      </w:r>
      <w:r w:rsidRPr="005771BD">
        <w:rPr>
          <w:rFonts w:eastAsiaTheme="minorHAnsi" w:cs="Arial"/>
          <w:color w:val="000000" w:themeColor="text1"/>
          <w:szCs w:val="20"/>
          <w:shd w:val="clear" w:color="auto" w:fill="FFFFFF"/>
          <w:lang w:val="sl-SI"/>
        </w:rPr>
        <w:t> in PM</w:t>
      </w:r>
      <w:r w:rsidRPr="005771BD">
        <w:rPr>
          <w:rFonts w:eastAsiaTheme="minorHAnsi" w:cs="Arial"/>
          <w:color w:val="000000" w:themeColor="text1"/>
          <w:szCs w:val="20"/>
          <w:shd w:val="clear" w:color="auto" w:fill="FFFFFF"/>
          <w:vertAlign w:val="subscript"/>
          <w:lang w:val="sl-SI"/>
        </w:rPr>
        <w:t>10</w:t>
      </w:r>
      <w:r w:rsidRPr="005771BD">
        <w:rPr>
          <w:rFonts w:eastAsiaTheme="minorHAnsi" w:cs="Arial"/>
          <w:color w:val="000000" w:themeColor="text1"/>
          <w:szCs w:val="20"/>
          <w:shd w:val="clear" w:color="auto" w:fill="FFFFFF"/>
          <w:lang w:val="sl-SI"/>
        </w:rPr>
        <w:t>, ki sta onesnaževali zunanjega zraka s številnimi škodljivimi učinki na zdravje ljudi. Odlaganje amonijaka lahko povzroča zakisljevanje tal in evtrofikacijo naravnih vodnih in kopenskih ekosistemov kar ima lahko za posledico izgubo biotske raznovrstnosti.</w:t>
      </w:r>
    </w:p>
    <w:p w:rsidR="00225F01" w:rsidRPr="005771BD" w:rsidRDefault="00225F01" w:rsidP="00225F01">
      <w:pPr>
        <w:spacing w:before="100" w:beforeAutospacing="1" w:after="200" w:line="276" w:lineRule="auto"/>
        <w:jc w:val="both"/>
        <w:rPr>
          <w:rFonts w:cs="Arial"/>
          <w:szCs w:val="20"/>
          <w:lang w:val="sl-SI" w:eastAsia="sl-SI"/>
        </w:rPr>
      </w:pPr>
      <w:r w:rsidRPr="005771BD">
        <w:rPr>
          <w:rFonts w:cs="Arial"/>
          <w:szCs w:val="20"/>
          <w:lang w:val="sl-SI" w:eastAsia="sl-SI"/>
        </w:rPr>
        <w:t>Največ amonijaka se sprosti pri gnojenju z živinskimi gnojili, pri izpustih iz hlevov in na paši, pri izpustih med skladiščenjem živinskih gnojil in pri izpustih zaradi gnojenja z mineralnimi gnojili. Veliki izpusti pri gnojenju so med drugim tudi posledica dejstva, da skorajda ne uporabljamo strojev za pasovno porazdeljevanje ali zadelovanje gnojevke v tla. Pri gnojenju s temi stroji so izpusti precej manjši kot pri splošno razširjenem pršenju gnojevke. Vključujoč izpuste pri gnojenju z živinskimi gnojili, prispevata od kmetijskih panog največ amonijaka govedoreja (64,3 %) in prašičereja (10,3 %).</w:t>
      </w:r>
    </w:p>
    <w:p w:rsidR="00F04D80" w:rsidRDefault="00225F01" w:rsidP="00225F01">
      <w:pPr>
        <w:spacing w:before="100" w:beforeAutospacing="1" w:after="200" w:line="276" w:lineRule="auto"/>
        <w:jc w:val="both"/>
        <w:rPr>
          <w:rFonts w:cs="Arial"/>
          <w:szCs w:val="20"/>
          <w:lang w:val="sl-SI" w:eastAsia="sl-SI"/>
        </w:rPr>
      </w:pPr>
      <w:r w:rsidRPr="005771BD">
        <w:rPr>
          <w:rFonts w:cs="Arial"/>
          <w:szCs w:val="20"/>
          <w:lang w:val="sl-SI" w:eastAsia="sl-SI"/>
        </w:rPr>
        <w:t>Letni izpusti amonijaka so se v kmetijstvu od leta 1990 do leta 2014 zmanjšali z 21.606 na 17.304 ton ali za 19,9 %. Zmanjšanje izpustov je značilno tudi za obdobje po letu 2005 (– 7,3 %), ki je izhodiščno leto za prihodnje zaveze Slovenije na tem področju (zgornje meje izpustov NH</w:t>
      </w:r>
      <w:r w:rsidRPr="005771BD">
        <w:rPr>
          <w:rFonts w:cs="Arial"/>
          <w:szCs w:val="20"/>
          <w:vertAlign w:val="subscript"/>
          <w:lang w:val="sl-SI" w:eastAsia="sl-SI"/>
        </w:rPr>
        <w:t>3</w:t>
      </w:r>
      <w:r w:rsidRPr="005771BD">
        <w:rPr>
          <w:rFonts w:cs="Arial"/>
          <w:szCs w:val="20"/>
          <w:lang w:val="sl-SI" w:eastAsia="sl-SI"/>
        </w:rPr>
        <w:t xml:space="preserve"> v predlogu direktive o zmanjšanju državnih emisij za nekatera onesnaževala zraka (nova direktiva NEC)). V absolutnem pomenu sta k zmanjšanju izpustov največ prispevala perutninarstvo in prašičereja, saj se je število perutnine in prašičev v obravnavanem obdobju precej zmanjšalo. Tudi v govedoreji kot najpomembnejšem posamičnem viru so se izpusti zmanjšali. Zmanjšanje pripisujemo zmanjšanju črede, vendar zmanjšanje izpustov ni sorazmerno s spremembo števila živali. Vzrok je v povečanju intenzivnosti reje, za katero je značilno večje izločanje dušika, s tem pa se povečajo tudi izpusti amonijaka. Veliko relativno povečanje izpustov pri konjih in drobnici je v absolutnem pomenu nepomembno, saj ti izpusti kljub povečanju predstavljajo le 4,2 % vseh izpustov v kmetijstvu. </w:t>
      </w:r>
    </w:p>
    <w:p w:rsidR="00225F01" w:rsidRPr="005771BD" w:rsidRDefault="00225F01" w:rsidP="00225F01">
      <w:pPr>
        <w:spacing w:before="100" w:beforeAutospacing="1" w:after="200" w:line="276" w:lineRule="auto"/>
        <w:jc w:val="both"/>
        <w:rPr>
          <w:rFonts w:cs="Arial"/>
          <w:szCs w:val="20"/>
          <w:lang w:val="sl-SI" w:eastAsia="sl-SI"/>
        </w:rPr>
      </w:pPr>
      <w:r w:rsidRPr="005771BD">
        <w:rPr>
          <w:rFonts w:cs="Arial"/>
          <w:szCs w:val="20"/>
          <w:lang w:val="sl-SI" w:eastAsia="sl-SI"/>
        </w:rPr>
        <w:t>K zmanjšanju izpustov amonijaka prispevajo tudi predpisi s področja varovanja voda. Predvsem gre za predpis, ki ureja varstvo voda pred onesnaževanjem z nitrati iz kmetijskih virov, ki določa največjo dovoljeno obremenitev kmetijske zemlje z živino in omejuje rabo dušikovih gnojil na kmetijskih zemljiščih. K zmanjšanju izpustov prispevajo tudi kmetijsko-okoljsko-podnebna plačila iz programa razvoja podeželja. Za prejemnike teh plačil veljajo za obremenitev kmetijske zemlje z živino strožja merila, kot jih predpisuje zakonodaja.</w:t>
      </w:r>
    </w:p>
    <w:p w:rsidR="00225F01" w:rsidRPr="005771BD" w:rsidRDefault="00225F01" w:rsidP="00225F01">
      <w:pPr>
        <w:spacing w:before="100" w:beforeAutospacing="1" w:after="200" w:line="276" w:lineRule="auto"/>
        <w:jc w:val="both"/>
        <w:rPr>
          <w:rFonts w:cs="Arial"/>
          <w:szCs w:val="20"/>
          <w:lang w:val="sl-SI" w:eastAsia="sl-SI"/>
        </w:rPr>
      </w:pPr>
      <w:r w:rsidRPr="005771BD">
        <w:rPr>
          <w:rFonts w:cs="Arial"/>
          <w:szCs w:val="20"/>
          <w:lang w:val="sl-SI" w:eastAsia="sl-SI"/>
        </w:rPr>
        <w:t>Leta 2015 so bile prvič uvedene finančne spodbude za izvajanje gnojenja z majhnimi izpusti v zrak. Na travnikih gre za porazdeljevanje gnojevke v pasovih, na njivah pa za vbrizgavanje ali zadelovanje v tla. </w:t>
      </w:r>
    </w:p>
    <w:p w:rsidR="00225F01" w:rsidRPr="005771BD" w:rsidRDefault="00225F01" w:rsidP="00225F01">
      <w:pPr>
        <w:spacing w:after="200" w:line="276" w:lineRule="auto"/>
        <w:jc w:val="both"/>
        <w:rPr>
          <w:rFonts w:eastAsiaTheme="minorHAnsi" w:cs="Arial"/>
          <w:b/>
          <w:szCs w:val="20"/>
          <w:u w:val="single"/>
          <w:lang w:val="sl-SI"/>
        </w:rPr>
      </w:pPr>
      <w:r w:rsidRPr="007F272F">
        <w:rPr>
          <w:rFonts w:eastAsiaTheme="minorHAnsi" w:cs="Arial"/>
          <w:b/>
          <w:noProof/>
          <w:szCs w:val="20"/>
          <w:u w:val="single"/>
          <w:lang w:val="sl-SI" w:eastAsia="sl-SI"/>
        </w:rPr>
        <w:drawing>
          <wp:inline distT="0" distB="0" distL="0" distR="0" wp14:anchorId="712C2D22" wp14:editId="46CC5EE6">
            <wp:extent cx="5444490" cy="2438400"/>
            <wp:effectExtent l="0" t="0" r="3810" b="0"/>
            <wp:docPr id="530" name="Slika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44490" cy="2438400"/>
                    </a:xfrm>
                    <a:prstGeom prst="rect">
                      <a:avLst/>
                    </a:prstGeom>
                    <a:noFill/>
                  </pic:spPr>
                </pic:pic>
              </a:graphicData>
            </a:graphic>
          </wp:inline>
        </w:drawing>
      </w:r>
    </w:p>
    <w:p w:rsidR="00225F01" w:rsidRPr="005771BD" w:rsidRDefault="00225F01" w:rsidP="00225F01">
      <w:pPr>
        <w:spacing w:line="276" w:lineRule="auto"/>
        <w:jc w:val="both"/>
        <w:rPr>
          <w:rFonts w:eastAsiaTheme="minorHAnsi" w:cs="Arial"/>
          <w:bCs/>
          <w:i/>
          <w:color w:val="000000" w:themeColor="text1"/>
          <w:szCs w:val="20"/>
          <w:lang w:val="sl-SI"/>
        </w:rPr>
      </w:pPr>
      <w:r w:rsidRPr="005771BD">
        <w:rPr>
          <w:rFonts w:cs="Arial"/>
          <w:i/>
          <w:color w:val="000000" w:themeColor="text1"/>
          <w:szCs w:val="20"/>
          <w:lang w:val="sl-SI" w:eastAsia="sl-SI"/>
        </w:rPr>
        <w:t xml:space="preserve">Slika </w:t>
      </w:r>
      <w:r w:rsidR="00044E8C">
        <w:rPr>
          <w:rFonts w:cs="Arial"/>
          <w:i/>
          <w:color w:val="000000" w:themeColor="text1"/>
          <w:szCs w:val="20"/>
          <w:lang w:val="sl-SI" w:eastAsia="sl-SI"/>
        </w:rPr>
        <w:t>6</w:t>
      </w:r>
      <w:r w:rsidRPr="005771BD">
        <w:rPr>
          <w:rFonts w:cs="Arial"/>
          <w:i/>
          <w:color w:val="000000" w:themeColor="text1"/>
          <w:szCs w:val="20"/>
          <w:lang w:val="sl-SI" w:eastAsia="sl-SI"/>
        </w:rPr>
        <w:t>.24</w:t>
      </w:r>
      <w:r w:rsidRPr="005771BD">
        <w:rPr>
          <w:rFonts w:eastAsiaTheme="minorHAnsi" w:cs="Arial"/>
          <w:i/>
          <w:color w:val="000000" w:themeColor="text1"/>
          <w:szCs w:val="20"/>
          <w:lang w:val="sl-SI"/>
        </w:rPr>
        <w:t>: Viri</w:t>
      </w:r>
      <w:r w:rsidRPr="005771BD">
        <w:rPr>
          <w:rFonts w:eastAsiaTheme="minorHAnsi" w:cs="Arial"/>
          <w:bCs/>
          <w:i/>
          <w:color w:val="000000" w:themeColor="text1"/>
          <w:szCs w:val="20"/>
          <w:lang w:val="sl-SI"/>
        </w:rPr>
        <w:t xml:space="preserve"> izpustov amonijaka v slovenskem kmetijstvu, 2014. </w:t>
      </w:r>
    </w:p>
    <w:p w:rsidR="00225F01" w:rsidRPr="005771BD" w:rsidRDefault="00225F01" w:rsidP="00225F01">
      <w:pPr>
        <w:spacing w:after="200" w:line="276" w:lineRule="auto"/>
        <w:jc w:val="both"/>
        <w:rPr>
          <w:rFonts w:eastAsiaTheme="minorHAnsi" w:cs="Arial"/>
          <w:i/>
          <w:color w:val="000000" w:themeColor="text1"/>
          <w:sz w:val="18"/>
          <w:szCs w:val="18"/>
          <w:lang w:val="sl-SI"/>
        </w:rPr>
      </w:pPr>
      <w:r w:rsidRPr="005771BD">
        <w:rPr>
          <w:rFonts w:eastAsiaTheme="minorHAnsi" w:cs="Arial"/>
          <w:i/>
          <w:color w:val="000000" w:themeColor="text1"/>
          <w:sz w:val="18"/>
          <w:szCs w:val="18"/>
          <w:lang w:val="sl-SI"/>
        </w:rPr>
        <w:t>Vir: Kmetijski inštitut Slovenije, 2015.</w:t>
      </w:r>
    </w:p>
    <w:p w:rsidR="00225F01" w:rsidRPr="005771BD" w:rsidRDefault="00225F01" w:rsidP="00225F01">
      <w:pPr>
        <w:spacing w:after="200" w:line="276" w:lineRule="auto"/>
        <w:jc w:val="both"/>
        <w:rPr>
          <w:rFonts w:eastAsiaTheme="minorHAnsi" w:cs="Arial"/>
          <w:szCs w:val="20"/>
          <w:lang w:val="sl-SI"/>
        </w:rPr>
      </w:pPr>
      <w:r w:rsidRPr="007F272F">
        <w:rPr>
          <w:rFonts w:eastAsiaTheme="minorHAnsi" w:cs="Arial"/>
          <w:noProof/>
          <w:szCs w:val="20"/>
          <w:lang w:val="sl-SI" w:eastAsia="sl-SI"/>
        </w:rPr>
        <w:drawing>
          <wp:inline distT="0" distB="0" distL="0" distR="0" wp14:anchorId="29616676" wp14:editId="18A48C98">
            <wp:extent cx="5773420" cy="4334510"/>
            <wp:effectExtent l="0" t="0" r="0" b="8890"/>
            <wp:docPr id="531" name="Slika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73420" cy="4334510"/>
                    </a:xfrm>
                    <a:prstGeom prst="rect">
                      <a:avLst/>
                    </a:prstGeom>
                    <a:noFill/>
                  </pic:spPr>
                </pic:pic>
              </a:graphicData>
            </a:graphic>
          </wp:inline>
        </w:drawing>
      </w:r>
    </w:p>
    <w:p w:rsidR="00225F01" w:rsidRPr="005771BD" w:rsidRDefault="00225F01" w:rsidP="00225F01">
      <w:pPr>
        <w:spacing w:line="276" w:lineRule="auto"/>
        <w:jc w:val="both"/>
        <w:rPr>
          <w:rFonts w:eastAsiaTheme="minorHAnsi" w:cs="Arial"/>
          <w:bCs/>
          <w:i/>
          <w:szCs w:val="20"/>
          <w:lang w:val="sl-SI"/>
        </w:rPr>
      </w:pPr>
      <w:r w:rsidRPr="005771BD">
        <w:rPr>
          <w:rFonts w:cs="Arial"/>
          <w:i/>
          <w:color w:val="000000" w:themeColor="text1"/>
          <w:szCs w:val="20"/>
          <w:lang w:val="sl-SI" w:eastAsia="sl-SI"/>
        </w:rPr>
        <w:t xml:space="preserve">Slika </w:t>
      </w:r>
      <w:r w:rsidR="00044E8C">
        <w:rPr>
          <w:rFonts w:cs="Arial"/>
          <w:i/>
          <w:color w:val="000000" w:themeColor="text1"/>
          <w:szCs w:val="20"/>
          <w:lang w:val="sl-SI" w:eastAsia="sl-SI"/>
        </w:rPr>
        <w:t>6</w:t>
      </w:r>
      <w:r w:rsidRPr="005771BD">
        <w:rPr>
          <w:rFonts w:cs="Arial"/>
          <w:i/>
          <w:color w:val="000000" w:themeColor="text1"/>
          <w:szCs w:val="20"/>
          <w:lang w:val="sl-SI" w:eastAsia="sl-SI"/>
        </w:rPr>
        <w:t>.25</w:t>
      </w:r>
      <w:r w:rsidRPr="005771BD">
        <w:rPr>
          <w:rFonts w:eastAsiaTheme="minorHAnsi" w:cs="Arial"/>
          <w:i/>
          <w:color w:val="000000" w:themeColor="text1"/>
          <w:szCs w:val="20"/>
          <w:lang w:val="sl-SI"/>
        </w:rPr>
        <w:t xml:space="preserve">: </w:t>
      </w:r>
      <w:r w:rsidRPr="005771BD">
        <w:rPr>
          <w:rFonts w:eastAsiaTheme="minorHAnsi" w:cs="Arial"/>
          <w:bCs/>
          <w:i/>
          <w:szCs w:val="20"/>
          <w:lang w:val="sl-SI"/>
        </w:rPr>
        <w:t xml:space="preserve">Zmanjšanje izpustov amonijaka po virih, Slovenija, 1990, 2005 in 2014. </w:t>
      </w:r>
    </w:p>
    <w:p w:rsidR="00225F01" w:rsidRPr="005771BD" w:rsidRDefault="00225F01" w:rsidP="00225F01">
      <w:pPr>
        <w:spacing w:after="200" w:line="276" w:lineRule="auto"/>
        <w:jc w:val="both"/>
        <w:rPr>
          <w:rFonts w:eastAsiaTheme="minorHAnsi" w:cs="Arial"/>
          <w:i/>
          <w:sz w:val="18"/>
          <w:szCs w:val="18"/>
          <w:lang w:val="sl-SI"/>
        </w:rPr>
      </w:pPr>
      <w:r w:rsidRPr="005771BD">
        <w:rPr>
          <w:rFonts w:eastAsiaTheme="minorHAnsi" w:cs="Arial"/>
          <w:bCs/>
          <w:i/>
          <w:sz w:val="18"/>
          <w:szCs w:val="18"/>
          <w:lang w:val="sl-SI"/>
        </w:rPr>
        <w:t xml:space="preserve">Vir: </w:t>
      </w:r>
      <w:r w:rsidRPr="005771BD">
        <w:rPr>
          <w:rFonts w:eastAsiaTheme="minorHAnsi" w:cs="Arial"/>
          <w:i/>
          <w:sz w:val="18"/>
          <w:szCs w:val="18"/>
          <w:lang w:val="sl-SI"/>
        </w:rPr>
        <w:t>Kmetijski inštitut Slovenije, 2015.</w:t>
      </w:r>
    </w:p>
    <w:p w:rsidR="00225F01" w:rsidRPr="005771BD" w:rsidRDefault="00225F01" w:rsidP="00225F01">
      <w:pPr>
        <w:spacing w:after="200" w:line="276" w:lineRule="auto"/>
        <w:jc w:val="both"/>
        <w:rPr>
          <w:rFonts w:eastAsiaTheme="minorHAnsi" w:cs="Arial"/>
          <w:b/>
          <w:szCs w:val="20"/>
          <w:u w:val="single"/>
          <w:lang w:val="sl-SI"/>
        </w:rPr>
      </w:pPr>
    </w:p>
    <w:p w:rsidR="00225F01" w:rsidRPr="005771BD" w:rsidRDefault="00225F01" w:rsidP="00225F01">
      <w:pPr>
        <w:spacing w:after="200" w:line="276" w:lineRule="auto"/>
        <w:rPr>
          <w:rFonts w:eastAsiaTheme="minorHAnsi" w:cs="Arial"/>
          <w:b/>
          <w:szCs w:val="20"/>
          <w:lang w:val="sl-SI"/>
        </w:rPr>
      </w:pPr>
      <w:r w:rsidRPr="005771BD">
        <w:rPr>
          <w:rFonts w:eastAsiaTheme="minorHAnsi" w:cs="Arial"/>
          <w:b/>
          <w:szCs w:val="20"/>
          <w:lang w:val="sl-SI"/>
        </w:rPr>
        <w:br w:type="column"/>
      </w:r>
      <w:r w:rsidR="00044E8C">
        <w:rPr>
          <w:rFonts w:eastAsiaTheme="minorHAnsi" w:cs="Arial"/>
          <w:b/>
          <w:szCs w:val="20"/>
          <w:lang w:val="sl-SI"/>
        </w:rPr>
        <w:t>6</w:t>
      </w:r>
      <w:r w:rsidRPr="005771BD">
        <w:rPr>
          <w:rFonts w:eastAsiaTheme="minorHAnsi" w:cs="Arial"/>
          <w:b/>
          <w:szCs w:val="20"/>
          <w:lang w:val="sl-SI"/>
        </w:rPr>
        <w:t>.3.3 Promet</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Promet je pomemben vir izpustov onesnaževal zraka. Največ delcev PM</w:t>
      </w:r>
      <w:r w:rsidRPr="005771BD">
        <w:rPr>
          <w:rFonts w:eastAsiaTheme="minorHAnsi" w:cs="Arial"/>
          <w:szCs w:val="20"/>
          <w:vertAlign w:val="subscript"/>
          <w:lang w:val="sl-SI"/>
        </w:rPr>
        <w:t xml:space="preserve">2,5 </w:t>
      </w:r>
      <w:r w:rsidRPr="005771BD">
        <w:rPr>
          <w:rFonts w:eastAsiaTheme="minorHAnsi" w:cs="Arial"/>
          <w:szCs w:val="20"/>
          <w:lang w:val="sl-SI"/>
        </w:rPr>
        <w:t>, dušikovih oksidov (NOx) in rakotvornega onesnaževala benzo(a)pirena prihaja iz izpuha vozil na dizelski pogon.</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Povečevanje prometa je v zadnjih dveh desetletjih izničilo zmanjšanje izpustov (zlasti NOx) v drugih sektorjih. Prav tako se je v skupni količini izpustov izničil vpliv ukrepov, ki vplivajo na učinkovitost rabe energije posameznih vozil, in sicer zaradi povečanega števila vozil, prevoženih kilometrov itd.</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 xml:space="preserve">Povečevanje prometa v Sloveniji se je s krizo leta 2008 ustavilo. Od takrat je razmerje med rastjo prometa in gospodarstva ter onesnaženjem okolja stabilno in okoljsko ugodno. </w:t>
      </w:r>
    </w:p>
    <w:p w:rsidR="00225F01" w:rsidRPr="005771BD" w:rsidRDefault="00225F01" w:rsidP="00225F01">
      <w:pPr>
        <w:spacing w:after="200" w:line="276" w:lineRule="auto"/>
        <w:rPr>
          <w:rFonts w:cs="Arial"/>
          <w:szCs w:val="20"/>
          <w:lang w:val="sl-SI" w:eastAsia="sl-SI"/>
        </w:rPr>
      </w:pPr>
      <w:r w:rsidRPr="007F272F">
        <w:rPr>
          <w:rFonts w:cs="Arial"/>
          <w:noProof/>
          <w:szCs w:val="20"/>
          <w:lang w:val="sl-SI" w:eastAsia="sl-SI"/>
        </w:rPr>
        <w:drawing>
          <wp:inline distT="0" distB="0" distL="0" distR="0" wp14:anchorId="7BB260E2" wp14:editId="053BAAC0">
            <wp:extent cx="5431790" cy="3408045"/>
            <wp:effectExtent l="0" t="0" r="0" b="1905"/>
            <wp:docPr id="532" name="Slika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31790" cy="3408045"/>
                    </a:xfrm>
                    <a:prstGeom prst="rect">
                      <a:avLst/>
                    </a:prstGeom>
                    <a:noFill/>
                  </pic:spPr>
                </pic:pic>
              </a:graphicData>
            </a:graphic>
          </wp:inline>
        </w:drawing>
      </w:r>
    </w:p>
    <w:p w:rsidR="00225F01" w:rsidRPr="005771BD" w:rsidRDefault="00225F01" w:rsidP="00225F01">
      <w:pPr>
        <w:spacing w:after="200" w:line="276" w:lineRule="auto"/>
        <w:rPr>
          <w:rFonts w:cs="Arial"/>
          <w:i/>
          <w:color w:val="000000"/>
          <w:szCs w:val="20"/>
          <w:lang w:val="sl-SI" w:eastAsia="sl-SI"/>
        </w:rPr>
      </w:pPr>
    </w:p>
    <w:p w:rsidR="00225F01" w:rsidRPr="005771BD" w:rsidRDefault="00225F01" w:rsidP="00225F01">
      <w:pPr>
        <w:spacing w:line="276" w:lineRule="auto"/>
        <w:rPr>
          <w:rFonts w:cs="Arial"/>
          <w:i/>
          <w:szCs w:val="20"/>
          <w:lang w:val="sl-SI" w:eastAsia="sl-SI"/>
        </w:rPr>
      </w:pPr>
      <w:r w:rsidRPr="005771BD">
        <w:rPr>
          <w:rFonts w:cs="Arial"/>
          <w:i/>
          <w:color w:val="000000"/>
          <w:szCs w:val="20"/>
          <w:lang w:val="sl-SI" w:eastAsia="sl-SI"/>
        </w:rPr>
        <w:t xml:space="preserve">Slika </w:t>
      </w:r>
      <w:r w:rsidR="00044E8C">
        <w:rPr>
          <w:rFonts w:cs="Arial"/>
          <w:i/>
          <w:color w:val="000000"/>
          <w:szCs w:val="20"/>
          <w:lang w:val="sl-SI" w:eastAsia="sl-SI"/>
        </w:rPr>
        <w:t>6</w:t>
      </w:r>
      <w:r w:rsidRPr="005771BD">
        <w:rPr>
          <w:rFonts w:cs="Arial"/>
          <w:i/>
          <w:color w:val="000000"/>
          <w:szCs w:val="20"/>
          <w:lang w:val="sl-SI" w:eastAsia="sl-SI"/>
        </w:rPr>
        <w:t>.26:</w:t>
      </w:r>
      <w:r w:rsidRPr="005771BD">
        <w:rPr>
          <w:rFonts w:cs="Arial"/>
          <w:i/>
          <w:szCs w:val="20"/>
          <w:lang w:val="sl-SI" w:eastAsia="sl-SI"/>
        </w:rPr>
        <w:t xml:space="preserve"> </w:t>
      </w:r>
      <w:r w:rsidRPr="005771BD">
        <w:rPr>
          <w:rFonts w:cs="Arial"/>
          <w:bCs/>
          <w:i/>
          <w:szCs w:val="20"/>
          <w:lang w:val="sl-SI" w:eastAsia="sl-SI"/>
        </w:rPr>
        <w:t>Raba energije glede na prevozni način za obdobje 1992–2012</w:t>
      </w:r>
      <w:r w:rsidRPr="005771BD">
        <w:rPr>
          <w:rFonts w:cs="Arial"/>
          <w:i/>
          <w:szCs w:val="20"/>
          <w:lang w:val="sl-SI" w:eastAsia="sl-SI"/>
        </w:rPr>
        <w:t xml:space="preserve"> </w:t>
      </w:r>
    </w:p>
    <w:p w:rsidR="00225F01" w:rsidRPr="005771BD" w:rsidRDefault="00225F01" w:rsidP="00225F01">
      <w:pPr>
        <w:spacing w:after="200" w:line="276" w:lineRule="auto"/>
        <w:rPr>
          <w:rFonts w:cs="Arial"/>
          <w:i/>
          <w:sz w:val="18"/>
          <w:szCs w:val="18"/>
          <w:lang w:val="sl-SI" w:eastAsia="sl-SI"/>
        </w:rPr>
      </w:pPr>
      <w:r w:rsidRPr="005771BD">
        <w:rPr>
          <w:rFonts w:cs="Arial"/>
          <w:i/>
          <w:sz w:val="18"/>
          <w:szCs w:val="18"/>
          <w:lang w:val="sl-SI" w:eastAsia="sl-SI"/>
        </w:rPr>
        <w:t>Vir: SURS, IJS, 2013.</w:t>
      </w:r>
    </w:p>
    <w:p w:rsidR="00225F01" w:rsidRPr="005771BD" w:rsidRDefault="00225F01" w:rsidP="00225F01">
      <w:pPr>
        <w:spacing w:after="200" w:line="276" w:lineRule="auto"/>
        <w:rPr>
          <w:rFonts w:eastAsiaTheme="minorHAnsi" w:cs="Arial"/>
          <w:szCs w:val="20"/>
          <w:lang w:val="sl-SI"/>
        </w:rPr>
      </w:pPr>
    </w:p>
    <w:p w:rsidR="00225F01" w:rsidRPr="005771BD" w:rsidRDefault="00225F01" w:rsidP="00225F01">
      <w:pPr>
        <w:spacing w:after="200" w:line="276" w:lineRule="auto"/>
        <w:rPr>
          <w:rFonts w:eastAsiaTheme="minorHAnsi" w:cs="Arial"/>
          <w:i/>
          <w:szCs w:val="20"/>
          <w:u w:val="single"/>
          <w:lang w:val="sl-SI"/>
        </w:rPr>
      </w:pPr>
      <w:r w:rsidRPr="005771BD">
        <w:rPr>
          <w:rFonts w:eastAsiaTheme="minorHAnsi" w:cs="Arial"/>
          <w:i/>
          <w:szCs w:val="20"/>
          <w:u w:val="single"/>
          <w:lang w:val="sl-SI"/>
        </w:rPr>
        <w:t>Delež registriranih osebnih vozil na dizelski pogon se povečuje</w:t>
      </w:r>
    </w:p>
    <w:p w:rsidR="00225F01" w:rsidRPr="005771BD" w:rsidRDefault="00225F01" w:rsidP="00225F01">
      <w:pPr>
        <w:spacing w:after="200" w:line="276" w:lineRule="auto"/>
        <w:jc w:val="both"/>
        <w:rPr>
          <w:rFonts w:eastAsiaTheme="minorHAnsi" w:cs="Arial"/>
          <w:i/>
          <w:szCs w:val="20"/>
          <w:lang w:val="sl-SI"/>
        </w:rPr>
      </w:pPr>
      <w:r w:rsidRPr="005771BD">
        <w:rPr>
          <w:rFonts w:eastAsiaTheme="minorHAnsi" w:cs="Arial"/>
          <w:i/>
          <w:szCs w:val="20"/>
          <w:lang w:val="sl-SI"/>
        </w:rPr>
        <w:t>Na izpuste onesnaževal zraka vpliva tudi povečevanje deleža registriranih osebnih vozil na dizelski pogon od leta 2000  in večanje porabe dizelskega goriva. Delež registriranih osebnih vozil na dizelski pogon je leta 2000 znašal 9 odstotkov, leta 2013 pa že kar 40 odstotkov.</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i/>
          <w:szCs w:val="20"/>
          <w:lang w:val="sl-SI"/>
        </w:rPr>
        <w:t>Skupni teoretični izpusti dušikovih oksidov (NOx) iz osebnih vozil se zato kljub strožjim emisijskim</w:t>
      </w:r>
      <w:r w:rsidRPr="005771BD">
        <w:rPr>
          <w:rFonts w:eastAsiaTheme="minorHAnsi" w:cs="Arial"/>
          <w:szCs w:val="20"/>
          <w:lang w:val="sl-SI"/>
        </w:rPr>
        <w:t xml:space="preserve"> stopnjam EURO ne zmanjšujejo. Dejanski izpusti dušikovih oksidov (NOx) so še višji, saj osebna vozila na dizelski pogon v realnih pogojih vožnje močno presegajo mejne vrednosti izpustov, ki so določene z emisijskimi stopnjami EURO. To ima za posledico slabšo kakovost zraka, pozimi višje koncentracije delcev, saj so dušikovi oksidi (NOx) predhodniki sekundarnih delcev, poleti višje koncentracije prizemnega ozona, ker so dušikovi oksidi (NOx) predhodniki prizemnega ozona.</w:t>
      </w:r>
    </w:p>
    <w:p w:rsidR="00225F01" w:rsidRPr="005771BD" w:rsidRDefault="00225F01" w:rsidP="00225F01">
      <w:pPr>
        <w:spacing w:after="200" w:line="276" w:lineRule="auto"/>
        <w:rPr>
          <w:rFonts w:eastAsiaTheme="minorHAnsi" w:cs="Arial"/>
          <w:szCs w:val="20"/>
          <w:lang w:val="sl-SI"/>
        </w:rPr>
      </w:pPr>
      <w:r w:rsidRPr="007F272F">
        <w:rPr>
          <w:rFonts w:eastAsiaTheme="minorHAnsi" w:cs="Arial"/>
          <w:noProof/>
          <w:szCs w:val="20"/>
          <w:lang w:val="sl-SI" w:eastAsia="sl-SI"/>
        </w:rPr>
        <w:drawing>
          <wp:inline distT="0" distB="0" distL="0" distR="0" wp14:anchorId="5D1249C3" wp14:editId="21A498A8">
            <wp:extent cx="5688330" cy="3261360"/>
            <wp:effectExtent l="0" t="0" r="7620" b="0"/>
            <wp:docPr id="533" name="Slika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88330" cy="3261360"/>
                    </a:xfrm>
                    <a:prstGeom prst="rect">
                      <a:avLst/>
                    </a:prstGeom>
                    <a:noFill/>
                  </pic:spPr>
                </pic:pic>
              </a:graphicData>
            </a:graphic>
          </wp:inline>
        </w:drawing>
      </w:r>
    </w:p>
    <w:p w:rsidR="00225F01" w:rsidRPr="005771BD" w:rsidRDefault="00225F01" w:rsidP="00225F01">
      <w:pPr>
        <w:spacing w:line="276" w:lineRule="auto"/>
        <w:rPr>
          <w:rFonts w:eastAsiaTheme="minorHAnsi" w:cs="Arial"/>
          <w:i/>
          <w:szCs w:val="20"/>
          <w:lang w:val="sl-SI"/>
        </w:rPr>
      </w:pPr>
      <w:r w:rsidRPr="005771BD">
        <w:rPr>
          <w:rFonts w:cs="Arial"/>
          <w:i/>
          <w:color w:val="000000"/>
          <w:szCs w:val="20"/>
          <w:lang w:val="sl-SI" w:eastAsia="sl-SI"/>
        </w:rPr>
        <w:t xml:space="preserve">Slika </w:t>
      </w:r>
      <w:r w:rsidR="00044E8C">
        <w:rPr>
          <w:rFonts w:cs="Arial"/>
          <w:i/>
          <w:color w:val="000000"/>
          <w:szCs w:val="20"/>
          <w:lang w:val="sl-SI" w:eastAsia="sl-SI"/>
        </w:rPr>
        <w:t>6</w:t>
      </w:r>
      <w:r w:rsidRPr="005771BD">
        <w:rPr>
          <w:rFonts w:cs="Arial"/>
          <w:i/>
          <w:color w:val="000000"/>
          <w:szCs w:val="20"/>
          <w:lang w:val="sl-SI" w:eastAsia="sl-SI"/>
        </w:rPr>
        <w:t>.27</w:t>
      </w:r>
      <w:r w:rsidRPr="005771BD">
        <w:rPr>
          <w:rFonts w:eastAsiaTheme="minorHAnsi" w:cs="Arial"/>
          <w:i/>
          <w:szCs w:val="20"/>
          <w:lang w:val="sl-SI"/>
        </w:rPr>
        <w:t xml:space="preserve">: Delež osebnih avtomobilov na dizelski pogon, Slovenija, 1986–2013, </w:t>
      </w:r>
    </w:p>
    <w:p w:rsidR="00225F01" w:rsidRPr="005771BD" w:rsidRDefault="00225F01" w:rsidP="00225F01">
      <w:pPr>
        <w:spacing w:after="200" w:line="276" w:lineRule="auto"/>
        <w:rPr>
          <w:rFonts w:eastAsiaTheme="minorHAnsi" w:cs="Arial"/>
          <w:i/>
          <w:szCs w:val="20"/>
          <w:lang w:val="sl-SI"/>
        </w:rPr>
      </w:pPr>
      <w:r w:rsidRPr="005771BD">
        <w:rPr>
          <w:rFonts w:eastAsiaTheme="minorHAnsi" w:cs="Arial"/>
          <w:i/>
          <w:sz w:val="18"/>
          <w:szCs w:val="18"/>
          <w:lang w:val="sl-SI"/>
        </w:rPr>
        <w:t xml:space="preserve">Vir: Zbirka podatkov o motornih vozilih, NIO, 2014. </w:t>
      </w:r>
      <w:r w:rsidRPr="005771BD">
        <w:rPr>
          <w:rFonts w:eastAsiaTheme="minorHAnsi" w:cs="Arial"/>
          <w:i/>
          <w:sz w:val="18"/>
          <w:szCs w:val="18"/>
          <w:lang w:val="sl-SI"/>
        </w:rPr>
        <w:br/>
      </w:r>
      <w:r w:rsidRPr="005771BD">
        <w:rPr>
          <w:rFonts w:eastAsiaTheme="minorHAnsi" w:cs="Arial"/>
          <w:i/>
          <w:iCs/>
          <w:szCs w:val="20"/>
          <w:lang w:val="sl-SI"/>
        </w:rPr>
        <w:t xml:space="preserve">*Opomba: podatki pred letom 1992 so ocene. </w:t>
      </w:r>
    </w:p>
    <w:p w:rsidR="00225F01" w:rsidRPr="005771BD" w:rsidRDefault="00225F01" w:rsidP="00225F01">
      <w:pPr>
        <w:spacing w:after="200" w:line="276" w:lineRule="auto"/>
        <w:jc w:val="both"/>
        <w:rPr>
          <w:rFonts w:eastAsiaTheme="minorHAnsi" w:cs="Arial"/>
          <w:b/>
          <w:szCs w:val="20"/>
          <w:u w:val="single"/>
          <w:lang w:val="sl-SI"/>
        </w:rPr>
      </w:pPr>
      <w:r w:rsidRPr="007F272F">
        <w:rPr>
          <w:rFonts w:eastAsiaTheme="minorHAnsi" w:cs="Arial"/>
          <w:b/>
          <w:noProof/>
          <w:szCs w:val="20"/>
          <w:u w:val="single"/>
          <w:lang w:val="sl-SI" w:eastAsia="sl-SI"/>
        </w:rPr>
        <w:drawing>
          <wp:inline distT="0" distB="0" distL="0" distR="0" wp14:anchorId="42811E34" wp14:editId="6E707B11">
            <wp:extent cx="6309995" cy="2889885"/>
            <wp:effectExtent l="0" t="0" r="0" b="5715"/>
            <wp:docPr id="534" name="Slika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309995" cy="2889885"/>
                    </a:xfrm>
                    <a:prstGeom prst="rect">
                      <a:avLst/>
                    </a:prstGeom>
                    <a:noFill/>
                  </pic:spPr>
                </pic:pic>
              </a:graphicData>
            </a:graphic>
          </wp:inline>
        </w:drawing>
      </w:r>
    </w:p>
    <w:p w:rsidR="00225F01" w:rsidRPr="005771BD" w:rsidRDefault="00225F01" w:rsidP="00225F01">
      <w:pPr>
        <w:spacing w:after="200" w:line="276" w:lineRule="auto"/>
        <w:rPr>
          <w:rFonts w:cs="Arial"/>
          <w:szCs w:val="20"/>
          <w:lang w:val="sl-SI" w:eastAsia="sl-SI"/>
        </w:rPr>
      </w:pPr>
    </w:p>
    <w:p w:rsidR="00225F01" w:rsidRPr="005771BD" w:rsidRDefault="00225F01" w:rsidP="00225F01">
      <w:pPr>
        <w:spacing w:line="276" w:lineRule="auto"/>
        <w:rPr>
          <w:rFonts w:cs="Arial"/>
          <w:i/>
          <w:szCs w:val="20"/>
          <w:lang w:val="sl-SI" w:eastAsia="sl-SI"/>
        </w:rPr>
      </w:pPr>
      <w:r w:rsidRPr="005771BD">
        <w:rPr>
          <w:rFonts w:cs="Arial"/>
          <w:i/>
          <w:color w:val="000000"/>
          <w:szCs w:val="20"/>
          <w:lang w:val="sl-SI" w:eastAsia="sl-SI"/>
        </w:rPr>
        <w:t xml:space="preserve">Slika </w:t>
      </w:r>
      <w:r w:rsidR="00044E8C">
        <w:rPr>
          <w:rFonts w:cs="Arial"/>
          <w:i/>
          <w:color w:val="000000"/>
          <w:szCs w:val="20"/>
          <w:lang w:val="sl-SI" w:eastAsia="sl-SI"/>
        </w:rPr>
        <w:t>6</w:t>
      </w:r>
      <w:r w:rsidRPr="005771BD">
        <w:rPr>
          <w:rFonts w:cs="Arial"/>
          <w:i/>
          <w:color w:val="000000"/>
          <w:szCs w:val="20"/>
          <w:lang w:val="sl-SI" w:eastAsia="sl-SI"/>
        </w:rPr>
        <w:t>.28</w:t>
      </w:r>
      <w:r w:rsidRPr="005771BD">
        <w:rPr>
          <w:rFonts w:eastAsiaTheme="minorHAnsi" w:cs="Arial"/>
          <w:i/>
          <w:szCs w:val="20"/>
          <w:lang w:val="sl-SI"/>
        </w:rPr>
        <w:t>:</w:t>
      </w:r>
      <w:r w:rsidRPr="005771BD">
        <w:rPr>
          <w:rFonts w:cs="Arial"/>
          <w:i/>
          <w:szCs w:val="20"/>
          <w:lang w:val="sl-SI" w:eastAsia="sl-SI"/>
        </w:rPr>
        <w:t xml:space="preserve"> </w:t>
      </w:r>
      <w:r w:rsidRPr="005771BD">
        <w:rPr>
          <w:rFonts w:cs="Arial"/>
          <w:bCs/>
          <w:i/>
          <w:szCs w:val="20"/>
          <w:lang w:val="sl-SI" w:eastAsia="sl-SI"/>
        </w:rPr>
        <w:t>Raba energije v prometu glede na gorivo za obdobje 1992–2011</w:t>
      </w:r>
      <w:r w:rsidRPr="005771BD">
        <w:rPr>
          <w:rFonts w:cs="Arial"/>
          <w:i/>
          <w:szCs w:val="20"/>
          <w:lang w:val="sl-SI" w:eastAsia="sl-SI"/>
        </w:rPr>
        <w:t xml:space="preserve">, </w:t>
      </w:r>
    </w:p>
    <w:p w:rsidR="00225F01" w:rsidRPr="005771BD" w:rsidRDefault="00225F01" w:rsidP="00225F01">
      <w:pPr>
        <w:spacing w:after="200" w:line="276" w:lineRule="auto"/>
        <w:rPr>
          <w:rFonts w:cs="Arial"/>
          <w:i/>
          <w:sz w:val="18"/>
          <w:szCs w:val="18"/>
          <w:lang w:val="sl-SI" w:eastAsia="sl-SI"/>
        </w:rPr>
      </w:pPr>
      <w:r w:rsidRPr="005771BD">
        <w:rPr>
          <w:rFonts w:cs="Arial"/>
          <w:i/>
          <w:sz w:val="18"/>
          <w:szCs w:val="18"/>
          <w:lang w:val="sl-SI" w:eastAsia="sl-SI"/>
        </w:rPr>
        <w:t xml:space="preserve">Vir: SURS, IJS, 2013. </w:t>
      </w:r>
    </w:p>
    <w:p w:rsidR="00225F01" w:rsidRPr="005771BD" w:rsidRDefault="00225F01" w:rsidP="00225F01">
      <w:pPr>
        <w:spacing w:after="200" w:line="276" w:lineRule="auto"/>
        <w:jc w:val="both"/>
        <w:rPr>
          <w:rFonts w:eastAsiaTheme="minorHAnsi" w:cs="Arial"/>
          <w:b/>
          <w:szCs w:val="20"/>
          <w:u w:val="single"/>
          <w:lang w:val="sl-SI"/>
        </w:rPr>
      </w:pPr>
    </w:p>
    <w:p w:rsidR="00225F01" w:rsidRPr="005771BD" w:rsidRDefault="00225F01" w:rsidP="00225F01">
      <w:pPr>
        <w:spacing w:after="200" w:line="276" w:lineRule="auto"/>
        <w:rPr>
          <w:rFonts w:eastAsiaTheme="minorHAnsi" w:cs="Arial"/>
          <w:i/>
          <w:szCs w:val="20"/>
          <w:u w:val="single"/>
          <w:lang w:val="sl-SI"/>
        </w:rPr>
      </w:pPr>
      <w:r w:rsidRPr="005771BD">
        <w:rPr>
          <w:rFonts w:eastAsiaTheme="minorHAnsi" w:cs="Arial"/>
          <w:i/>
          <w:szCs w:val="20"/>
          <w:u w:val="single"/>
          <w:lang w:val="sl-SI"/>
        </w:rPr>
        <w:t xml:space="preserve">Zmanjšanje obsega potniškega  prometa </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V zadnjem desetletju se je število potnikov v medkrajevnem avtobusnem prevozu zmanjšalo za 53 %, na mestnih avtobusih pa za 36 %. Zaradi manjše uporabe potniškega prometa narašča uporaba osebnih vozil, zaradi tega so izpusti onesnaževal iz prometa višji.</w:t>
      </w:r>
    </w:p>
    <w:p w:rsidR="00225F01" w:rsidRPr="005771BD" w:rsidRDefault="00225F01" w:rsidP="00225F01">
      <w:pPr>
        <w:spacing w:after="200" w:line="276" w:lineRule="auto"/>
        <w:jc w:val="both"/>
        <w:rPr>
          <w:rFonts w:eastAsiaTheme="minorHAnsi" w:cs="Arial"/>
          <w:b/>
          <w:szCs w:val="20"/>
          <w:u w:val="single"/>
          <w:lang w:val="sl-SI"/>
        </w:rPr>
      </w:pPr>
      <w:r w:rsidRPr="005771BD">
        <w:rPr>
          <w:rFonts w:eastAsiaTheme="minorHAnsi" w:cs="Arial"/>
          <w:szCs w:val="20"/>
          <w:lang w:val="sl-SI"/>
        </w:rPr>
        <w:t>Potniški promet  se je  v Sloveniji  začel  povečevati  po  vstopu v Evropsko unijo. Največ prevoženih potniških kilometrov je bilo v letu 2009, število potniških kilometrov se je namreč od leta 2003 do 2009 povečalo za približno 14 %. V času gospodarske krize pa se je potniški promet zmanjšal za približno 2 % do leta 2013.  </w:t>
      </w:r>
    </w:p>
    <w:p w:rsidR="00225F01" w:rsidRPr="005771BD" w:rsidRDefault="00225F01" w:rsidP="00225F01">
      <w:pPr>
        <w:autoSpaceDE w:val="0"/>
        <w:autoSpaceDN w:val="0"/>
        <w:adjustRightInd w:val="0"/>
        <w:spacing w:after="200" w:line="276" w:lineRule="auto"/>
        <w:ind w:left="-284"/>
        <w:rPr>
          <w:rFonts w:eastAsiaTheme="minorHAnsi" w:cs="Arial"/>
          <w:color w:val="000000"/>
          <w:szCs w:val="20"/>
          <w:lang w:val="sl-SI"/>
        </w:rPr>
      </w:pPr>
      <w:r w:rsidRPr="007F272F">
        <w:rPr>
          <w:rFonts w:eastAsiaTheme="minorHAnsi" w:cs="Arial"/>
          <w:noProof/>
          <w:color w:val="000000"/>
          <w:szCs w:val="20"/>
          <w:lang w:val="sl-SI" w:eastAsia="sl-SI"/>
        </w:rPr>
        <w:drawing>
          <wp:inline distT="0" distB="0" distL="0" distR="0" wp14:anchorId="6C2E34A2" wp14:editId="43A615A0">
            <wp:extent cx="6169660" cy="3127375"/>
            <wp:effectExtent l="0" t="0" r="2540" b="0"/>
            <wp:docPr id="535" name="Slika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69660" cy="3127375"/>
                    </a:xfrm>
                    <a:prstGeom prst="rect">
                      <a:avLst/>
                    </a:prstGeom>
                    <a:noFill/>
                  </pic:spPr>
                </pic:pic>
              </a:graphicData>
            </a:graphic>
          </wp:inline>
        </w:drawing>
      </w:r>
    </w:p>
    <w:p w:rsidR="00225F01" w:rsidRPr="005771BD" w:rsidRDefault="00225F01" w:rsidP="00225F01">
      <w:pPr>
        <w:spacing w:line="276" w:lineRule="auto"/>
        <w:jc w:val="both"/>
        <w:rPr>
          <w:rFonts w:cs="Arial"/>
          <w:i/>
          <w:szCs w:val="20"/>
          <w:lang w:val="sl-SI" w:eastAsia="sl-SI"/>
        </w:rPr>
      </w:pPr>
      <w:r w:rsidRPr="005771BD">
        <w:rPr>
          <w:rFonts w:cs="Arial"/>
          <w:i/>
          <w:color w:val="000000"/>
          <w:szCs w:val="20"/>
          <w:lang w:val="sl-SI" w:eastAsia="sl-SI"/>
        </w:rPr>
        <w:t xml:space="preserve">Slika </w:t>
      </w:r>
      <w:r w:rsidR="00044E8C">
        <w:rPr>
          <w:rFonts w:cs="Arial"/>
          <w:i/>
          <w:color w:val="000000"/>
          <w:szCs w:val="20"/>
          <w:lang w:val="sl-SI" w:eastAsia="sl-SI"/>
        </w:rPr>
        <w:t>6</w:t>
      </w:r>
      <w:r w:rsidRPr="005771BD">
        <w:rPr>
          <w:rFonts w:cs="Arial"/>
          <w:i/>
          <w:color w:val="000000"/>
          <w:szCs w:val="20"/>
          <w:lang w:val="sl-SI" w:eastAsia="sl-SI"/>
        </w:rPr>
        <w:t>.29</w:t>
      </w:r>
      <w:r w:rsidRPr="005771BD">
        <w:rPr>
          <w:rFonts w:eastAsiaTheme="minorHAnsi" w:cs="Arial"/>
          <w:i/>
          <w:szCs w:val="20"/>
          <w:lang w:val="sl-SI"/>
        </w:rPr>
        <w:t xml:space="preserve">: </w:t>
      </w:r>
      <w:r w:rsidRPr="005771BD">
        <w:rPr>
          <w:rFonts w:cs="Arial"/>
          <w:i/>
          <w:szCs w:val="20"/>
          <w:lang w:val="sl-SI" w:eastAsia="sl-SI"/>
        </w:rPr>
        <w:t xml:space="preserve">Število potnikov po posameznih vrstah javnega prevoza in prometa, Slovenija, 1990–2014. </w:t>
      </w:r>
    </w:p>
    <w:p w:rsidR="00225F01" w:rsidRPr="005771BD" w:rsidRDefault="00225F01" w:rsidP="00044E8C">
      <w:pPr>
        <w:spacing w:after="360" w:line="276" w:lineRule="auto"/>
        <w:jc w:val="both"/>
        <w:rPr>
          <w:rFonts w:cs="Arial"/>
          <w:i/>
          <w:sz w:val="18"/>
          <w:szCs w:val="18"/>
          <w:lang w:val="sl-SI" w:eastAsia="sl-SI"/>
        </w:rPr>
      </w:pPr>
      <w:r w:rsidRPr="005771BD">
        <w:rPr>
          <w:rFonts w:eastAsiaTheme="minorHAnsi" w:cs="Arial"/>
          <w:i/>
          <w:sz w:val="18"/>
          <w:szCs w:val="18"/>
          <w:lang w:val="sl-SI"/>
        </w:rPr>
        <w:t>Vir: Statistični urad RS: Statistični letopisi RS 1992–2013, Statopis 2014, ter SI-STAT podatkovni portal, 2015 (zajem podatkov: oktober, 2015).</w:t>
      </w:r>
    </w:p>
    <w:p w:rsidR="00225F01" w:rsidRPr="005771BD" w:rsidRDefault="00044E8C" w:rsidP="00225F01">
      <w:pPr>
        <w:spacing w:after="200" w:line="276" w:lineRule="auto"/>
        <w:jc w:val="both"/>
        <w:rPr>
          <w:rFonts w:eastAsiaTheme="minorHAnsi" w:cs="Arial"/>
          <w:b/>
          <w:szCs w:val="20"/>
          <w:u w:val="single"/>
          <w:lang w:val="sl-SI"/>
        </w:rPr>
      </w:pPr>
      <w:r>
        <w:rPr>
          <w:rFonts w:eastAsiaTheme="minorHAnsi" w:cs="Arial"/>
          <w:b/>
          <w:szCs w:val="20"/>
          <w:u w:val="single"/>
          <w:lang w:val="sl-SI"/>
        </w:rPr>
        <w:t>6</w:t>
      </w:r>
      <w:r w:rsidR="00225F01" w:rsidRPr="005771BD">
        <w:rPr>
          <w:rFonts w:eastAsiaTheme="minorHAnsi" w:cs="Arial"/>
          <w:b/>
          <w:szCs w:val="20"/>
          <w:u w:val="single"/>
          <w:lang w:val="sl-SI"/>
        </w:rPr>
        <w:t xml:space="preserve">.4 Obvladovanje obremenjevanja </w:t>
      </w:r>
    </w:p>
    <w:p w:rsidR="00225F01" w:rsidRPr="005771BD" w:rsidRDefault="00044E8C" w:rsidP="00225F01">
      <w:pPr>
        <w:spacing w:after="200" w:line="276" w:lineRule="auto"/>
        <w:jc w:val="both"/>
        <w:rPr>
          <w:rFonts w:eastAsiaTheme="minorHAnsi" w:cs="Arial"/>
          <w:b/>
          <w:szCs w:val="20"/>
          <w:vertAlign w:val="subscript"/>
          <w:lang w:val="sl-SI"/>
        </w:rPr>
      </w:pPr>
      <w:r>
        <w:rPr>
          <w:rFonts w:eastAsiaTheme="minorHAnsi" w:cs="Arial"/>
          <w:b/>
          <w:szCs w:val="20"/>
          <w:lang w:val="sl-SI"/>
        </w:rPr>
        <w:t>6</w:t>
      </w:r>
      <w:r w:rsidR="00225F01" w:rsidRPr="005771BD">
        <w:rPr>
          <w:rFonts w:eastAsiaTheme="minorHAnsi" w:cs="Arial"/>
          <w:b/>
          <w:szCs w:val="20"/>
          <w:lang w:val="sl-SI"/>
        </w:rPr>
        <w:t>.4.1 Ukrepi za zmanjšanje onesnaženosti zraka z delci PM</w:t>
      </w:r>
      <w:r w:rsidR="00225F01" w:rsidRPr="005771BD">
        <w:rPr>
          <w:rFonts w:eastAsiaTheme="minorHAnsi" w:cs="Arial"/>
          <w:b/>
          <w:szCs w:val="20"/>
          <w:vertAlign w:val="subscript"/>
          <w:lang w:val="sl-SI"/>
        </w:rPr>
        <w:t>10</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Prekomerna onesnaženost zraka z delci PM</w:t>
      </w:r>
      <w:r w:rsidRPr="005771BD">
        <w:rPr>
          <w:rFonts w:eastAsiaTheme="minorHAnsi" w:cs="Arial"/>
          <w:szCs w:val="20"/>
          <w:vertAlign w:val="subscript"/>
          <w:lang w:val="sl-SI"/>
        </w:rPr>
        <w:t>10</w:t>
      </w:r>
      <w:r w:rsidRPr="005771BD">
        <w:rPr>
          <w:rFonts w:eastAsiaTheme="minorHAnsi" w:cs="Arial"/>
          <w:szCs w:val="20"/>
          <w:lang w:val="sl-SI"/>
        </w:rPr>
        <w:t xml:space="preserve"> v Sloveniji je poleg okoljskega in  zdravstvenega tudi pravni problem zaradi kršitve direktive o kakovosti zunanjega zraka. </w:t>
      </w:r>
    </w:p>
    <w:p w:rsidR="00225F01" w:rsidRPr="005771BD" w:rsidRDefault="00225F01" w:rsidP="00225F01">
      <w:pPr>
        <w:autoSpaceDE w:val="0"/>
        <w:autoSpaceDN w:val="0"/>
        <w:adjustRightInd w:val="0"/>
        <w:spacing w:after="200" w:line="276" w:lineRule="auto"/>
        <w:jc w:val="both"/>
        <w:rPr>
          <w:rFonts w:eastAsiaTheme="minorHAnsi" w:cs="Arial"/>
          <w:szCs w:val="20"/>
          <w:lang w:val="sl-SI"/>
        </w:rPr>
      </w:pPr>
      <w:r w:rsidRPr="005771BD">
        <w:rPr>
          <w:rFonts w:eastAsiaTheme="minorHAnsi" w:cs="Arial"/>
          <w:szCs w:val="20"/>
          <w:lang w:val="sl-SI"/>
        </w:rPr>
        <w:t>Za dosego skladnosti s predpisanimi mejnimi vrednostmi za delce PM</w:t>
      </w:r>
      <w:r w:rsidRPr="005771BD">
        <w:rPr>
          <w:rFonts w:eastAsiaTheme="minorHAnsi" w:cs="Arial"/>
          <w:szCs w:val="20"/>
          <w:vertAlign w:val="subscript"/>
          <w:lang w:val="sl-SI"/>
        </w:rPr>
        <w:t>10</w:t>
      </w:r>
      <w:r w:rsidRPr="005771BD">
        <w:rPr>
          <w:rFonts w:eastAsiaTheme="minorHAnsi" w:cs="Arial"/>
          <w:szCs w:val="20"/>
          <w:lang w:val="sl-SI"/>
        </w:rPr>
        <w:t xml:space="preserve"> je bil leta 2009 sprejet državni Operativni program varstva zunanjega zraka pred onesnaževanjem s PM</w:t>
      </w:r>
      <w:r w:rsidRPr="005771BD">
        <w:rPr>
          <w:rFonts w:eastAsiaTheme="minorHAnsi" w:cs="Arial"/>
          <w:szCs w:val="20"/>
          <w:vertAlign w:val="subscript"/>
          <w:lang w:val="sl-SI"/>
        </w:rPr>
        <w:t>10</w:t>
      </w:r>
      <w:r w:rsidRPr="005771BD">
        <w:rPr>
          <w:rFonts w:eastAsiaTheme="minorHAnsi" w:cs="Arial"/>
          <w:szCs w:val="20"/>
          <w:lang w:val="sl-SI"/>
        </w:rPr>
        <w:t xml:space="preserve"> (OP PM</w:t>
      </w:r>
      <w:r w:rsidRPr="005771BD">
        <w:rPr>
          <w:rFonts w:eastAsiaTheme="minorHAnsi" w:cs="Arial"/>
          <w:szCs w:val="20"/>
          <w:vertAlign w:val="subscript"/>
          <w:lang w:val="sl-SI"/>
        </w:rPr>
        <w:t>10</w:t>
      </w:r>
      <w:r w:rsidRPr="005771BD">
        <w:rPr>
          <w:rFonts w:eastAsiaTheme="minorHAnsi" w:cs="Arial"/>
          <w:szCs w:val="20"/>
          <w:lang w:val="sl-SI"/>
        </w:rPr>
        <w:t xml:space="preserve">). V letih 2013 in 2014 so bili za posamezna območja s presežnimi onesnaženji sprejeti ukrepi za izboljšanje kakovosti zraka v vladnih odlokih o načrtih kakovosti zraka (v nadaljevanju: načrti kakovosti zraka). Približno dve leti po sprejetju načrtov so bili sprejeti tudi </w:t>
      </w:r>
      <w:r w:rsidRPr="005771BD">
        <w:rPr>
          <w:rFonts w:eastAsiaTheme="minorHAnsi" w:cs="Arial"/>
          <w:bCs/>
          <w:szCs w:val="20"/>
          <w:lang w:val="sl-SI"/>
        </w:rPr>
        <w:t xml:space="preserve">podrobnejši programi ukrepov, kjer so določeni </w:t>
      </w:r>
      <w:r w:rsidRPr="005771BD">
        <w:rPr>
          <w:rFonts w:eastAsiaTheme="minorHAnsi" w:cs="Arial"/>
          <w:szCs w:val="20"/>
          <w:lang w:val="sl-SI"/>
        </w:rPr>
        <w:t>tudi finančni viri za uresničevanje načrtov kakovosti zraka.</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 xml:space="preserve">Območij s preseženimi onesnaženji je sedem (MO Murska Sobota, MO Maribor, MO Celje, MO Kranj, MO Ljubljana, MO Novo mesto in zasavske občine) in za vsako območje preseganj je bil v sodelovanju med državo in mestom oziroma občino pripravljen, usklajen in sprejet načrt za kakovost zraka. </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Načrti za kakovost zraka posebno pozornost namenjajo sistemom ogrevanja gospodinjstev in stanovanj (ukrepi za spodbujanje prehoda z individualnih kurilnih naprav na daljinsko ogrevanje, ogrevanje z uporabo zemeljskega plina ali geotermalne energije), dodatni toplotni izolaciji stavb ter cestnemu prometu in trajnostni mobilnosti (ukrepi za pospešeni prehod na javni prevoz ter kolo ter za povečanje zelenih površin v mestih). Izpusti iz industrije so obravnavani predvsem v okviru zahtev/omejitev v okoljevarstvenih dovoljenjih in predpisih, ki urejajo izpuste onesnaževal iz industrije. Obratovanje industrije v skladu z najboljšimi razpoložljivimi tehnikami prav tako prispeva k boljši kakovosti zraka. Številni državni ukrepi in ukrepi iz načrtov za kakovost zraka predvidevajo tudi kampanje ozaveščanja in obveščanja.</w:t>
      </w:r>
    </w:p>
    <w:p w:rsidR="00225F01" w:rsidRPr="005771BD" w:rsidRDefault="00225F01" w:rsidP="00225F01">
      <w:pPr>
        <w:spacing w:before="60" w:line="276" w:lineRule="auto"/>
        <w:jc w:val="both"/>
        <w:rPr>
          <w:rFonts w:eastAsiaTheme="minorHAnsi" w:cs="Arial"/>
          <w:i/>
          <w:iCs/>
          <w:szCs w:val="20"/>
          <w:lang w:val="sl-SI"/>
        </w:rPr>
      </w:pPr>
      <w:r w:rsidRPr="005771BD">
        <w:rPr>
          <w:rFonts w:cs="Arial"/>
          <w:i/>
          <w:color w:val="000000"/>
          <w:szCs w:val="20"/>
          <w:lang w:val="sl-SI" w:eastAsia="sl-SI"/>
        </w:rPr>
        <w:t xml:space="preserve">Preglednica </w:t>
      </w:r>
      <w:r w:rsidR="00044E8C">
        <w:rPr>
          <w:rFonts w:cs="Arial"/>
          <w:i/>
          <w:color w:val="000000"/>
          <w:szCs w:val="20"/>
          <w:lang w:val="sl-SI" w:eastAsia="sl-SI"/>
        </w:rPr>
        <w:t>6</w:t>
      </w:r>
      <w:r w:rsidRPr="005771BD">
        <w:rPr>
          <w:rFonts w:cs="Arial"/>
          <w:i/>
          <w:color w:val="000000"/>
          <w:szCs w:val="20"/>
          <w:lang w:val="sl-SI" w:eastAsia="sl-SI"/>
        </w:rPr>
        <w:t>.2</w:t>
      </w:r>
      <w:r w:rsidRPr="005771BD">
        <w:rPr>
          <w:rFonts w:eastAsiaTheme="minorHAnsi" w:cs="Arial"/>
          <w:i/>
          <w:szCs w:val="20"/>
          <w:lang w:val="sl-SI"/>
        </w:rPr>
        <w:t>:</w:t>
      </w:r>
      <w:r w:rsidRPr="005771BD">
        <w:rPr>
          <w:rFonts w:eastAsiaTheme="minorHAnsi" w:cs="Arial"/>
          <w:i/>
          <w:iCs/>
          <w:szCs w:val="20"/>
          <w:lang w:val="sl-SI"/>
        </w:rPr>
        <w:t xml:space="preserve"> Največje število preseganj dnevne mejne vrednosti delcev PM</w:t>
      </w:r>
      <w:r w:rsidRPr="005771BD">
        <w:rPr>
          <w:rFonts w:eastAsiaTheme="minorHAnsi" w:cs="Arial"/>
          <w:i/>
          <w:iCs/>
          <w:szCs w:val="20"/>
          <w:vertAlign w:val="subscript"/>
          <w:lang w:val="sl-SI"/>
        </w:rPr>
        <w:t>10</w:t>
      </w:r>
      <w:r w:rsidRPr="005771BD">
        <w:rPr>
          <w:rFonts w:eastAsiaTheme="minorHAnsi" w:cs="Arial"/>
          <w:i/>
          <w:iCs/>
          <w:szCs w:val="20"/>
          <w:lang w:val="sl-SI"/>
        </w:rPr>
        <w:t xml:space="preserve"> (50 μg/m</w:t>
      </w:r>
      <w:r w:rsidRPr="005771BD">
        <w:rPr>
          <w:rFonts w:eastAsiaTheme="minorHAnsi" w:cs="Arial"/>
          <w:i/>
          <w:iCs/>
          <w:szCs w:val="20"/>
          <w:vertAlign w:val="superscript"/>
          <w:lang w:val="sl-SI"/>
        </w:rPr>
        <w:t>3</w:t>
      </w:r>
      <w:r w:rsidRPr="005771BD">
        <w:rPr>
          <w:rFonts w:eastAsiaTheme="minorHAnsi" w:cs="Arial"/>
          <w:i/>
          <w:iCs/>
          <w:szCs w:val="20"/>
          <w:lang w:val="sl-SI"/>
        </w:rPr>
        <w:t xml:space="preserve">) v Sloveniji po posameznih območjih (število dni). </w:t>
      </w:r>
    </w:p>
    <w:p w:rsidR="00225F01" w:rsidRPr="005771BD" w:rsidRDefault="00225F01" w:rsidP="00225F01">
      <w:pPr>
        <w:spacing w:before="60" w:after="120" w:line="276" w:lineRule="auto"/>
        <w:jc w:val="both"/>
        <w:rPr>
          <w:rFonts w:eastAsiaTheme="minorHAnsi" w:cs="Arial"/>
          <w:i/>
          <w:sz w:val="18"/>
          <w:szCs w:val="18"/>
          <w:lang w:val="sl-SI"/>
        </w:rPr>
      </w:pPr>
      <w:r w:rsidRPr="005771BD">
        <w:rPr>
          <w:rFonts w:eastAsiaTheme="minorHAnsi" w:cs="Arial"/>
          <w:i/>
          <w:iCs/>
          <w:sz w:val="18"/>
          <w:szCs w:val="18"/>
          <w:lang w:val="sl-SI"/>
        </w:rPr>
        <w:t>Vir: ARSO.</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72"/>
        <w:gridCol w:w="1814"/>
        <w:gridCol w:w="661"/>
        <w:gridCol w:w="661"/>
        <w:gridCol w:w="661"/>
        <w:gridCol w:w="661"/>
        <w:gridCol w:w="661"/>
        <w:gridCol w:w="661"/>
        <w:gridCol w:w="661"/>
        <w:gridCol w:w="661"/>
        <w:gridCol w:w="661"/>
      </w:tblGrid>
      <w:tr w:rsidR="00225F01" w:rsidRPr="005771BD" w:rsidTr="00225F01">
        <w:trPr>
          <w:trHeight w:val="75"/>
        </w:trPr>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b/>
                <w:bCs/>
                <w:color w:val="000000"/>
                <w:szCs w:val="20"/>
                <w:lang w:val="sl-SI"/>
              </w:rPr>
              <w:t xml:space="preserve">Območje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b/>
                <w:bCs/>
                <w:color w:val="000000"/>
                <w:szCs w:val="20"/>
                <w:lang w:val="sl-SI"/>
              </w:rPr>
              <w:t xml:space="preserve">Ime območja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b/>
                <w:bCs/>
                <w:color w:val="000000"/>
                <w:szCs w:val="20"/>
                <w:lang w:val="sl-SI"/>
              </w:rPr>
              <w:t xml:space="preserve">2006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b/>
                <w:bCs/>
                <w:color w:val="000000"/>
                <w:szCs w:val="20"/>
                <w:lang w:val="sl-SI"/>
              </w:rPr>
              <w:t xml:space="preserve">2007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b/>
                <w:bCs/>
                <w:color w:val="000000"/>
                <w:szCs w:val="20"/>
                <w:lang w:val="sl-SI"/>
              </w:rPr>
              <w:t xml:space="preserve">2008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b/>
                <w:bCs/>
                <w:color w:val="000000"/>
                <w:szCs w:val="20"/>
                <w:lang w:val="sl-SI"/>
              </w:rPr>
              <w:t xml:space="preserve">2009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b/>
                <w:bCs/>
                <w:color w:val="000000"/>
                <w:szCs w:val="20"/>
                <w:lang w:val="sl-SI"/>
              </w:rPr>
              <w:t xml:space="preserve">2010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b/>
                <w:bCs/>
                <w:color w:val="000000"/>
                <w:szCs w:val="20"/>
                <w:lang w:val="sl-SI"/>
              </w:rPr>
              <w:t xml:space="preserve">2011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b/>
                <w:bCs/>
                <w:color w:val="000000"/>
                <w:szCs w:val="20"/>
                <w:lang w:val="sl-SI"/>
              </w:rPr>
              <w:t xml:space="preserve">2012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b/>
                <w:bCs/>
                <w:color w:val="000000"/>
                <w:szCs w:val="20"/>
                <w:lang w:val="sl-SI"/>
              </w:rPr>
              <w:t xml:space="preserve">2013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b/>
                <w:bCs/>
                <w:color w:val="000000"/>
                <w:szCs w:val="20"/>
                <w:lang w:val="sl-SI"/>
              </w:rPr>
              <w:t>2014</w:t>
            </w:r>
          </w:p>
        </w:tc>
      </w:tr>
      <w:tr w:rsidR="00225F01" w:rsidRPr="005771BD" w:rsidTr="00225F01">
        <w:trPr>
          <w:trHeight w:val="175"/>
        </w:trPr>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color w:val="000000"/>
                <w:szCs w:val="20"/>
                <w:lang w:val="sl-SI"/>
              </w:rPr>
              <w:t xml:space="preserve">SIC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color w:val="000000"/>
                <w:szCs w:val="20"/>
                <w:lang w:val="sl-SI"/>
              </w:rPr>
              <w:t xml:space="preserve">celinsko območje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b/>
                <w:bCs/>
                <w:color w:val="000000"/>
                <w:szCs w:val="20"/>
                <w:lang w:val="sl-SI"/>
              </w:rPr>
              <w:t xml:space="preserve">109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b/>
                <w:bCs/>
                <w:color w:val="000000"/>
                <w:szCs w:val="20"/>
                <w:lang w:val="sl-SI"/>
              </w:rPr>
              <w:t xml:space="preserve">100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b/>
                <w:bCs/>
                <w:color w:val="000000"/>
                <w:szCs w:val="20"/>
                <w:lang w:val="sl-SI"/>
              </w:rPr>
              <w:t xml:space="preserve">109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b/>
                <w:bCs/>
                <w:color w:val="000000"/>
                <w:szCs w:val="20"/>
                <w:lang w:val="sl-SI"/>
              </w:rPr>
              <w:t xml:space="preserve">50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b/>
                <w:bCs/>
                <w:color w:val="000000"/>
                <w:szCs w:val="20"/>
                <w:lang w:val="sl-SI"/>
              </w:rPr>
              <w:t xml:space="preserve">69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b/>
                <w:bCs/>
                <w:color w:val="000000"/>
                <w:szCs w:val="20"/>
                <w:lang w:val="sl-SI"/>
              </w:rPr>
              <w:t xml:space="preserve">80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b/>
                <w:bCs/>
                <w:color w:val="000000"/>
                <w:szCs w:val="20"/>
                <w:lang w:val="sl-SI"/>
              </w:rPr>
              <w:t xml:space="preserve">65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b/>
                <w:bCs/>
                <w:color w:val="000000"/>
                <w:szCs w:val="20"/>
                <w:lang w:val="sl-SI"/>
              </w:rPr>
              <w:t xml:space="preserve">51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b/>
                <w:bCs/>
                <w:color w:val="000000"/>
                <w:szCs w:val="20"/>
                <w:lang w:val="sl-SI"/>
              </w:rPr>
              <w:t xml:space="preserve">40 </w:t>
            </w:r>
          </w:p>
        </w:tc>
      </w:tr>
      <w:tr w:rsidR="00225F01" w:rsidRPr="005771BD" w:rsidTr="00225F01">
        <w:trPr>
          <w:trHeight w:val="205"/>
        </w:trPr>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color w:val="000000"/>
                <w:szCs w:val="20"/>
                <w:lang w:val="sl-SI"/>
              </w:rPr>
              <w:t xml:space="preserve">SIP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color w:val="000000"/>
                <w:szCs w:val="20"/>
                <w:lang w:val="sl-SI"/>
              </w:rPr>
              <w:t xml:space="preserve">primorsko območje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b/>
                <w:bCs/>
                <w:color w:val="000000"/>
                <w:szCs w:val="20"/>
                <w:lang w:val="sl-SI"/>
              </w:rPr>
              <w:t xml:space="preserve">49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b/>
                <w:bCs/>
                <w:color w:val="000000"/>
                <w:szCs w:val="20"/>
                <w:lang w:val="sl-SI"/>
              </w:rPr>
              <w:t xml:space="preserve">40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color w:val="000000"/>
                <w:szCs w:val="20"/>
                <w:lang w:val="sl-SI"/>
              </w:rPr>
              <w:t xml:space="preserve">35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color w:val="000000"/>
                <w:szCs w:val="20"/>
                <w:lang w:val="sl-SI"/>
              </w:rPr>
              <w:t xml:space="preserve">24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color w:val="000000"/>
                <w:szCs w:val="20"/>
                <w:lang w:val="sl-SI"/>
              </w:rPr>
              <w:t xml:space="preserve">27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color w:val="000000"/>
                <w:szCs w:val="20"/>
                <w:lang w:val="sl-SI"/>
              </w:rPr>
              <w:t xml:space="preserve">28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color w:val="000000"/>
                <w:szCs w:val="20"/>
                <w:lang w:val="sl-SI"/>
              </w:rPr>
              <w:t xml:space="preserve">24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color w:val="000000"/>
                <w:szCs w:val="20"/>
                <w:lang w:val="sl-SI"/>
              </w:rPr>
              <w:t xml:space="preserve">12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color w:val="000000"/>
                <w:szCs w:val="20"/>
                <w:lang w:val="sl-SI"/>
              </w:rPr>
              <w:t xml:space="preserve">18 </w:t>
            </w:r>
          </w:p>
        </w:tc>
      </w:tr>
      <w:tr w:rsidR="00225F01" w:rsidRPr="005771BD" w:rsidTr="00225F01">
        <w:trPr>
          <w:trHeight w:val="76"/>
        </w:trPr>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color w:val="000000"/>
                <w:szCs w:val="20"/>
                <w:lang w:val="sl-SI"/>
              </w:rPr>
              <w:t xml:space="preserve">SIL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color w:val="000000"/>
                <w:szCs w:val="20"/>
                <w:lang w:val="sl-SI"/>
              </w:rPr>
              <w:t xml:space="preserve">Ljubljana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b/>
                <w:bCs/>
                <w:color w:val="000000"/>
                <w:szCs w:val="20"/>
                <w:lang w:val="sl-SI"/>
              </w:rPr>
              <w:t xml:space="preserve">49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b/>
                <w:bCs/>
                <w:color w:val="000000"/>
                <w:szCs w:val="20"/>
                <w:lang w:val="sl-SI"/>
              </w:rPr>
              <w:t xml:space="preserve">48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b/>
                <w:bCs/>
                <w:color w:val="000000"/>
                <w:szCs w:val="20"/>
                <w:lang w:val="sl-SI"/>
              </w:rPr>
              <w:t xml:space="preserve">37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color w:val="000000"/>
                <w:szCs w:val="20"/>
                <w:lang w:val="sl-SI"/>
              </w:rPr>
              <w:t xml:space="preserve">31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b/>
                <w:bCs/>
                <w:color w:val="000000"/>
                <w:szCs w:val="20"/>
                <w:lang w:val="sl-SI"/>
              </w:rPr>
              <w:t xml:space="preserve">44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b/>
                <w:bCs/>
                <w:color w:val="000000"/>
                <w:szCs w:val="20"/>
                <w:lang w:val="sl-SI"/>
              </w:rPr>
              <w:t xml:space="preserve">63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color w:val="000000"/>
                <w:szCs w:val="20"/>
                <w:lang w:val="sl-SI"/>
              </w:rPr>
              <w:t xml:space="preserve">28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color w:val="000000"/>
                <w:szCs w:val="20"/>
                <w:lang w:val="sl-SI"/>
              </w:rPr>
              <w:t xml:space="preserve">24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color w:val="000000"/>
                <w:szCs w:val="20"/>
                <w:lang w:val="sl-SI"/>
              </w:rPr>
              <w:t xml:space="preserve">18 </w:t>
            </w:r>
          </w:p>
        </w:tc>
      </w:tr>
      <w:tr w:rsidR="00225F01" w:rsidRPr="005771BD" w:rsidTr="00225F01">
        <w:trPr>
          <w:trHeight w:val="76"/>
        </w:trPr>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color w:val="000000"/>
                <w:szCs w:val="20"/>
                <w:lang w:val="sl-SI"/>
              </w:rPr>
              <w:t xml:space="preserve">SIM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color w:val="000000"/>
                <w:szCs w:val="20"/>
                <w:lang w:val="sl-SI"/>
              </w:rPr>
              <w:t xml:space="preserve">Maribor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b/>
                <w:bCs/>
                <w:color w:val="000000"/>
                <w:szCs w:val="20"/>
                <w:lang w:val="sl-SI"/>
              </w:rPr>
              <w:t xml:space="preserve">112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b/>
                <w:bCs/>
                <w:color w:val="000000"/>
                <w:szCs w:val="20"/>
                <w:lang w:val="sl-SI"/>
              </w:rPr>
              <w:t xml:space="preserve">92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b/>
                <w:bCs/>
                <w:color w:val="000000"/>
                <w:szCs w:val="20"/>
                <w:lang w:val="sl-SI"/>
              </w:rPr>
              <w:t xml:space="preserve">53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b/>
                <w:bCs/>
                <w:color w:val="000000"/>
                <w:szCs w:val="20"/>
                <w:lang w:val="sl-SI"/>
              </w:rPr>
              <w:t xml:space="preserve">36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b/>
                <w:bCs/>
                <w:color w:val="000000"/>
                <w:szCs w:val="20"/>
                <w:lang w:val="sl-SI"/>
              </w:rPr>
              <w:t xml:space="preserve">48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b/>
                <w:bCs/>
                <w:color w:val="000000"/>
                <w:szCs w:val="20"/>
                <w:lang w:val="sl-SI"/>
              </w:rPr>
              <w:t xml:space="preserve">67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color w:val="000000"/>
                <w:szCs w:val="20"/>
                <w:lang w:val="sl-SI"/>
              </w:rPr>
              <w:t xml:space="preserve">35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b/>
                <w:bCs/>
                <w:color w:val="000000"/>
                <w:szCs w:val="20"/>
                <w:lang w:val="sl-SI"/>
              </w:rPr>
              <w:t xml:space="preserve">36 </w:t>
            </w:r>
          </w:p>
        </w:tc>
        <w:tc>
          <w:tcPr>
            <w:tcW w:w="0" w:type="auto"/>
          </w:tcPr>
          <w:p w:rsidR="00225F01" w:rsidRPr="005771BD" w:rsidRDefault="00225F01" w:rsidP="00225F01">
            <w:pPr>
              <w:autoSpaceDE w:val="0"/>
              <w:autoSpaceDN w:val="0"/>
              <w:adjustRightInd w:val="0"/>
              <w:spacing w:after="200" w:line="276" w:lineRule="auto"/>
              <w:rPr>
                <w:rFonts w:eastAsiaTheme="minorHAnsi" w:cs="Arial"/>
                <w:color w:val="000000"/>
                <w:szCs w:val="20"/>
                <w:lang w:val="sl-SI"/>
              </w:rPr>
            </w:pPr>
            <w:r w:rsidRPr="005771BD">
              <w:rPr>
                <w:rFonts w:eastAsiaTheme="minorHAnsi" w:cs="Arial"/>
                <w:color w:val="000000"/>
                <w:szCs w:val="20"/>
                <w:lang w:val="sl-SI"/>
              </w:rPr>
              <w:t xml:space="preserve">25 </w:t>
            </w:r>
          </w:p>
        </w:tc>
      </w:tr>
    </w:tbl>
    <w:p w:rsidR="00225F01" w:rsidRPr="005771BD" w:rsidRDefault="00225F01" w:rsidP="00225F01">
      <w:pPr>
        <w:autoSpaceDE w:val="0"/>
        <w:autoSpaceDN w:val="0"/>
        <w:adjustRightInd w:val="0"/>
        <w:spacing w:after="200" w:line="276" w:lineRule="auto"/>
        <w:jc w:val="both"/>
        <w:rPr>
          <w:rFonts w:eastAsiaTheme="minorHAnsi" w:cs="Arial"/>
          <w:color w:val="000000"/>
          <w:szCs w:val="20"/>
          <w:lang w:val="sl-SI"/>
        </w:rPr>
      </w:pPr>
    </w:p>
    <w:p w:rsidR="00225F01" w:rsidRPr="005771BD" w:rsidRDefault="00225F01" w:rsidP="00225F01">
      <w:pPr>
        <w:autoSpaceDE w:val="0"/>
        <w:autoSpaceDN w:val="0"/>
        <w:adjustRightInd w:val="0"/>
        <w:spacing w:after="200" w:line="276" w:lineRule="auto"/>
        <w:jc w:val="both"/>
        <w:rPr>
          <w:rFonts w:eastAsiaTheme="minorHAnsi" w:cs="Arial"/>
          <w:szCs w:val="20"/>
          <w:lang w:val="sl-SI"/>
        </w:rPr>
      </w:pPr>
      <w:r w:rsidRPr="005771BD">
        <w:rPr>
          <w:rFonts w:eastAsiaTheme="minorHAnsi" w:cs="Arial"/>
          <w:color w:val="000000"/>
          <w:szCs w:val="20"/>
          <w:lang w:val="sl-SI"/>
        </w:rPr>
        <w:t xml:space="preserve">Poleg ukrepov v načrtih za kakovost zraka so bili nedavno sprejeti tudi nekateri drugi ukrepi, ki neposredno ali posredno obravnavajo kakovost zunanjega zraka. Med njimi so sprejem </w:t>
      </w:r>
      <w:r w:rsidRPr="005771BD">
        <w:rPr>
          <w:rFonts w:eastAsiaTheme="minorHAnsi" w:cs="Arial"/>
          <w:szCs w:val="20"/>
          <w:lang w:val="sl-SI"/>
        </w:rPr>
        <w:t xml:space="preserve">Pravilnika o emisiji plinastih onesnaževal in delcev iz motorjev z notranjim zgorevanjem, namenjenih za vgradnjo v necestne premične stroje (Uradni list RS, št. 54/11, 38/12, 28/14), in Uredbe o informacijah o varčnosti porabe goriva, emisijah ogljikovega dioksida in emisijah onesnaževal zunanjega zraka, ki so na voljo potrošnikom o novih osebnih avtomobilih (Uradni list RS, št. 24/14).    </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 xml:space="preserve">S sprejemom programa porabe sredstev sklada za podnebne spremembe leta 2013, ki vključuje ukrepe za izboljšanje učinkovite rabe energije in kakovosti zraka v območjih, ki ne dosegajo mejnih vrednosti za delce, ukrepe za podporo obnovljivih virov energije in ukrepe za spodbujanje nakupa vozil za javni prevoz na zemeljski plin, se spodbujajo tudi skupni učinki ukrepov za povečanje kakovosti zraka in ukrepov na področju podnebnih sprememb. </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 xml:space="preserve">Nekateri državni ukrepi in ukrepi iz načrtov za kakovost zraka še niso bili v celoti izvedeni, nekateri pa so še v fazi načrtovanja. Več predlaganih ukrepov je odvisnih od uspešnega izvajanja operativnega programa za izvajanje evropske kohezijske politike v obdobju 2014–2020, nekateri so vezani na pripravo prostovoljnih načrtov mobilnosti, ki jih lokalno izvajajo občine in lokalne upravne enote ter poslovni sektor, in na pripravo celostnih prometnih strategij in trajnostnih urbanih strategij. </w:t>
      </w:r>
    </w:p>
    <w:p w:rsidR="00225F01" w:rsidRPr="005771BD" w:rsidRDefault="00225F01" w:rsidP="00225F01">
      <w:pPr>
        <w:spacing w:after="360" w:line="276" w:lineRule="auto"/>
        <w:jc w:val="both"/>
        <w:rPr>
          <w:rFonts w:eastAsiaTheme="minorHAnsi" w:cs="Arial"/>
          <w:szCs w:val="20"/>
          <w:lang w:val="sl-SI" w:eastAsia="sl-SI"/>
        </w:rPr>
      </w:pPr>
      <w:r w:rsidRPr="005771BD">
        <w:rPr>
          <w:rFonts w:eastAsiaTheme="minorHAnsi" w:cs="Arial"/>
          <w:szCs w:val="20"/>
          <w:lang w:val="sl-SI"/>
        </w:rPr>
        <w:t>Zagotavljajo se tudi finančne spodbude občanom za nove naložbe zaradi rabe obnovljivih virov energije in večje energijske učinkovitosti stanovanjskih stavb in državne subvencije za nakup mestnih avtobusov z nizkimi emisijami.</w:t>
      </w:r>
    </w:p>
    <w:p w:rsidR="00225F01" w:rsidRPr="005771BD" w:rsidRDefault="00044E8C" w:rsidP="00225F01">
      <w:pPr>
        <w:spacing w:after="200" w:line="276" w:lineRule="auto"/>
        <w:rPr>
          <w:rFonts w:cs="Arial"/>
          <w:b/>
          <w:bCs/>
          <w:color w:val="000000" w:themeColor="text1"/>
          <w:szCs w:val="20"/>
          <w:lang w:val="sl-SI" w:eastAsia="sl-SI"/>
        </w:rPr>
      </w:pPr>
      <w:r>
        <w:rPr>
          <w:rFonts w:cs="Arial"/>
          <w:b/>
          <w:bCs/>
          <w:color w:val="000000" w:themeColor="text1"/>
          <w:szCs w:val="20"/>
          <w:lang w:val="sl-SI" w:eastAsia="sl-SI"/>
        </w:rPr>
        <w:t>6</w:t>
      </w:r>
      <w:r w:rsidR="00225F01" w:rsidRPr="005771BD">
        <w:rPr>
          <w:rFonts w:cs="Arial"/>
          <w:b/>
          <w:bCs/>
          <w:color w:val="000000" w:themeColor="text1"/>
          <w:szCs w:val="20"/>
          <w:lang w:val="sl-SI" w:eastAsia="sl-SI"/>
        </w:rPr>
        <w:t>.4.2 Izvajanje dimnikarske službe</w:t>
      </w:r>
    </w:p>
    <w:p w:rsidR="00225F01" w:rsidRPr="005771BD" w:rsidRDefault="00225F01" w:rsidP="00225F01">
      <w:pPr>
        <w:spacing w:after="200" w:line="276" w:lineRule="auto"/>
        <w:jc w:val="both"/>
        <w:rPr>
          <w:rFonts w:cs="Arial"/>
          <w:bCs/>
          <w:color w:val="000000" w:themeColor="text1"/>
          <w:szCs w:val="20"/>
          <w:lang w:val="sl-SI" w:eastAsia="sl-SI"/>
        </w:rPr>
      </w:pPr>
      <w:r w:rsidRPr="005771BD">
        <w:rPr>
          <w:rFonts w:cs="Arial"/>
          <w:bCs/>
          <w:color w:val="000000" w:themeColor="text1"/>
          <w:szCs w:val="20"/>
          <w:lang w:val="sl-SI" w:eastAsia="sl-SI"/>
        </w:rPr>
        <w:t>K preprečevanju onesnaženosti zunanjega zraka v Slovenij</w:t>
      </w:r>
      <w:r>
        <w:rPr>
          <w:rFonts w:cs="Arial"/>
          <w:bCs/>
          <w:color w:val="000000" w:themeColor="text1"/>
          <w:szCs w:val="20"/>
          <w:lang w:val="sl-SI" w:eastAsia="sl-SI"/>
        </w:rPr>
        <w:t>i</w:t>
      </w:r>
      <w:r w:rsidRPr="005771BD">
        <w:rPr>
          <w:rFonts w:cs="Arial"/>
          <w:bCs/>
          <w:color w:val="000000" w:themeColor="text1"/>
          <w:szCs w:val="20"/>
          <w:lang w:val="sl-SI" w:eastAsia="sl-SI"/>
        </w:rPr>
        <w:t xml:space="preserve"> prispeva tudi izvajanje dimnikarske službe, ki je </w:t>
      </w:r>
      <w:r w:rsidRPr="005771BD">
        <w:rPr>
          <w:rFonts w:eastAsiaTheme="minorHAnsi" w:cs="Arial"/>
          <w:color w:val="000000" w:themeColor="text1"/>
          <w:szCs w:val="20"/>
          <w:lang w:val="sl-SI"/>
        </w:rPr>
        <w:t xml:space="preserve">obvezna državna gospodarska javna služba izvajanja meritev, pregledovanja in čiščenja kurilnih naprav, dimnih vodov in zračnikov zaradi varstva okolja in učinkovite rabe energije, varstva človekovega zdravja in varstva pred požarom.  </w:t>
      </w:r>
    </w:p>
    <w:p w:rsidR="00225F01" w:rsidRPr="005771BD" w:rsidRDefault="00225F01" w:rsidP="00225F01">
      <w:pPr>
        <w:spacing w:after="360" w:line="276" w:lineRule="auto"/>
        <w:jc w:val="both"/>
        <w:rPr>
          <w:rFonts w:eastAsiaTheme="minorHAnsi" w:cs="Arial"/>
          <w:szCs w:val="20"/>
          <w:lang w:val="sl-SI" w:eastAsia="sl-SI"/>
        </w:rPr>
      </w:pPr>
      <w:r w:rsidRPr="005771BD">
        <w:rPr>
          <w:rFonts w:eastAsiaTheme="minorHAnsi" w:cs="Arial"/>
          <w:szCs w:val="20"/>
          <w:lang w:val="sl-SI" w:eastAsia="sl-SI"/>
        </w:rPr>
        <w:t>Za načrtovanje politik kakovosti zraka in spremljanje izvajanja ukrepov za izboljšanje kakovosti zraka je zelo pomembna evidenca kurilnih naprav. Podatki v evidenci malih kurilnih naprav Evi-Dim so še vedno pomanjkljivi, zato je spremljanje izpustov onesnaževal iz malih kurilnih naprav in izvajanja ukrepov oteženo.</w:t>
      </w:r>
    </w:p>
    <w:p w:rsidR="00225F01" w:rsidRPr="005771BD" w:rsidRDefault="00044E8C" w:rsidP="00225F01">
      <w:pPr>
        <w:spacing w:after="200" w:line="276" w:lineRule="auto"/>
        <w:rPr>
          <w:rFonts w:eastAsiaTheme="minorHAnsi" w:cs="Arial"/>
          <w:b/>
          <w:szCs w:val="20"/>
          <w:lang w:val="sl-SI"/>
        </w:rPr>
      </w:pPr>
      <w:r>
        <w:rPr>
          <w:rFonts w:eastAsiaTheme="minorHAnsi" w:cs="Arial"/>
          <w:b/>
          <w:szCs w:val="20"/>
          <w:lang w:val="sl-SI"/>
        </w:rPr>
        <w:t>6</w:t>
      </w:r>
      <w:r w:rsidR="00225F01" w:rsidRPr="005771BD">
        <w:rPr>
          <w:rFonts w:eastAsiaTheme="minorHAnsi" w:cs="Arial"/>
          <w:b/>
          <w:szCs w:val="20"/>
          <w:lang w:val="sl-SI"/>
        </w:rPr>
        <w:t xml:space="preserve">.4.3 Doseganje ciljev zgornjih mej izpustov za nekatera onesnaževala zunanjega zraka </w:t>
      </w:r>
    </w:p>
    <w:p w:rsidR="00225F01" w:rsidRPr="005771BD" w:rsidRDefault="00225F01" w:rsidP="00225F01">
      <w:pPr>
        <w:spacing w:after="200" w:line="276" w:lineRule="auto"/>
        <w:jc w:val="both"/>
        <w:rPr>
          <w:rFonts w:eastAsiaTheme="minorHAnsi" w:cs="Arial"/>
          <w:szCs w:val="20"/>
          <w:lang w:val="sl-SI"/>
        </w:rPr>
      </w:pPr>
      <w:r w:rsidRPr="005771BD">
        <w:rPr>
          <w:rFonts w:eastAsiaTheme="minorHAnsi" w:cs="Arial"/>
          <w:szCs w:val="20"/>
          <w:lang w:val="sl-SI"/>
        </w:rPr>
        <w:t>Da bi se zmanjšali škodljivi učinki zakisljevanja, evtrofikacije tal in prizemnega ozona na okolje in prebivalstvo je bil leta 2005 sprejet Operativni program doseganja nacionalnih zgornjih mej onesnaževal zunanjega zraka (OP NEC) zaradi doseganja nacionalnih zgornjih mej emisij onesnaževal zunanjega zraka, ki so bile za Slovenijo določene v Protokolu o zmanjševanju zakisljevanja, evtrofikacije in prizemnega ozona (Göteborški protokol) h Konvenciji iz leta 1979 o onesnaževanju zraka na velike razdalje preko meja (CLRTAP) in v Direktivi 2001/81/ES o nacionalnih zgornjih mejah emisij za nekatera onesnaževala zraka (direktiva NEC). Leta 2007 je bila sprejeta revizija tega programa.</w:t>
      </w:r>
    </w:p>
    <w:p w:rsidR="00225F01" w:rsidRPr="005771BD" w:rsidRDefault="00225F01" w:rsidP="00225F01">
      <w:pPr>
        <w:spacing w:after="200" w:line="276" w:lineRule="auto"/>
        <w:jc w:val="both"/>
        <w:rPr>
          <w:rFonts w:cs="Arial"/>
          <w:szCs w:val="20"/>
          <w:lang w:val="sl-SI" w:eastAsia="sl-SI"/>
        </w:rPr>
      </w:pPr>
      <w:r w:rsidRPr="005771BD">
        <w:rPr>
          <w:rFonts w:eastAsiaTheme="minorHAnsi" w:cs="Arial"/>
          <w:szCs w:val="20"/>
          <w:lang w:val="sl-SI"/>
        </w:rPr>
        <w:t xml:space="preserve">V slovenskem pravnem redu so zahteve iz zgoraj navedenih aktov urejene z Uredbo o nacionalnih zgornjih mejah emisij onesnaževal zunanjega zraka (Ur. l. RS, št. 24/05, </w:t>
      </w:r>
      <w:hyperlink r:id="rId85" w:tgtFrame="_blank" w:tooltip="Uredba o spremembi in dopolnitvi Uredbe o nacionalnih zgornjih mejah emisij onesnaževal zunanjega zraka" w:history="1">
        <w:r w:rsidRPr="005771BD">
          <w:rPr>
            <w:rFonts w:eastAsiaTheme="minorHAnsi" w:cs="Arial"/>
            <w:bCs/>
            <w:szCs w:val="20"/>
            <w:lang w:val="sl-SI"/>
          </w:rPr>
          <w:t>92/07</w:t>
        </w:r>
      </w:hyperlink>
      <w:r w:rsidRPr="005771BD">
        <w:rPr>
          <w:rFonts w:eastAsiaTheme="minorHAnsi" w:cs="Arial"/>
          <w:bCs/>
          <w:szCs w:val="20"/>
          <w:lang w:val="sl-SI"/>
        </w:rPr>
        <w:t xml:space="preserve"> in </w:t>
      </w:r>
      <w:hyperlink r:id="rId86" w:tgtFrame="_blank" w:tooltip="Uredba o spremembah Uredbe o nacionalnih zgornjih mejah emisij onesnaževal zunanjega zraka" w:history="1">
        <w:r w:rsidRPr="005771BD">
          <w:rPr>
            <w:rFonts w:eastAsiaTheme="minorHAnsi" w:cs="Arial"/>
            <w:bCs/>
            <w:szCs w:val="20"/>
            <w:lang w:val="sl-SI"/>
          </w:rPr>
          <w:t>10/14</w:t>
        </w:r>
      </w:hyperlink>
      <w:r w:rsidRPr="005771BD">
        <w:rPr>
          <w:rFonts w:eastAsiaTheme="minorHAnsi" w:cs="Arial"/>
          <w:szCs w:val="20"/>
          <w:lang w:val="sl-SI"/>
        </w:rPr>
        <w:t xml:space="preserve">; v nadaljnjem besedilu: uredba NEC). V skladu s to uredbo izpusti onesnaževal zraka od vključno leta 2010 ne smejo preseči ciljnih vrednosti 27000 t za </w:t>
      </w:r>
      <w:r w:rsidRPr="005771BD">
        <w:rPr>
          <w:rFonts w:cs="Arial"/>
          <w:szCs w:val="20"/>
          <w:lang w:val="sl-SI" w:eastAsia="sl-SI"/>
        </w:rPr>
        <w:t>SO</w:t>
      </w:r>
      <w:r w:rsidRPr="005771BD">
        <w:rPr>
          <w:rFonts w:cs="Arial"/>
          <w:szCs w:val="20"/>
          <w:vertAlign w:val="subscript"/>
          <w:lang w:val="sl-SI" w:eastAsia="sl-SI"/>
        </w:rPr>
        <w:t>2</w:t>
      </w:r>
      <w:r w:rsidRPr="005771BD">
        <w:rPr>
          <w:rFonts w:cs="Arial"/>
          <w:szCs w:val="20"/>
          <w:lang w:val="sl-SI" w:eastAsia="sl-SI"/>
        </w:rPr>
        <w:t xml:space="preserve"> , 45000 t za NOx , 40000 t za NMVOC in 20000 t za NH</w:t>
      </w:r>
      <w:r w:rsidRPr="005771BD">
        <w:rPr>
          <w:rFonts w:cs="Arial"/>
          <w:szCs w:val="20"/>
          <w:vertAlign w:val="subscript"/>
          <w:lang w:val="sl-SI" w:eastAsia="sl-SI"/>
        </w:rPr>
        <w:t>3</w:t>
      </w:r>
      <w:r w:rsidRPr="005771BD">
        <w:rPr>
          <w:rFonts w:cs="Arial"/>
          <w:szCs w:val="20"/>
          <w:lang w:val="sl-SI" w:eastAsia="sl-SI"/>
        </w:rPr>
        <w:t>.</w:t>
      </w:r>
    </w:p>
    <w:p w:rsidR="00225F01" w:rsidRPr="005771BD" w:rsidRDefault="00225F01" w:rsidP="00225F01">
      <w:pPr>
        <w:spacing w:after="200" w:line="276" w:lineRule="auto"/>
        <w:jc w:val="both"/>
        <w:rPr>
          <w:rFonts w:eastAsiaTheme="minorHAnsi" w:cs="Arial"/>
          <w:szCs w:val="20"/>
          <w:lang w:val="sl-SI" w:eastAsia="sl-SI"/>
        </w:rPr>
      </w:pPr>
      <w:r w:rsidRPr="005771BD">
        <w:rPr>
          <w:rFonts w:eastAsiaTheme="minorHAnsi" w:cs="Arial"/>
          <w:szCs w:val="20"/>
          <w:lang w:val="sl-SI" w:eastAsia="sl-SI"/>
        </w:rPr>
        <w:t>Izpusti metana (CH</w:t>
      </w:r>
      <w:r w:rsidRPr="005771BD">
        <w:rPr>
          <w:rFonts w:eastAsiaTheme="minorHAnsi" w:cs="Arial"/>
          <w:szCs w:val="20"/>
          <w:vertAlign w:val="subscript"/>
          <w:lang w:val="sl-SI" w:eastAsia="sl-SI"/>
        </w:rPr>
        <w:t>4</w:t>
      </w:r>
      <w:r w:rsidRPr="005771BD">
        <w:rPr>
          <w:rFonts w:eastAsiaTheme="minorHAnsi" w:cs="Arial"/>
          <w:szCs w:val="20"/>
          <w:lang w:val="sl-SI" w:eastAsia="sl-SI"/>
        </w:rPr>
        <w:t xml:space="preserve">) so omejeni v okviru državnega cilja za skupne emisije toplogrednih plinov. Cilj se nanaša na emisije iz virov, ki niso vključene v shemo za trgovanje z emisijami, njihovo povečanje v obdobju 2005–2020 pa ne sme biti večje od 4 %. </w:t>
      </w:r>
    </w:p>
    <w:p w:rsidR="00044E8C" w:rsidRDefault="00225F01" w:rsidP="00044E8C">
      <w:pPr>
        <w:spacing w:after="360" w:line="276" w:lineRule="auto"/>
        <w:jc w:val="both"/>
        <w:rPr>
          <w:rFonts w:eastAsiaTheme="minorHAnsi" w:cs="Arial"/>
          <w:b/>
          <w:szCs w:val="20"/>
          <w:u w:val="single"/>
          <w:lang w:val="sl-SI"/>
        </w:rPr>
      </w:pPr>
      <w:r w:rsidRPr="005771BD">
        <w:rPr>
          <w:rFonts w:eastAsiaTheme="minorHAnsi" w:cs="Arial"/>
          <w:szCs w:val="20"/>
          <w:lang w:val="sl-SI" w:eastAsia="sl-SI"/>
        </w:rPr>
        <w:t>Za CO in PM</w:t>
      </w:r>
      <w:r w:rsidRPr="005771BD">
        <w:rPr>
          <w:rFonts w:eastAsiaTheme="minorHAnsi" w:cs="Arial"/>
          <w:szCs w:val="20"/>
          <w:vertAlign w:val="subscript"/>
          <w:lang w:val="sl-SI" w:eastAsia="sl-SI"/>
        </w:rPr>
        <w:t>10</w:t>
      </w:r>
      <w:r w:rsidRPr="005771BD">
        <w:rPr>
          <w:rFonts w:eastAsiaTheme="minorHAnsi" w:cs="Arial"/>
          <w:szCs w:val="20"/>
          <w:lang w:val="sl-SI" w:eastAsia="sl-SI"/>
        </w:rPr>
        <w:t xml:space="preserve"> količinski cilj ni določen.</w:t>
      </w:r>
      <w:r w:rsidR="00044E8C" w:rsidRPr="00044E8C">
        <w:rPr>
          <w:rFonts w:eastAsiaTheme="minorHAnsi" w:cs="Arial"/>
          <w:b/>
          <w:szCs w:val="20"/>
          <w:u w:val="single"/>
          <w:lang w:val="sl-SI"/>
        </w:rPr>
        <w:t xml:space="preserve"> </w:t>
      </w:r>
    </w:p>
    <w:p w:rsidR="00044E8C" w:rsidRPr="005771BD" w:rsidRDefault="00044E8C" w:rsidP="00044E8C">
      <w:pPr>
        <w:spacing w:after="200" w:line="276" w:lineRule="auto"/>
        <w:jc w:val="both"/>
        <w:rPr>
          <w:rFonts w:eastAsiaTheme="minorHAnsi" w:cs="Arial"/>
          <w:b/>
          <w:szCs w:val="20"/>
          <w:u w:val="single"/>
          <w:lang w:val="sl-SI"/>
        </w:rPr>
      </w:pPr>
      <w:r>
        <w:rPr>
          <w:rFonts w:eastAsiaTheme="minorHAnsi" w:cs="Arial"/>
          <w:b/>
          <w:szCs w:val="20"/>
          <w:u w:val="single"/>
          <w:lang w:val="sl-SI"/>
        </w:rPr>
        <w:t>6</w:t>
      </w:r>
      <w:r w:rsidRPr="005771BD">
        <w:rPr>
          <w:rFonts w:eastAsiaTheme="minorHAnsi" w:cs="Arial"/>
          <w:b/>
          <w:szCs w:val="20"/>
          <w:u w:val="single"/>
          <w:lang w:val="sl-SI"/>
        </w:rPr>
        <w:t>. 5 Napotki za prihodnja ravnanja</w:t>
      </w:r>
    </w:p>
    <w:p w:rsidR="00044E8C" w:rsidRPr="005771BD" w:rsidRDefault="00044E8C" w:rsidP="00044E8C">
      <w:pPr>
        <w:spacing w:after="200" w:line="276" w:lineRule="auto"/>
        <w:jc w:val="both"/>
        <w:rPr>
          <w:rFonts w:eastAsiaTheme="minorHAnsi" w:cs="Arial"/>
          <w:szCs w:val="20"/>
          <w:lang w:val="sl-SI" w:eastAsia="sl-SI"/>
        </w:rPr>
      </w:pPr>
      <w:r w:rsidRPr="005771BD">
        <w:rPr>
          <w:rFonts w:eastAsiaTheme="minorHAnsi" w:cs="Arial"/>
          <w:szCs w:val="20"/>
          <w:lang w:val="sl-SI"/>
        </w:rPr>
        <w:t xml:space="preserve">V prihodnje bo zaradi zagotavljanja kakovosti zraka treba </w:t>
      </w:r>
      <w:r w:rsidRPr="005771BD">
        <w:rPr>
          <w:rFonts w:eastAsiaTheme="minorHAnsi" w:cs="Arial"/>
          <w:szCs w:val="20"/>
          <w:u w:val="single"/>
          <w:lang w:val="sl-SI"/>
        </w:rPr>
        <w:t>sprejeti nov program doseganja nacionalnih zgornjih mej za nekatera onesnaževala</w:t>
      </w:r>
      <w:r w:rsidRPr="005771BD">
        <w:rPr>
          <w:rFonts w:eastAsiaTheme="minorHAnsi" w:cs="Arial"/>
          <w:szCs w:val="20"/>
          <w:lang w:val="sl-SI"/>
        </w:rPr>
        <w:t xml:space="preserve"> (</w:t>
      </w:r>
      <w:r w:rsidRPr="005771BD">
        <w:rPr>
          <w:rFonts w:eastAsiaTheme="minorHAnsi" w:cs="Arial"/>
          <w:szCs w:val="20"/>
          <w:lang w:val="sl-SI" w:eastAsia="sl-SI"/>
        </w:rPr>
        <w:t>SO</w:t>
      </w:r>
      <w:r w:rsidRPr="005771BD">
        <w:rPr>
          <w:rFonts w:eastAsiaTheme="minorHAnsi" w:cs="Arial"/>
          <w:szCs w:val="20"/>
          <w:vertAlign w:val="subscript"/>
          <w:lang w:val="sl-SI" w:eastAsia="sl-SI"/>
        </w:rPr>
        <w:t>2</w:t>
      </w:r>
      <w:r w:rsidRPr="005771BD">
        <w:rPr>
          <w:rFonts w:eastAsiaTheme="minorHAnsi" w:cs="Arial"/>
          <w:szCs w:val="20"/>
          <w:lang w:val="sl-SI" w:eastAsia="sl-SI"/>
        </w:rPr>
        <w:t>, NOx, NMVOC, NH</w:t>
      </w:r>
      <w:r w:rsidRPr="005771BD">
        <w:rPr>
          <w:rFonts w:eastAsiaTheme="minorHAnsi" w:cs="Arial"/>
          <w:szCs w:val="20"/>
          <w:vertAlign w:val="subscript"/>
          <w:lang w:val="sl-SI" w:eastAsia="sl-SI"/>
        </w:rPr>
        <w:t>3</w:t>
      </w:r>
      <w:r w:rsidRPr="005771BD">
        <w:rPr>
          <w:rFonts w:eastAsiaTheme="minorHAnsi" w:cs="Arial"/>
          <w:szCs w:val="20"/>
          <w:lang w:val="sl-SI" w:eastAsia="sl-SI"/>
        </w:rPr>
        <w:t xml:space="preserve"> in PM</w:t>
      </w:r>
      <w:r w:rsidRPr="005771BD">
        <w:rPr>
          <w:rFonts w:eastAsiaTheme="minorHAnsi" w:cs="Arial"/>
          <w:szCs w:val="20"/>
          <w:vertAlign w:val="subscript"/>
          <w:lang w:val="sl-SI" w:eastAsia="sl-SI"/>
        </w:rPr>
        <w:t>2,5</w:t>
      </w:r>
      <w:r w:rsidRPr="005771BD">
        <w:rPr>
          <w:rFonts w:eastAsiaTheme="minorHAnsi" w:cs="Arial"/>
          <w:szCs w:val="20"/>
          <w:lang w:val="sl-SI" w:eastAsia="sl-SI"/>
        </w:rPr>
        <w:t xml:space="preserve">) </w:t>
      </w:r>
      <w:r w:rsidRPr="005771BD">
        <w:rPr>
          <w:rFonts w:eastAsiaTheme="minorHAnsi" w:cs="Arial"/>
          <w:szCs w:val="20"/>
          <w:lang w:val="sl-SI"/>
        </w:rPr>
        <w:t xml:space="preserve">zunanjega zraka, </w:t>
      </w:r>
      <w:r w:rsidRPr="005771BD">
        <w:rPr>
          <w:rFonts w:eastAsiaTheme="minorHAnsi" w:cs="Arial"/>
          <w:szCs w:val="20"/>
          <w:lang w:val="sl-SI" w:eastAsia="sl-SI"/>
        </w:rPr>
        <w:t>in sicer</w:t>
      </w:r>
      <w:r w:rsidRPr="005771BD">
        <w:rPr>
          <w:rFonts w:eastAsiaTheme="minorHAnsi" w:cs="Arial"/>
          <w:szCs w:val="20"/>
          <w:vertAlign w:val="subscript"/>
          <w:lang w:val="sl-SI" w:eastAsia="sl-SI"/>
        </w:rPr>
        <w:t xml:space="preserve"> </w:t>
      </w:r>
      <w:r w:rsidRPr="005771BD">
        <w:rPr>
          <w:rFonts w:eastAsiaTheme="minorHAnsi" w:cs="Arial"/>
          <w:szCs w:val="20"/>
          <w:lang w:val="sl-SI"/>
        </w:rPr>
        <w:t xml:space="preserve">za postavljene cilje do leta 2020, 2015 in 2030, ki bodo v skladu z novo </w:t>
      </w:r>
      <w:r w:rsidRPr="005771BD">
        <w:rPr>
          <w:rFonts w:eastAsiaTheme="minorHAnsi" w:cs="Arial"/>
          <w:szCs w:val="20"/>
          <w:lang w:val="sl-SI" w:eastAsia="sl-SI"/>
        </w:rPr>
        <w:t xml:space="preserve">direktivo NEC, ki je v sklepni fazi sprejemanja. </w:t>
      </w:r>
    </w:p>
    <w:p w:rsidR="00044E8C" w:rsidRDefault="00044E8C" w:rsidP="00044E8C">
      <w:pPr>
        <w:spacing w:after="200" w:line="276" w:lineRule="auto"/>
        <w:jc w:val="both"/>
        <w:rPr>
          <w:rFonts w:eastAsiaTheme="minorHAnsi" w:cs="Arial"/>
          <w:szCs w:val="20"/>
          <w:lang w:val="sl-SI"/>
        </w:rPr>
      </w:pPr>
      <w:r w:rsidRPr="005771BD">
        <w:rPr>
          <w:rFonts w:eastAsiaTheme="minorHAnsi" w:cs="Arial"/>
          <w:szCs w:val="20"/>
          <w:lang w:val="sl-SI"/>
        </w:rPr>
        <w:t xml:space="preserve">Ker so male kurilne naprave pomemben vir onesnaževanja zraka, bo treba posebno pozornost nameniti </w:t>
      </w:r>
      <w:r w:rsidRPr="005771BD">
        <w:rPr>
          <w:rFonts w:eastAsiaTheme="minorHAnsi" w:cs="Arial"/>
          <w:szCs w:val="20"/>
          <w:u w:val="single"/>
          <w:lang w:val="sl-SI"/>
        </w:rPr>
        <w:t>učinkovitemu izvajanju predpisov</w:t>
      </w:r>
      <w:r w:rsidRPr="005771BD">
        <w:rPr>
          <w:rFonts w:eastAsiaTheme="minorHAnsi" w:cs="Arial"/>
          <w:szCs w:val="20"/>
          <w:lang w:val="sl-SI"/>
        </w:rPr>
        <w:t xml:space="preserve"> o emisiji snovi v zrak iz malih in srednjih kurilnih naprav, še posebej glede </w:t>
      </w:r>
      <w:r w:rsidRPr="005771BD">
        <w:rPr>
          <w:rFonts w:eastAsiaTheme="minorHAnsi" w:cs="Arial"/>
          <w:bCs/>
          <w:noProof/>
          <w:szCs w:val="20"/>
          <w:lang w:val="sl-SI"/>
        </w:rPr>
        <w:t>prepovedanega dajanja malih kurilnih naprav na trg, ki ne izpolnjujejo mejnih vrednosti izpustov onesnaževal, i</w:t>
      </w:r>
      <w:r w:rsidRPr="005771BD">
        <w:rPr>
          <w:rFonts w:eastAsiaTheme="minorHAnsi" w:cs="Arial"/>
          <w:szCs w:val="20"/>
          <w:lang w:val="sl-SI"/>
        </w:rPr>
        <w:t xml:space="preserve">n predpisov, ki urejajo izvajanje dimnikarske službe. </w:t>
      </w:r>
    </w:p>
    <w:p w:rsidR="00044E8C" w:rsidRPr="005771BD" w:rsidRDefault="00044E8C" w:rsidP="00044E8C">
      <w:pPr>
        <w:spacing w:after="200" w:line="276" w:lineRule="auto"/>
        <w:jc w:val="both"/>
        <w:rPr>
          <w:rFonts w:eastAsiaTheme="minorHAnsi" w:cs="Arial"/>
          <w:szCs w:val="20"/>
          <w:lang w:val="sl-SI" w:eastAsia="sl-SI"/>
        </w:rPr>
      </w:pPr>
      <w:r w:rsidRPr="005771BD">
        <w:rPr>
          <w:rFonts w:eastAsiaTheme="minorHAnsi" w:cs="Arial"/>
          <w:color w:val="000000"/>
          <w:szCs w:val="20"/>
          <w:lang w:val="sl-SI" w:eastAsia="sl-SI"/>
        </w:rPr>
        <w:t xml:space="preserve">Izboljšati bo treba </w:t>
      </w:r>
      <w:r w:rsidRPr="005771BD">
        <w:rPr>
          <w:rFonts w:eastAsiaTheme="minorHAnsi" w:cs="Arial"/>
          <w:szCs w:val="20"/>
          <w:u w:val="single"/>
          <w:lang w:val="sl-SI" w:eastAsia="sl-SI"/>
        </w:rPr>
        <w:t>vnos podatkov v evidenco malih kurilnih naprav Evi-Dim</w:t>
      </w:r>
      <w:r w:rsidRPr="005771BD">
        <w:rPr>
          <w:rFonts w:eastAsiaTheme="minorHAnsi" w:cs="Arial"/>
          <w:szCs w:val="20"/>
          <w:lang w:val="sl-SI" w:eastAsia="sl-SI"/>
        </w:rPr>
        <w:t>, saj so podatki še vedno pomanjkljivi, zato je spremljanje izpustov onesnaževal iz malih kurilnih naprav in izvajanja ukrepov oteženo.</w:t>
      </w:r>
    </w:p>
    <w:p w:rsidR="00044E8C" w:rsidRPr="005771BD" w:rsidRDefault="00044E8C" w:rsidP="00044E8C">
      <w:pPr>
        <w:spacing w:after="200" w:line="276" w:lineRule="auto"/>
        <w:jc w:val="both"/>
        <w:rPr>
          <w:rFonts w:eastAsiaTheme="minorHAnsi" w:cs="Arial"/>
          <w:szCs w:val="20"/>
          <w:lang w:val="sl-SI"/>
        </w:rPr>
      </w:pPr>
    </w:p>
    <w:p w:rsidR="00225F01" w:rsidRPr="005771BD" w:rsidRDefault="00225F01" w:rsidP="00225F01">
      <w:pPr>
        <w:spacing w:after="200" w:line="276" w:lineRule="auto"/>
        <w:jc w:val="both"/>
        <w:rPr>
          <w:rFonts w:eastAsiaTheme="minorHAnsi" w:cs="Arial"/>
          <w:szCs w:val="20"/>
          <w:vertAlign w:val="subscript"/>
          <w:lang w:val="sl-SI"/>
        </w:rPr>
      </w:pPr>
      <w:r w:rsidRPr="007F272F">
        <w:rPr>
          <w:rFonts w:eastAsiaTheme="minorHAnsi" w:cs="Arial"/>
          <w:noProof/>
          <w:szCs w:val="20"/>
          <w:vertAlign w:val="subscript"/>
          <w:lang w:val="sl-SI" w:eastAsia="sl-SI"/>
        </w:rPr>
        <w:drawing>
          <wp:inline distT="0" distB="0" distL="0" distR="0" wp14:anchorId="7385EC1E" wp14:editId="73C01DCD">
            <wp:extent cx="5773420" cy="3389630"/>
            <wp:effectExtent l="0" t="0" r="0" b="1270"/>
            <wp:docPr id="536" name="Slika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73420" cy="3389630"/>
                    </a:xfrm>
                    <a:prstGeom prst="rect">
                      <a:avLst/>
                    </a:prstGeom>
                    <a:noFill/>
                  </pic:spPr>
                </pic:pic>
              </a:graphicData>
            </a:graphic>
          </wp:inline>
        </w:drawing>
      </w:r>
    </w:p>
    <w:p w:rsidR="00225F01" w:rsidRPr="005771BD" w:rsidRDefault="00225F01" w:rsidP="00225F01">
      <w:pPr>
        <w:spacing w:line="276" w:lineRule="auto"/>
        <w:jc w:val="both"/>
        <w:rPr>
          <w:rFonts w:eastAsiaTheme="minorHAnsi" w:cs="Arial"/>
          <w:i/>
          <w:szCs w:val="20"/>
          <w:lang w:val="sl-SI"/>
        </w:rPr>
      </w:pPr>
      <w:r w:rsidRPr="005771BD">
        <w:rPr>
          <w:rFonts w:cs="Arial"/>
          <w:i/>
          <w:color w:val="000000"/>
          <w:szCs w:val="20"/>
          <w:lang w:val="sl-SI" w:eastAsia="sl-SI"/>
        </w:rPr>
        <w:t xml:space="preserve">Slika </w:t>
      </w:r>
      <w:r w:rsidR="00607481">
        <w:rPr>
          <w:rFonts w:cs="Arial"/>
          <w:i/>
          <w:color w:val="000000"/>
          <w:szCs w:val="20"/>
          <w:lang w:val="sl-SI" w:eastAsia="sl-SI"/>
        </w:rPr>
        <w:t>6</w:t>
      </w:r>
      <w:r w:rsidRPr="005771BD">
        <w:rPr>
          <w:rFonts w:cs="Arial"/>
          <w:i/>
          <w:color w:val="000000"/>
          <w:szCs w:val="20"/>
          <w:lang w:val="sl-SI" w:eastAsia="sl-SI"/>
        </w:rPr>
        <w:t>.30</w:t>
      </w:r>
      <w:r w:rsidRPr="005771BD">
        <w:rPr>
          <w:rFonts w:eastAsiaTheme="minorHAnsi" w:cs="Arial"/>
          <w:i/>
          <w:szCs w:val="20"/>
          <w:lang w:val="sl-SI"/>
        </w:rPr>
        <w:t>:</w:t>
      </w:r>
      <w:r w:rsidRPr="005771BD">
        <w:rPr>
          <w:rFonts w:eastAsiaTheme="minorHAnsi" w:cs="Arial"/>
          <w:i/>
          <w:iCs/>
          <w:szCs w:val="20"/>
          <w:lang w:val="sl-SI"/>
        </w:rPr>
        <w:t xml:space="preserve"> </w:t>
      </w:r>
      <w:r w:rsidRPr="005771BD">
        <w:rPr>
          <w:rFonts w:eastAsiaTheme="minorHAnsi" w:cs="Arial"/>
          <w:i/>
          <w:szCs w:val="20"/>
          <w:lang w:val="sl-SI"/>
        </w:rPr>
        <w:t>Indeks gibanja skupnih izpustov SO</w:t>
      </w:r>
      <w:r w:rsidRPr="005771BD">
        <w:rPr>
          <w:rFonts w:eastAsiaTheme="minorHAnsi" w:cs="Arial"/>
          <w:i/>
          <w:szCs w:val="20"/>
          <w:vertAlign w:val="subscript"/>
          <w:lang w:val="sl-SI"/>
        </w:rPr>
        <w:t>2</w:t>
      </w:r>
      <w:r w:rsidRPr="005771BD">
        <w:rPr>
          <w:rFonts w:eastAsiaTheme="minorHAnsi" w:cs="Arial"/>
          <w:i/>
          <w:szCs w:val="20"/>
          <w:lang w:val="sl-SI"/>
        </w:rPr>
        <w:t>, NOx, NMVOC in NH</w:t>
      </w:r>
      <w:r w:rsidRPr="005771BD">
        <w:rPr>
          <w:rFonts w:eastAsiaTheme="minorHAnsi" w:cs="Arial"/>
          <w:i/>
          <w:szCs w:val="20"/>
          <w:vertAlign w:val="subscript"/>
          <w:lang w:val="sl-SI"/>
        </w:rPr>
        <w:t>3</w:t>
      </w:r>
      <w:r w:rsidRPr="005771BD">
        <w:rPr>
          <w:rFonts w:eastAsiaTheme="minorHAnsi" w:cs="Arial"/>
          <w:i/>
          <w:szCs w:val="20"/>
          <w:lang w:val="sl-SI"/>
        </w:rPr>
        <w:t xml:space="preserve"> glede na leto 1990 in PM</w:t>
      </w:r>
      <w:r w:rsidRPr="005771BD">
        <w:rPr>
          <w:rFonts w:eastAsiaTheme="minorHAnsi" w:cs="Arial"/>
          <w:i/>
          <w:szCs w:val="20"/>
          <w:vertAlign w:val="subscript"/>
          <w:lang w:val="sl-SI"/>
        </w:rPr>
        <w:t xml:space="preserve">2,5 </w:t>
      </w:r>
      <w:r w:rsidRPr="005771BD">
        <w:rPr>
          <w:rFonts w:eastAsiaTheme="minorHAnsi" w:cs="Arial"/>
          <w:i/>
          <w:szCs w:val="20"/>
          <w:lang w:val="sl-SI"/>
        </w:rPr>
        <w:t>glede na leto 2000, cilji za SO</w:t>
      </w:r>
      <w:r w:rsidRPr="005771BD">
        <w:rPr>
          <w:rFonts w:eastAsiaTheme="minorHAnsi" w:cs="Arial"/>
          <w:i/>
          <w:szCs w:val="20"/>
          <w:vertAlign w:val="subscript"/>
          <w:lang w:val="sl-SI"/>
        </w:rPr>
        <w:t>2</w:t>
      </w:r>
      <w:r w:rsidRPr="005771BD">
        <w:rPr>
          <w:rFonts w:eastAsiaTheme="minorHAnsi" w:cs="Arial"/>
          <w:i/>
          <w:szCs w:val="20"/>
          <w:lang w:val="sl-SI"/>
        </w:rPr>
        <w:t>, NOx, NMVOC in NH</w:t>
      </w:r>
      <w:r w:rsidRPr="005771BD">
        <w:rPr>
          <w:rFonts w:eastAsiaTheme="minorHAnsi" w:cs="Arial"/>
          <w:i/>
          <w:szCs w:val="20"/>
          <w:vertAlign w:val="subscript"/>
          <w:lang w:val="sl-SI"/>
        </w:rPr>
        <w:t>3</w:t>
      </w:r>
      <w:r w:rsidRPr="005771BD">
        <w:rPr>
          <w:rFonts w:eastAsiaTheme="minorHAnsi" w:cs="Arial"/>
          <w:i/>
          <w:szCs w:val="20"/>
          <w:lang w:val="sl-SI"/>
        </w:rPr>
        <w:t xml:space="preserve"> za obdobje 2010–2020 ter cilj za PM</w:t>
      </w:r>
      <w:r w:rsidRPr="005771BD">
        <w:rPr>
          <w:rFonts w:eastAsiaTheme="minorHAnsi" w:cs="Arial"/>
          <w:i/>
          <w:szCs w:val="20"/>
          <w:vertAlign w:val="subscript"/>
          <w:lang w:val="sl-SI"/>
        </w:rPr>
        <w:t xml:space="preserve">2,5 </w:t>
      </w:r>
      <w:r w:rsidRPr="005771BD">
        <w:rPr>
          <w:rFonts w:eastAsiaTheme="minorHAnsi" w:cs="Arial"/>
          <w:i/>
          <w:szCs w:val="20"/>
          <w:lang w:val="sl-SI"/>
        </w:rPr>
        <w:t xml:space="preserve">za leto 2020. </w:t>
      </w:r>
    </w:p>
    <w:p w:rsidR="00225F01" w:rsidRPr="005771BD" w:rsidRDefault="00225F01" w:rsidP="00044E8C">
      <w:pPr>
        <w:spacing w:after="360" w:line="276" w:lineRule="auto"/>
        <w:jc w:val="both"/>
        <w:rPr>
          <w:rFonts w:eastAsiaTheme="minorHAnsi" w:cs="Arial"/>
          <w:i/>
          <w:sz w:val="18"/>
          <w:szCs w:val="18"/>
          <w:lang w:val="sl-SI"/>
        </w:rPr>
      </w:pPr>
      <w:r w:rsidRPr="005771BD">
        <w:rPr>
          <w:rFonts w:eastAsiaTheme="minorHAnsi" w:cs="Arial"/>
          <w:i/>
          <w:sz w:val="18"/>
          <w:szCs w:val="18"/>
          <w:lang w:val="sl-SI"/>
        </w:rPr>
        <w:t>Vir:  Državne evidence izpustov onesnaževal zraka, ARSO, 2015.</w:t>
      </w:r>
    </w:p>
    <w:p w:rsidR="00225F01" w:rsidRPr="005771BD" w:rsidRDefault="00225F01" w:rsidP="00225F01">
      <w:pPr>
        <w:spacing w:after="200" w:line="276" w:lineRule="auto"/>
        <w:jc w:val="both"/>
        <w:rPr>
          <w:rFonts w:eastAsiaTheme="minorHAnsi" w:cs="Arial"/>
          <w:color w:val="000000"/>
          <w:szCs w:val="20"/>
          <w:lang w:val="sl-SI" w:eastAsia="sl-SI"/>
        </w:rPr>
      </w:pPr>
      <w:r w:rsidRPr="005771BD">
        <w:rPr>
          <w:rFonts w:eastAsiaTheme="minorHAnsi" w:cs="Arial"/>
          <w:bCs/>
          <w:noProof/>
          <w:szCs w:val="20"/>
          <w:lang w:val="sl-SI"/>
        </w:rPr>
        <w:t xml:space="preserve">Prav tako bo reba sprejeti </w:t>
      </w:r>
      <w:r w:rsidRPr="005771BD">
        <w:rPr>
          <w:rFonts w:eastAsiaTheme="minorHAnsi" w:cs="Arial"/>
          <w:color w:val="000000"/>
          <w:szCs w:val="20"/>
          <w:lang w:val="sl-SI" w:eastAsia="sl-SI"/>
        </w:rPr>
        <w:t xml:space="preserve">predpis, ki bo določal metodologijo meritve emisij prahu iz malih kurilnih naprav na trdna goriva (z nazivno toplotno močjo 4 kW–1 MW). </w:t>
      </w:r>
    </w:p>
    <w:p w:rsidR="00225F01" w:rsidRPr="005771BD" w:rsidRDefault="00225F01" w:rsidP="00225F01">
      <w:pPr>
        <w:autoSpaceDE w:val="0"/>
        <w:autoSpaceDN w:val="0"/>
        <w:adjustRightInd w:val="0"/>
        <w:spacing w:line="276" w:lineRule="auto"/>
        <w:jc w:val="both"/>
        <w:rPr>
          <w:rFonts w:eastAsiaTheme="minorHAnsi" w:cs="Arial"/>
          <w:color w:val="000000"/>
          <w:szCs w:val="20"/>
          <w:lang w:val="sl-SI"/>
        </w:rPr>
      </w:pPr>
      <w:r w:rsidRPr="005771BD">
        <w:rPr>
          <w:rFonts w:eastAsiaTheme="minorHAnsi" w:cs="Arial"/>
          <w:szCs w:val="20"/>
          <w:lang w:val="sl-SI"/>
        </w:rPr>
        <w:t xml:space="preserve">K zagotavljanju kakovosti zraka bodo pripomogli tudi </w:t>
      </w:r>
      <w:r w:rsidRPr="005771BD">
        <w:rPr>
          <w:rFonts w:eastAsiaTheme="minorHAnsi" w:cs="Arial"/>
          <w:szCs w:val="20"/>
          <w:u w:val="single"/>
          <w:lang w:val="sl-SI"/>
        </w:rPr>
        <w:t>skupni učinki drugih programov</w:t>
      </w:r>
      <w:r w:rsidRPr="005771BD">
        <w:rPr>
          <w:rFonts w:eastAsiaTheme="minorHAnsi" w:cs="Arial"/>
          <w:szCs w:val="20"/>
          <w:lang w:val="sl-SI"/>
        </w:rPr>
        <w:t>, predvsem ukrepi iz Operativnega programa za zmanjševanje emisij toplogrednih plinov (</w:t>
      </w:r>
      <w:r w:rsidRPr="005771BD">
        <w:rPr>
          <w:rFonts w:eastAsiaTheme="minorHAnsi" w:cs="Arial"/>
          <w:color w:val="000000"/>
          <w:szCs w:val="20"/>
          <w:lang w:val="sl-SI"/>
        </w:rPr>
        <w:t xml:space="preserve">OP-TGP-2020). Ukrepi, predvideni v tem programu za </w:t>
      </w:r>
      <w:r w:rsidRPr="005771BD">
        <w:rPr>
          <w:rFonts w:eastAsiaTheme="minorHAnsi" w:cs="Arial"/>
          <w:bCs/>
          <w:color w:val="000000"/>
          <w:szCs w:val="20"/>
          <w:lang w:val="sl-SI"/>
        </w:rPr>
        <w:t xml:space="preserve">zmanjševanje izpustov toplogrednih plinov, bodo ob zmanjšanih skupnih stroških za doseganje ciljev obeh politik pripomogli tudi k izboljšanju kakovosti zraka predvsem z naslednjimi usmeritvami:  </w:t>
      </w:r>
    </w:p>
    <w:p w:rsidR="00225F01" w:rsidRPr="005771BD" w:rsidRDefault="00225F01" w:rsidP="00225F01">
      <w:pPr>
        <w:numPr>
          <w:ilvl w:val="0"/>
          <w:numId w:val="4"/>
        </w:numPr>
        <w:autoSpaceDE w:val="0"/>
        <w:autoSpaceDN w:val="0"/>
        <w:adjustRightInd w:val="0"/>
        <w:spacing w:before="60" w:line="276" w:lineRule="auto"/>
        <w:ind w:left="284" w:hanging="284"/>
        <w:jc w:val="both"/>
        <w:rPr>
          <w:rFonts w:cs="Arial"/>
          <w:color w:val="000000"/>
          <w:szCs w:val="20"/>
          <w:lang w:val="sl-SI" w:eastAsia="sl-SI"/>
        </w:rPr>
      </w:pPr>
      <w:r w:rsidRPr="005771BD">
        <w:rPr>
          <w:rFonts w:cs="Arial"/>
          <w:color w:val="000000"/>
          <w:szCs w:val="20"/>
          <w:lang w:val="sl-SI" w:eastAsia="sl-SI"/>
        </w:rPr>
        <w:t>spodbude za kurilne naprave na lesno biomaso za ogrevanje stavb oziroma naselij, financirane iz javnih sredstev ali spodbujane v okviru obveznosti dobaviteljev energije za doseganje prihrankov končne energije, se namenjajo le za najboljše razpoložljive tehnike,</w:t>
      </w:r>
    </w:p>
    <w:p w:rsidR="00225F01" w:rsidRPr="005771BD" w:rsidRDefault="00225F01" w:rsidP="00225F01">
      <w:pPr>
        <w:numPr>
          <w:ilvl w:val="0"/>
          <w:numId w:val="4"/>
        </w:numPr>
        <w:autoSpaceDE w:val="0"/>
        <w:autoSpaceDN w:val="0"/>
        <w:adjustRightInd w:val="0"/>
        <w:spacing w:before="60" w:line="276" w:lineRule="auto"/>
        <w:ind w:left="284" w:hanging="284"/>
        <w:jc w:val="both"/>
        <w:rPr>
          <w:rFonts w:cs="Arial"/>
          <w:color w:val="000000"/>
          <w:szCs w:val="20"/>
          <w:lang w:val="sl-SI" w:eastAsia="sl-SI"/>
        </w:rPr>
      </w:pPr>
      <w:r w:rsidRPr="005771BD">
        <w:rPr>
          <w:rFonts w:cs="Arial"/>
          <w:color w:val="000000"/>
          <w:szCs w:val="20"/>
          <w:lang w:val="sl-SI" w:eastAsia="sl-SI"/>
        </w:rPr>
        <w:t xml:space="preserve">v okviru zelenega javnega naročanja se spodbuja energetska učinkovitost, med drugim tudi z rabo lesne biomase kot vira energije, </w:t>
      </w:r>
    </w:p>
    <w:p w:rsidR="00225F01" w:rsidRPr="005771BD" w:rsidRDefault="00225F01" w:rsidP="00225F01">
      <w:pPr>
        <w:numPr>
          <w:ilvl w:val="0"/>
          <w:numId w:val="4"/>
        </w:numPr>
        <w:autoSpaceDE w:val="0"/>
        <w:autoSpaceDN w:val="0"/>
        <w:adjustRightInd w:val="0"/>
        <w:spacing w:before="60" w:line="276" w:lineRule="auto"/>
        <w:ind w:left="284" w:hanging="284"/>
        <w:jc w:val="both"/>
        <w:rPr>
          <w:rFonts w:cs="Arial"/>
          <w:color w:val="000000"/>
          <w:szCs w:val="20"/>
          <w:lang w:val="sl-SI" w:eastAsia="sl-SI"/>
        </w:rPr>
      </w:pPr>
      <w:r w:rsidRPr="005771BD">
        <w:rPr>
          <w:rFonts w:cs="Arial"/>
          <w:color w:val="000000"/>
          <w:szCs w:val="20"/>
          <w:lang w:val="sl-SI" w:eastAsia="sl-SI"/>
        </w:rPr>
        <w:t xml:space="preserve">individualni sistemi za ogrevanje se ne spodbujajo, če zamenjujejo ogrevanje s toploto iz sistemov daljinskega ogrevanja, </w:t>
      </w:r>
    </w:p>
    <w:p w:rsidR="00225F01" w:rsidRPr="005771BD" w:rsidRDefault="00225F01" w:rsidP="00225F01">
      <w:pPr>
        <w:numPr>
          <w:ilvl w:val="0"/>
          <w:numId w:val="4"/>
        </w:numPr>
        <w:autoSpaceDE w:val="0"/>
        <w:autoSpaceDN w:val="0"/>
        <w:adjustRightInd w:val="0"/>
        <w:spacing w:before="60" w:line="276" w:lineRule="auto"/>
        <w:ind w:left="284" w:hanging="284"/>
        <w:jc w:val="both"/>
        <w:rPr>
          <w:rFonts w:cs="Arial"/>
          <w:color w:val="000000"/>
          <w:szCs w:val="20"/>
          <w:lang w:val="sl-SI" w:eastAsia="sl-SI"/>
        </w:rPr>
      </w:pPr>
      <w:r w:rsidRPr="005771BD">
        <w:rPr>
          <w:rFonts w:cs="Arial"/>
          <w:color w:val="000000"/>
          <w:szCs w:val="20"/>
          <w:lang w:val="sl-SI" w:eastAsia="sl-SI"/>
        </w:rPr>
        <w:t>individualni sistemi za ogrevanje se na območjih s sprejetim odlokom o načrtu za kakovost zraka ne spodbujajo, če je z občinskimi akti ali lokalnim energetskim konceptom kot prednostni način ogrevanja stavb določeno daljinsko ogrevanje. Če je kot prednostni način ogrevanja določena uporaba zemeljskega plina, se ne spodbuja zamenjava kurilnih naprav na plin z novimi kurilnimi napravami na lesno biomaso,</w:t>
      </w:r>
    </w:p>
    <w:p w:rsidR="00225F01" w:rsidRPr="005771BD" w:rsidRDefault="00225F01" w:rsidP="00225F01">
      <w:pPr>
        <w:numPr>
          <w:ilvl w:val="0"/>
          <w:numId w:val="4"/>
        </w:numPr>
        <w:autoSpaceDE w:val="0"/>
        <w:autoSpaceDN w:val="0"/>
        <w:adjustRightInd w:val="0"/>
        <w:spacing w:before="60" w:line="276" w:lineRule="auto"/>
        <w:ind w:left="284" w:hanging="284"/>
        <w:jc w:val="both"/>
        <w:rPr>
          <w:rFonts w:cs="Arial"/>
          <w:color w:val="000000"/>
          <w:szCs w:val="20"/>
          <w:lang w:val="sl-SI" w:eastAsia="sl-SI"/>
        </w:rPr>
      </w:pPr>
      <w:r w:rsidRPr="005771BD">
        <w:rPr>
          <w:rFonts w:cs="Arial"/>
          <w:color w:val="000000"/>
          <w:szCs w:val="20"/>
          <w:lang w:val="sl-SI" w:eastAsia="sl-SI"/>
        </w:rPr>
        <w:t xml:space="preserve">pri oblikovanju spodbud za področje ogrevanja v stavbah in naseljih se upošteva naslednji prednostni vrstni red oskrbe s toploto glede na vir energije: </w:t>
      </w:r>
    </w:p>
    <w:p w:rsidR="00225F01" w:rsidRPr="005771BD" w:rsidRDefault="00225F01" w:rsidP="00225F01">
      <w:pPr>
        <w:numPr>
          <w:ilvl w:val="0"/>
          <w:numId w:val="5"/>
        </w:numPr>
        <w:autoSpaceDE w:val="0"/>
        <w:autoSpaceDN w:val="0"/>
        <w:adjustRightInd w:val="0"/>
        <w:spacing w:after="200" w:line="276" w:lineRule="auto"/>
        <w:ind w:left="567" w:hanging="283"/>
        <w:contextualSpacing/>
        <w:jc w:val="both"/>
        <w:rPr>
          <w:rFonts w:cs="Arial"/>
          <w:color w:val="000000"/>
          <w:szCs w:val="20"/>
          <w:lang w:val="sl-SI" w:eastAsia="sl-SI"/>
        </w:rPr>
      </w:pPr>
      <w:r w:rsidRPr="005771BD">
        <w:rPr>
          <w:rFonts w:cs="Arial"/>
          <w:color w:val="000000"/>
          <w:szCs w:val="20"/>
          <w:lang w:val="sl-SI" w:eastAsia="sl-SI"/>
        </w:rPr>
        <w:t xml:space="preserve">sistemi daljinskega ogrevanja, ki izkoriščajo obnovljive vire energije (OVE) v soproizvodnji toplote in električne energije (SPTE), OVE v ločeni proizvodnji, zemeljski plin v SPTE z visokim izkoristkom ali odpadno toploto; </w:t>
      </w:r>
    </w:p>
    <w:p w:rsidR="00225F01" w:rsidRPr="005771BD" w:rsidRDefault="00225F01" w:rsidP="00225F01">
      <w:pPr>
        <w:numPr>
          <w:ilvl w:val="0"/>
          <w:numId w:val="5"/>
        </w:numPr>
        <w:autoSpaceDE w:val="0"/>
        <w:autoSpaceDN w:val="0"/>
        <w:adjustRightInd w:val="0"/>
        <w:spacing w:after="200" w:line="276" w:lineRule="auto"/>
        <w:ind w:left="567" w:hanging="283"/>
        <w:contextualSpacing/>
        <w:jc w:val="both"/>
        <w:rPr>
          <w:rFonts w:cs="Arial"/>
          <w:color w:val="000000"/>
          <w:szCs w:val="20"/>
          <w:lang w:val="sl-SI" w:eastAsia="sl-SI"/>
        </w:rPr>
      </w:pPr>
      <w:r w:rsidRPr="005771BD">
        <w:rPr>
          <w:rFonts w:cs="Arial"/>
          <w:color w:val="000000"/>
          <w:szCs w:val="20"/>
          <w:lang w:val="sl-SI" w:eastAsia="sl-SI"/>
        </w:rPr>
        <w:t xml:space="preserve">individualna oskrba s toploto iz OVE; </w:t>
      </w:r>
    </w:p>
    <w:p w:rsidR="00225F01" w:rsidRPr="005771BD" w:rsidRDefault="00225F01" w:rsidP="00225F01">
      <w:pPr>
        <w:numPr>
          <w:ilvl w:val="0"/>
          <w:numId w:val="5"/>
        </w:numPr>
        <w:autoSpaceDE w:val="0"/>
        <w:autoSpaceDN w:val="0"/>
        <w:adjustRightInd w:val="0"/>
        <w:spacing w:after="200" w:line="276" w:lineRule="auto"/>
        <w:ind w:left="567" w:hanging="283"/>
        <w:contextualSpacing/>
        <w:jc w:val="both"/>
        <w:rPr>
          <w:rFonts w:cs="Arial"/>
          <w:color w:val="000000"/>
          <w:szCs w:val="20"/>
          <w:lang w:val="sl-SI" w:eastAsia="sl-SI"/>
        </w:rPr>
      </w:pPr>
      <w:r w:rsidRPr="005771BD">
        <w:rPr>
          <w:rFonts w:cs="Arial"/>
          <w:color w:val="000000"/>
          <w:szCs w:val="20"/>
          <w:lang w:val="sl-SI" w:eastAsia="sl-SI"/>
        </w:rPr>
        <w:t xml:space="preserve">individualna oskrba z zemeljskim plinom; </w:t>
      </w:r>
    </w:p>
    <w:p w:rsidR="00225F01" w:rsidRPr="005771BD" w:rsidRDefault="00225F01" w:rsidP="00225F01">
      <w:pPr>
        <w:numPr>
          <w:ilvl w:val="0"/>
          <w:numId w:val="5"/>
        </w:numPr>
        <w:autoSpaceDE w:val="0"/>
        <w:autoSpaceDN w:val="0"/>
        <w:adjustRightInd w:val="0"/>
        <w:spacing w:after="200" w:line="276" w:lineRule="auto"/>
        <w:ind w:left="568" w:hanging="284"/>
        <w:jc w:val="both"/>
        <w:rPr>
          <w:rFonts w:cs="Arial"/>
          <w:color w:val="000000"/>
          <w:szCs w:val="20"/>
          <w:lang w:val="sl-SI" w:eastAsia="sl-SI"/>
        </w:rPr>
      </w:pPr>
      <w:r w:rsidRPr="005771BD">
        <w:rPr>
          <w:rFonts w:cs="Arial"/>
          <w:color w:val="000000"/>
          <w:szCs w:val="20"/>
          <w:lang w:val="sl-SI" w:eastAsia="sl-SI"/>
        </w:rPr>
        <w:t xml:space="preserve">drugi viri. </w:t>
      </w:r>
    </w:p>
    <w:p w:rsidR="00225F01" w:rsidRPr="005771BD" w:rsidRDefault="00225F01" w:rsidP="00225F01">
      <w:pPr>
        <w:autoSpaceDE w:val="0"/>
        <w:autoSpaceDN w:val="0"/>
        <w:adjustRightInd w:val="0"/>
        <w:spacing w:after="200" w:line="276" w:lineRule="auto"/>
        <w:jc w:val="both"/>
        <w:rPr>
          <w:rFonts w:eastAsiaTheme="minorHAnsi" w:cs="Arial"/>
          <w:color w:val="000000"/>
          <w:szCs w:val="20"/>
          <w:lang w:val="sl-SI"/>
        </w:rPr>
      </w:pPr>
      <w:r w:rsidRPr="005771BD">
        <w:rPr>
          <w:rFonts w:eastAsiaTheme="minorHAnsi" w:cs="Arial"/>
          <w:color w:val="000000"/>
          <w:szCs w:val="20"/>
          <w:lang w:val="sl-SI"/>
        </w:rPr>
        <w:t xml:space="preserve">Z dodatnimi ukrepi iz OP-TGP-2020 na področju učinkovite rabe energije v stavbah bo v letu 2030 skupna raba lesne biomase za ogrevanje (v absolutni količini) manjša, povečal se bo delež stavb, kjer se bo ta energent izkoriščal v sodobnih napravah z visokimi izkoristki, manjša bo tudi raba biogoriv v prometu. </w:t>
      </w:r>
    </w:p>
    <w:p w:rsidR="00225F01" w:rsidRPr="005771BD" w:rsidRDefault="00225F01" w:rsidP="00044E8C">
      <w:pPr>
        <w:autoSpaceDE w:val="0"/>
        <w:autoSpaceDN w:val="0"/>
        <w:adjustRightInd w:val="0"/>
        <w:spacing w:after="360" w:line="276" w:lineRule="auto"/>
        <w:jc w:val="both"/>
        <w:rPr>
          <w:rFonts w:eastAsiaTheme="minorHAnsi" w:cs="Arial"/>
          <w:color w:val="000000"/>
          <w:szCs w:val="20"/>
          <w:lang w:val="sl-SI"/>
        </w:rPr>
      </w:pPr>
      <w:r w:rsidRPr="005771BD">
        <w:rPr>
          <w:rFonts w:eastAsiaTheme="minorHAnsi" w:cs="Arial"/>
          <w:color w:val="000000"/>
          <w:szCs w:val="20"/>
          <w:lang w:val="sl-SI"/>
        </w:rPr>
        <w:t xml:space="preserve">H kakovosti zraka bodo pripomogle tudi usmeritve glede razvoja prometa, kot so na primer promocija in konkurenčnost javnega potniškega prometa, spodbujanje trajnostnega tovornega prometa, povečanje energetske učinkovitosti cestnih motornih vozil in spodbujanje nemotoriziranih oblik prometa. </w:t>
      </w:r>
    </w:p>
    <w:p w:rsidR="00225F01" w:rsidRPr="005771BD" w:rsidRDefault="00044E8C" w:rsidP="00225F01">
      <w:pPr>
        <w:spacing w:after="200" w:line="276" w:lineRule="auto"/>
        <w:jc w:val="both"/>
        <w:rPr>
          <w:rFonts w:eastAsiaTheme="minorHAnsi" w:cs="Arial"/>
          <w:b/>
          <w:szCs w:val="20"/>
          <w:u w:val="single"/>
          <w:lang w:val="sl-SI"/>
        </w:rPr>
      </w:pPr>
      <w:r>
        <w:rPr>
          <w:rFonts w:eastAsiaTheme="minorHAnsi" w:cs="Arial"/>
          <w:b/>
          <w:szCs w:val="20"/>
          <w:u w:val="single"/>
          <w:lang w:val="sl-SI"/>
        </w:rPr>
        <w:t>6.</w:t>
      </w:r>
      <w:r w:rsidR="00225F01" w:rsidRPr="005771BD">
        <w:rPr>
          <w:rFonts w:eastAsiaTheme="minorHAnsi" w:cs="Arial"/>
          <w:b/>
          <w:szCs w:val="20"/>
          <w:u w:val="single"/>
          <w:lang w:val="sl-SI"/>
        </w:rPr>
        <w:t>6 Uporabljeni kazal</w:t>
      </w:r>
      <w:r w:rsidR="00225F01">
        <w:rPr>
          <w:rFonts w:eastAsiaTheme="minorHAnsi" w:cs="Arial"/>
          <w:b/>
          <w:szCs w:val="20"/>
          <w:u w:val="single"/>
          <w:lang w:val="sl-SI"/>
        </w:rPr>
        <w:t>niki</w:t>
      </w:r>
      <w:r w:rsidR="00225F01" w:rsidRPr="005771BD">
        <w:rPr>
          <w:rFonts w:eastAsiaTheme="minorHAnsi" w:cs="Arial"/>
          <w:b/>
          <w:szCs w:val="20"/>
          <w:u w:val="single"/>
          <w:lang w:val="sl-SI"/>
        </w:rPr>
        <w:t xml:space="preserve"> stanja okolja</w:t>
      </w:r>
    </w:p>
    <w:p w:rsidR="00225F01" w:rsidRPr="005771BD" w:rsidRDefault="00CF5505" w:rsidP="00225F01">
      <w:pPr>
        <w:spacing w:line="276" w:lineRule="auto"/>
        <w:jc w:val="both"/>
        <w:rPr>
          <w:rFonts w:eastAsiaTheme="minorHAnsi" w:cs="Arial"/>
          <w:szCs w:val="20"/>
          <w:lang w:val="sl-SI"/>
        </w:rPr>
      </w:pPr>
      <w:hyperlink r:id="rId88" w:history="1">
        <w:r w:rsidR="00225F01" w:rsidRPr="005771BD">
          <w:rPr>
            <w:rFonts w:eastAsiaTheme="minorHAnsi" w:cs="Arial"/>
            <w:szCs w:val="20"/>
            <w:u w:val="single"/>
            <w:lang w:val="sl-SI"/>
          </w:rPr>
          <w:t>[ZR09]</w:t>
        </w:r>
      </w:hyperlink>
      <w:r w:rsidR="00225F01" w:rsidRPr="005771BD">
        <w:rPr>
          <w:rFonts w:eastAsiaTheme="minorHAnsi" w:cs="Arial"/>
          <w:szCs w:val="20"/>
          <w:lang w:val="sl-SI"/>
        </w:rPr>
        <w:t xml:space="preserve"> Izpusti plinov, ki povzročajo zakisovanje in evtrofikacijo</w:t>
      </w:r>
    </w:p>
    <w:p w:rsidR="00225F01" w:rsidRPr="005771BD" w:rsidRDefault="00CF5505" w:rsidP="00225F01">
      <w:pPr>
        <w:spacing w:line="276" w:lineRule="auto"/>
        <w:jc w:val="both"/>
        <w:rPr>
          <w:rFonts w:eastAsiaTheme="minorHAnsi" w:cs="Arial"/>
          <w:szCs w:val="20"/>
          <w:lang w:val="sl-SI"/>
        </w:rPr>
      </w:pPr>
      <w:hyperlink r:id="rId89" w:history="1">
        <w:r w:rsidR="00225F01" w:rsidRPr="005771BD">
          <w:rPr>
            <w:rFonts w:eastAsiaTheme="minorHAnsi" w:cs="Arial"/>
            <w:szCs w:val="20"/>
            <w:u w:val="single"/>
            <w:lang w:val="sl-SI"/>
          </w:rPr>
          <w:t>[ZR10]</w:t>
        </w:r>
      </w:hyperlink>
      <w:r w:rsidR="00225F01" w:rsidRPr="005771BD">
        <w:rPr>
          <w:rFonts w:eastAsiaTheme="minorHAnsi" w:cs="Arial"/>
          <w:szCs w:val="20"/>
          <w:lang w:val="sl-SI"/>
        </w:rPr>
        <w:t xml:space="preserve"> Izpusti predhodnikov ozona</w:t>
      </w:r>
    </w:p>
    <w:p w:rsidR="00225F01" w:rsidRPr="005771BD" w:rsidRDefault="00CF5505" w:rsidP="00225F01">
      <w:pPr>
        <w:spacing w:line="276" w:lineRule="auto"/>
        <w:jc w:val="both"/>
        <w:rPr>
          <w:rFonts w:eastAsiaTheme="minorHAnsi" w:cs="Arial"/>
          <w:szCs w:val="20"/>
          <w:lang w:val="sl-SI"/>
        </w:rPr>
      </w:pPr>
      <w:hyperlink r:id="rId90" w:history="1">
        <w:r w:rsidR="00225F01" w:rsidRPr="005771BD">
          <w:rPr>
            <w:rFonts w:eastAsiaTheme="minorHAnsi" w:cs="Arial"/>
            <w:szCs w:val="20"/>
            <w:u w:val="single"/>
            <w:lang w:val="sl-SI"/>
          </w:rPr>
          <w:t>[ZR12]</w:t>
        </w:r>
      </w:hyperlink>
      <w:r w:rsidR="00225F01" w:rsidRPr="005771BD">
        <w:rPr>
          <w:rFonts w:eastAsiaTheme="minorHAnsi" w:cs="Arial"/>
          <w:szCs w:val="20"/>
          <w:lang w:val="sl-SI"/>
        </w:rPr>
        <w:t xml:space="preserve"> Izpusti težkih kovin</w:t>
      </w:r>
    </w:p>
    <w:p w:rsidR="00225F01" w:rsidRPr="005771BD" w:rsidRDefault="00CF5505" w:rsidP="00225F01">
      <w:pPr>
        <w:spacing w:line="276" w:lineRule="auto"/>
        <w:jc w:val="both"/>
        <w:rPr>
          <w:rFonts w:eastAsiaTheme="minorHAnsi" w:cs="Arial"/>
          <w:szCs w:val="20"/>
          <w:lang w:val="sl-SI"/>
        </w:rPr>
      </w:pPr>
      <w:hyperlink r:id="rId91" w:history="1">
        <w:r w:rsidR="00225F01" w:rsidRPr="005771BD">
          <w:rPr>
            <w:rFonts w:eastAsiaTheme="minorHAnsi" w:cs="Arial"/>
            <w:szCs w:val="20"/>
            <w:u w:val="single"/>
            <w:lang w:val="sl-SI"/>
          </w:rPr>
          <w:t>[ZR13]</w:t>
        </w:r>
      </w:hyperlink>
      <w:r w:rsidR="00225F01" w:rsidRPr="005771BD">
        <w:rPr>
          <w:rFonts w:eastAsiaTheme="minorHAnsi" w:cs="Arial"/>
          <w:szCs w:val="20"/>
          <w:lang w:val="sl-SI"/>
        </w:rPr>
        <w:t xml:space="preserve"> Izpusti obstojnih organskih onesnaževal</w:t>
      </w:r>
    </w:p>
    <w:p w:rsidR="00225F01" w:rsidRPr="005771BD" w:rsidRDefault="00CF5505" w:rsidP="00225F01">
      <w:pPr>
        <w:spacing w:line="276" w:lineRule="auto"/>
        <w:jc w:val="both"/>
        <w:rPr>
          <w:rFonts w:eastAsiaTheme="minorHAnsi" w:cs="Arial"/>
          <w:szCs w:val="20"/>
          <w:lang w:val="sl-SI"/>
        </w:rPr>
      </w:pPr>
      <w:hyperlink r:id="rId92" w:history="1">
        <w:r w:rsidR="00225F01" w:rsidRPr="005771BD">
          <w:rPr>
            <w:rFonts w:eastAsiaTheme="minorHAnsi" w:cs="Arial"/>
            <w:szCs w:val="20"/>
            <w:u w:val="single"/>
            <w:lang w:val="sl-SI"/>
          </w:rPr>
          <w:t>[ZR15]</w:t>
        </w:r>
      </w:hyperlink>
      <w:r w:rsidR="00225F01" w:rsidRPr="005771BD">
        <w:rPr>
          <w:rFonts w:eastAsiaTheme="minorHAnsi" w:cs="Arial"/>
          <w:szCs w:val="20"/>
          <w:lang w:val="sl-SI"/>
        </w:rPr>
        <w:t xml:space="preserve"> Izpusti delcev v zrak</w:t>
      </w:r>
    </w:p>
    <w:p w:rsidR="00225F01" w:rsidRPr="005771BD" w:rsidRDefault="00225F01" w:rsidP="00225F01">
      <w:pPr>
        <w:spacing w:line="276" w:lineRule="auto"/>
        <w:jc w:val="both"/>
        <w:rPr>
          <w:rFonts w:eastAsiaTheme="minorHAnsi" w:cs="Arial"/>
          <w:szCs w:val="20"/>
          <w:lang w:val="sl-SI"/>
        </w:rPr>
      </w:pPr>
      <w:r w:rsidRPr="005771BD">
        <w:rPr>
          <w:rFonts w:eastAsiaTheme="minorHAnsi" w:cs="Arial"/>
          <w:szCs w:val="20"/>
          <w:lang w:val="sl-SI"/>
        </w:rPr>
        <w:t>[ZR16] Vsebnost žvepla v gorivih</w:t>
      </w:r>
    </w:p>
    <w:p w:rsidR="00225F01" w:rsidRPr="005771BD" w:rsidRDefault="00225F01" w:rsidP="00225F01">
      <w:pPr>
        <w:spacing w:line="276" w:lineRule="auto"/>
        <w:jc w:val="both"/>
        <w:rPr>
          <w:rFonts w:eastAsiaTheme="minorHAnsi" w:cs="Arial"/>
          <w:szCs w:val="20"/>
          <w:lang w:val="sl-SI"/>
        </w:rPr>
      </w:pPr>
      <w:r w:rsidRPr="005771BD">
        <w:rPr>
          <w:rFonts w:eastAsiaTheme="minorHAnsi" w:cs="Arial"/>
          <w:szCs w:val="20"/>
          <w:lang w:val="sl-SI"/>
        </w:rPr>
        <w:t>[ZR05] Onesnaženost zraka z žveplovim dioksidom</w:t>
      </w:r>
    </w:p>
    <w:p w:rsidR="00225F01" w:rsidRPr="005771BD" w:rsidRDefault="00225F01" w:rsidP="00225F01">
      <w:pPr>
        <w:spacing w:line="276" w:lineRule="auto"/>
        <w:jc w:val="both"/>
        <w:rPr>
          <w:rFonts w:eastAsiaTheme="minorHAnsi" w:cs="Arial"/>
          <w:szCs w:val="20"/>
          <w:lang w:val="sl-SI"/>
        </w:rPr>
      </w:pPr>
      <w:r w:rsidRPr="005771BD">
        <w:rPr>
          <w:rFonts w:eastAsiaTheme="minorHAnsi" w:cs="Arial"/>
          <w:szCs w:val="20"/>
          <w:lang w:val="sl-SI"/>
        </w:rPr>
        <w:t>[ZR06] Onesnaženost zraka z dušikovim dioksidom</w:t>
      </w:r>
    </w:p>
    <w:p w:rsidR="00225F01" w:rsidRPr="005771BD" w:rsidRDefault="00225F01" w:rsidP="00225F01">
      <w:pPr>
        <w:spacing w:line="276" w:lineRule="auto"/>
        <w:jc w:val="both"/>
        <w:rPr>
          <w:rFonts w:eastAsiaTheme="minorHAnsi" w:cs="Arial"/>
          <w:szCs w:val="20"/>
          <w:lang w:val="sl-SI"/>
        </w:rPr>
      </w:pPr>
      <w:r w:rsidRPr="005771BD">
        <w:rPr>
          <w:rFonts w:eastAsiaTheme="minorHAnsi" w:cs="Arial"/>
          <w:szCs w:val="20"/>
          <w:lang w:val="sl-SI"/>
        </w:rPr>
        <w:t>[ZR07] Onesnaženost zraka z ozonom</w:t>
      </w:r>
    </w:p>
    <w:p w:rsidR="00225F01" w:rsidRPr="005771BD" w:rsidRDefault="00225F01" w:rsidP="00225F01">
      <w:pPr>
        <w:spacing w:line="276" w:lineRule="auto"/>
        <w:rPr>
          <w:rFonts w:eastAsiaTheme="minorHAnsi" w:cs="Arial"/>
          <w:szCs w:val="20"/>
          <w:lang w:val="sl-SI"/>
        </w:rPr>
      </w:pPr>
      <w:r w:rsidRPr="005771BD">
        <w:rPr>
          <w:rFonts w:eastAsiaTheme="minorHAnsi" w:cs="Arial"/>
          <w:szCs w:val="20"/>
          <w:lang w:val="sl-SI"/>
        </w:rPr>
        <w:t>[ZR08] Onesnaženost zraka z delci PM</w:t>
      </w:r>
      <w:r w:rsidRPr="005771BD">
        <w:rPr>
          <w:rFonts w:eastAsiaTheme="minorHAnsi" w:cs="Arial"/>
          <w:szCs w:val="20"/>
          <w:vertAlign w:val="subscript"/>
          <w:lang w:val="sl-SI"/>
        </w:rPr>
        <w:t>10</w:t>
      </w:r>
      <w:r w:rsidRPr="005771BD">
        <w:rPr>
          <w:rFonts w:eastAsiaTheme="minorHAnsi" w:cs="Arial"/>
          <w:szCs w:val="20"/>
          <w:lang w:val="sl-SI"/>
        </w:rPr>
        <w:t xml:space="preserve"> in PM</w:t>
      </w:r>
      <w:r w:rsidRPr="005771BD">
        <w:rPr>
          <w:rFonts w:eastAsiaTheme="minorHAnsi" w:cs="Arial"/>
          <w:szCs w:val="20"/>
          <w:vertAlign w:val="subscript"/>
          <w:lang w:val="sl-SI"/>
        </w:rPr>
        <w:t>2,5</w:t>
      </w:r>
    </w:p>
    <w:p w:rsidR="00225F01" w:rsidRPr="005771BD" w:rsidRDefault="00CF5505" w:rsidP="00225F01">
      <w:pPr>
        <w:autoSpaceDE w:val="0"/>
        <w:autoSpaceDN w:val="0"/>
        <w:adjustRightInd w:val="0"/>
        <w:spacing w:line="276" w:lineRule="auto"/>
        <w:rPr>
          <w:rFonts w:eastAsiaTheme="minorHAnsi" w:cs="Arial"/>
          <w:szCs w:val="20"/>
          <w:lang w:val="sl-SI"/>
        </w:rPr>
      </w:pPr>
      <w:hyperlink r:id="rId93" w:history="1">
        <w:r w:rsidR="00225F01" w:rsidRPr="005771BD">
          <w:rPr>
            <w:rFonts w:cs="Arial"/>
            <w:szCs w:val="20"/>
            <w:u w:val="single"/>
            <w:lang w:val="sl-SI" w:eastAsia="sl-SI"/>
          </w:rPr>
          <w:t>[PR01]</w:t>
        </w:r>
      </w:hyperlink>
      <w:r w:rsidR="00225F01" w:rsidRPr="005771BD">
        <w:rPr>
          <w:rFonts w:cs="Arial"/>
          <w:szCs w:val="20"/>
          <w:lang w:val="sl-SI" w:eastAsia="sl-SI"/>
        </w:rPr>
        <w:t xml:space="preserve"> Obseg in sestava potniškega prevoza in prometa</w:t>
      </w:r>
    </w:p>
    <w:p w:rsidR="00225F01" w:rsidRPr="005771BD" w:rsidRDefault="00CF5505" w:rsidP="00225F01">
      <w:pPr>
        <w:autoSpaceDE w:val="0"/>
        <w:autoSpaceDN w:val="0"/>
        <w:adjustRightInd w:val="0"/>
        <w:spacing w:line="276" w:lineRule="auto"/>
        <w:rPr>
          <w:rFonts w:eastAsiaTheme="minorHAnsi" w:cs="Arial"/>
          <w:szCs w:val="20"/>
          <w:lang w:val="sl-SI"/>
        </w:rPr>
      </w:pPr>
      <w:hyperlink r:id="rId94" w:history="1">
        <w:r w:rsidR="00225F01" w:rsidRPr="005771BD">
          <w:rPr>
            <w:rFonts w:eastAsiaTheme="minorHAnsi" w:cs="Arial"/>
            <w:szCs w:val="20"/>
            <w:u w:val="single"/>
            <w:lang w:val="sl-SI" w:eastAsia="sl-SI"/>
          </w:rPr>
          <w:t>[EN09]</w:t>
        </w:r>
      </w:hyperlink>
      <w:r w:rsidR="00225F01" w:rsidRPr="005771BD">
        <w:rPr>
          <w:rFonts w:eastAsiaTheme="minorHAnsi" w:cs="Arial"/>
          <w:szCs w:val="20"/>
          <w:lang w:val="sl-SI" w:eastAsia="sl-SI"/>
        </w:rPr>
        <w:t xml:space="preserve"> Izpusti onesnaževal zraka iz energetskih virov</w:t>
      </w:r>
    </w:p>
    <w:p w:rsidR="00225F01" w:rsidRPr="005771BD" w:rsidRDefault="00CF5505" w:rsidP="00225F01">
      <w:pPr>
        <w:tabs>
          <w:tab w:val="left" w:pos="3767"/>
        </w:tabs>
        <w:spacing w:line="276" w:lineRule="auto"/>
        <w:rPr>
          <w:rFonts w:cs="Arial"/>
          <w:szCs w:val="20"/>
          <w:lang w:val="sl-SI" w:eastAsia="sl-SI"/>
        </w:rPr>
      </w:pPr>
      <w:hyperlink r:id="rId95" w:history="1">
        <w:r w:rsidR="00225F01" w:rsidRPr="005771BD">
          <w:rPr>
            <w:rFonts w:cs="Arial"/>
            <w:szCs w:val="20"/>
            <w:u w:val="single"/>
            <w:lang w:val="sl-SI" w:eastAsia="sl-SI"/>
          </w:rPr>
          <w:t>[KM13]</w:t>
        </w:r>
      </w:hyperlink>
      <w:r w:rsidR="00225F01" w:rsidRPr="005771BD">
        <w:rPr>
          <w:rFonts w:cs="Arial"/>
          <w:szCs w:val="20"/>
          <w:lang w:val="sl-SI" w:eastAsia="sl-SI"/>
        </w:rPr>
        <w:t xml:space="preserve"> Izpusti amonijaka v kmetijstvu</w:t>
      </w:r>
      <w:r w:rsidR="00225F01" w:rsidRPr="005771BD">
        <w:rPr>
          <w:rFonts w:cs="Arial"/>
          <w:szCs w:val="20"/>
          <w:lang w:val="sl-SI" w:eastAsia="sl-SI"/>
        </w:rPr>
        <w:tab/>
      </w:r>
    </w:p>
    <w:p w:rsidR="00225F01" w:rsidRPr="005771BD" w:rsidRDefault="00225F01" w:rsidP="00225F01">
      <w:pPr>
        <w:spacing w:after="200" w:line="276" w:lineRule="auto"/>
        <w:jc w:val="both"/>
        <w:rPr>
          <w:rFonts w:eastAsiaTheme="minorHAnsi" w:cs="Arial"/>
          <w:szCs w:val="20"/>
          <w:lang w:val="sl-SI"/>
        </w:rPr>
      </w:pPr>
    </w:p>
    <w:p w:rsidR="00225F01" w:rsidRPr="005771BD" w:rsidRDefault="00044E8C" w:rsidP="00225F01">
      <w:pPr>
        <w:spacing w:after="200" w:line="276" w:lineRule="auto"/>
        <w:rPr>
          <w:rFonts w:eastAsiaTheme="minorHAnsi" w:cs="Arial"/>
          <w:szCs w:val="20"/>
          <w:u w:val="single"/>
          <w:lang w:val="sl-SI"/>
        </w:rPr>
      </w:pPr>
      <w:r>
        <w:rPr>
          <w:rFonts w:eastAsiaTheme="minorHAnsi" w:cs="Arial"/>
          <w:b/>
          <w:szCs w:val="20"/>
          <w:u w:val="single"/>
          <w:lang w:val="sl-SI"/>
        </w:rPr>
        <w:t>6</w:t>
      </w:r>
      <w:r w:rsidR="00225F01" w:rsidRPr="005771BD">
        <w:rPr>
          <w:rFonts w:eastAsiaTheme="minorHAnsi" w:cs="Arial"/>
          <w:b/>
          <w:szCs w:val="20"/>
          <w:u w:val="single"/>
          <w:lang w:val="sl-SI"/>
        </w:rPr>
        <w:t>.7 Viri in literatura</w:t>
      </w:r>
      <w:r w:rsidR="00225F01" w:rsidRPr="005771BD">
        <w:rPr>
          <w:rFonts w:eastAsiaTheme="minorHAnsi" w:cs="Arial"/>
          <w:szCs w:val="20"/>
          <w:u w:val="single"/>
          <w:lang w:val="sl-SI"/>
        </w:rPr>
        <w:t xml:space="preserve">  </w:t>
      </w:r>
    </w:p>
    <w:p w:rsidR="00225F01" w:rsidRPr="005771BD" w:rsidRDefault="00225F01" w:rsidP="00225F01">
      <w:pPr>
        <w:spacing w:before="120" w:line="276" w:lineRule="auto"/>
        <w:rPr>
          <w:rFonts w:cs="Arial"/>
          <w:b/>
          <w:i/>
          <w:szCs w:val="20"/>
          <w:u w:val="single"/>
          <w:lang w:val="sl-SI" w:eastAsia="sl-SI"/>
        </w:rPr>
      </w:pPr>
      <w:r w:rsidRPr="005771BD">
        <w:rPr>
          <w:rFonts w:cs="Arial"/>
          <w:szCs w:val="20"/>
          <w:lang w:val="sl-SI" w:eastAsia="sl-SI"/>
        </w:rPr>
        <w:t xml:space="preserve">ARSO. 2016. </w:t>
      </w:r>
      <w:r w:rsidRPr="005771BD">
        <w:rPr>
          <w:rFonts w:cs="Arial"/>
          <w:i/>
          <w:szCs w:val="20"/>
          <w:lang w:val="sl-SI" w:eastAsia="sl-SI"/>
        </w:rPr>
        <w:t>Informative inventory report for Slovenia</w:t>
      </w:r>
    </w:p>
    <w:p w:rsidR="00225F01" w:rsidRPr="005771BD" w:rsidRDefault="00225F01" w:rsidP="00225F01">
      <w:pPr>
        <w:spacing w:before="120" w:line="276" w:lineRule="auto"/>
        <w:rPr>
          <w:rFonts w:cs="Arial"/>
          <w:bCs/>
          <w:i/>
          <w:szCs w:val="20"/>
          <w:lang w:val="sl-SI" w:eastAsia="sl-SI"/>
        </w:rPr>
      </w:pPr>
      <w:r w:rsidRPr="005771BD">
        <w:rPr>
          <w:rFonts w:cs="Arial"/>
          <w:bCs/>
          <w:szCs w:val="20"/>
          <w:lang w:val="sl-SI" w:eastAsia="sl-SI"/>
        </w:rPr>
        <w:t xml:space="preserve">ARSO. 2015. </w:t>
      </w:r>
      <w:r w:rsidRPr="005771BD">
        <w:rPr>
          <w:rFonts w:cs="Arial"/>
          <w:bCs/>
          <w:i/>
          <w:szCs w:val="20"/>
          <w:lang w:val="sl-SI" w:eastAsia="sl-SI"/>
        </w:rPr>
        <w:t xml:space="preserve">Kakovost zraka v Sloveniji v letu 2014 </w:t>
      </w:r>
    </w:p>
    <w:p w:rsidR="00225F01" w:rsidRPr="005771BD" w:rsidRDefault="00225F01" w:rsidP="00225F01">
      <w:pPr>
        <w:spacing w:before="120" w:line="276" w:lineRule="auto"/>
        <w:rPr>
          <w:rFonts w:cs="Arial"/>
          <w:i/>
          <w:szCs w:val="20"/>
          <w:lang w:val="sl-SI" w:eastAsia="sl-SI"/>
        </w:rPr>
      </w:pPr>
      <w:r w:rsidRPr="005771BD">
        <w:rPr>
          <w:rFonts w:cs="Arial"/>
          <w:szCs w:val="20"/>
          <w:lang w:val="sl-SI" w:eastAsia="sl-SI"/>
        </w:rPr>
        <w:t xml:space="preserve">ARSO. 2011. </w:t>
      </w:r>
      <w:r w:rsidRPr="005771BD">
        <w:rPr>
          <w:rFonts w:cs="Arial"/>
          <w:i/>
          <w:szCs w:val="20"/>
          <w:lang w:val="sl-SI" w:eastAsia="sl-SI"/>
        </w:rPr>
        <w:t xml:space="preserve">Monitoring kakovosti zunanjega zraka v Zgornji Mežiški dolini v letu 2010 </w:t>
      </w:r>
    </w:p>
    <w:p w:rsidR="00225F01" w:rsidRPr="005771BD" w:rsidRDefault="00225F01" w:rsidP="00225F01">
      <w:pPr>
        <w:spacing w:before="120" w:line="276" w:lineRule="auto"/>
        <w:rPr>
          <w:rFonts w:cs="Arial"/>
          <w:szCs w:val="20"/>
          <w:lang w:val="sl-SI" w:eastAsia="sl-SI"/>
        </w:rPr>
      </w:pPr>
      <w:r w:rsidRPr="005771BD">
        <w:rPr>
          <w:rFonts w:cs="Arial"/>
          <w:szCs w:val="20"/>
          <w:lang w:val="sl-SI" w:eastAsia="sl-SI"/>
        </w:rPr>
        <w:t xml:space="preserve">MOP. 2014. </w:t>
      </w:r>
      <w:r w:rsidRPr="005771BD">
        <w:rPr>
          <w:rFonts w:cs="Arial"/>
          <w:i/>
          <w:szCs w:val="20"/>
          <w:lang w:val="sl-SI" w:eastAsia="sl-SI"/>
        </w:rPr>
        <w:t>Operativni program ukrepov zmanjšanja emisij toplogrednih plinov do leta 2020</w:t>
      </w:r>
    </w:p>
    <w:p w:rsidR="00225F01" w:rsidRPr="005771BD" w:rsidRDefault="00225F01" w:rsidP="00225F01">
      <w:pPr>
        <w:spacing w:before="120" w:line="276" w:lineRule="auto"/>
        <w:ind w:right="-433"/>
        <w:rPr>
          <w:rFonts w:cs="Arial"/>
          <w:i/>
          <w:szCs w:val="20"/>
          <w:lang w:val="sl-SI" w:eastAsia="sl-SI"/>
        </w:rPr>
      </w:pPr>
      <w:r w:rsidRPr="005771BD">
        <w:rPr>
          <w:rFonts w:cs="Arial"/>
          <w:szCs w:val="20"/>
          <w:lang w:val="sl-SI" w:eastAsia="sl-SI"/>
        </w:rPr>
        <w:t xml:space="preserve">MOP. 2005. </w:t>
      </w:r>
      <w:r w:rsidRPr="005771BD">
        <w:rPr>
          <w:rFonts w:cs="Arial"/>
          <w:i/>
          <w:szCs w:val="20"/>
          <w:lang w:val="sl-SI" w:eastAsia="sl-SI"/>
        </w:rPr>
        <w:t xml:space="preserve">Operativni program doseganja nacionalnih zgornjih mej onesnaževal zunanjega zraka </w:t>
      </w:r>
    </w:p>
    <w:p w:rsidR="00225F01" w:rsidRPr="005771BD" w:rsidRDefault="00225F01" w:rsidP="00225F01">
      <w:pPr>
        <w:spacing w:before="120" w:line="276" w:lineRule="auto"/>
        <w:rPr>
          <w:rFonts w:cs="Arial"/>
          <w:szCs w:val="20"/>
          <w:lang w:val="sl-SI" w:eastAsia="sl-SI"/>
        </w:rPr>
      </w:pPr>
      <w:r w:rsidRPr="005771BD">
        <w:rPr>
          <w:rFonts w:cs="Arial"/>
          <w:szCs w:val="20"/>
          <w:lang w:val="sl-SI" w:eastAsia="sl-SI"/>
        </w:rPr>
        <w:t xml:space="preserve">MOP. 2007. </w:t>
      </w:r>
      <w:r w:rsidRPr="005771BD">
        <w:rPr>
          <w:rFonts w:cs="Arial"/>
          <w:i/>
          <w:szCs w:val="20"/>
          <w:lang w:val="sl-SI" w:eastAsia="sl-SI"/>
        </w:rPr>
        <w:t>Operativni program doseganja nacionalnih zgornjih mej onesnaževal zunanjega zraka /Revizija operativnega programa doseganja nacionalnih zgornjih mej emisij onesnaževal zunanjega zraka iz leta 2005/</w:t>
      </w:r>
    </w:p>
    <w:p w:rsidR="00225F01" w:rsidRPr="005771BD" w:rsidRDefault="00225F01" w:rsidP="00225F01">
      <w:pPr>
        <w:spacing w:before="120" w:line="276" w:lineRule="auto"/>
        <w:ind w:right="-433"/>
        <w:rPr>
          <w:rFonts w:cs="Arial"/>
          <w:szCs w:val="20"/>
          <w:lang w:val="sl-SI" w:eastAsia="sl-SI"/>
        </w:rPr>
      </w:pPr>
      <w:r w:rsidRPr="005771BD">
        <w:rPr>
          <w:rFonts w:cs="Arial"/>
          <w:szCs w:val="20"/>
          <w:lang w:val="sl-SI" w:eastAsia="sl-SI"/>
        </w:rPr>
        <w:t xml:space="preserve">MOP. 2009. </w:t>
      </w:r>
      <w:r w:rsidRPr="005771BD">
        <w:rPr>
          <w:rFonts w:cs="Arial"/>
          <w:i/>
          <w:szCs w:val="20"/>
          <w:lang w:val="sl-SI" w:eastAsia="sl-SI"/>
        </w:rPr>
        <w:t>Operativni program varstva zunanjega zraka pred onesnaževanjem s PM</w:t>
      </w:r>
      <w:r w:rsidRPr="005771BD">
        <w:rPr>
          <w:rFonts w:cs="Arial"/>
          <w:i/>
          <w:szCs w:val="20"/>
          <w:vertAlign w:val="subscript"/>
          <w:lang w:val="sl-SI" w:eastAsia="sl-SI"/>
        </w:rPr>
        <w:t>10</w:t>
      </w:r>
      <w:r w:rsidRPr="005771BD">
        <w:rPr>
          <w:rFonts w:cs="Arial"/>
          <w:i/>
          <w:szCs w:val="20"/>
          <w:lang w:val="sl-SI" w:eastAsia="sl-SI"/>
        </w:rPr>
        <w:t xml:space="preserve"> (OP PM</w:t>
      </w:r>
      <w:r w:rsidRPr="005771BD">
        <w:rPr>
          <w:rFonts w:cs="Arial"/>
          <w:i/>
          <w:szCs w:val="20"/>
          <w:vertAlign w:val="subscript"/>
          <w:lang w:val="sl-SI" w:eastAsia="sl-SI"/>
        </w:rPr>
        <w:t>10</w:t>
      </w:r>
      <w:r w:rsidRPr="005771BD">
        <w:rPr>
          <w:rFonts w:cs="Arial"/>
          <w:i/>
          <w:szCs w:val="20"/>
          <w:lang w:val="sl-SI" w:eastAsia="sl-SI"/>
        </w:rPr>
        <w:t>)</w:t>
      </w:r>
    </w:p>
    <w:p w:rsidR="00225F01" w:rsidRPr="005771BD" w:rsidRDefault="00225F01" w:rsidP="00225F01">
      <w:pPr>
        <w:spacing w:before="120" w:line="276" w:lineRule="auto"/>
        <w:rPr>
          <w:rFonts w:cs="Arial"/>
          <w:i/>
          <w:szCs w:val="20"/>
          <w:lang w:val="sl-SI" w:eastAsia="sl-SI"/>
        </w:rPr>
      </w:pPr>
      <w:r w:rsidRPr="005771BD">
        <w:rPr>
          <w:rFonts w:cs="Arial"/>
          <w:szCs w:val="20"/>
          <w:lang w:val="sl-SI" w:eastAsia="sl-SI"/>
        </w:rPr>
        <w:t xml:space="preserve">MOP. 2009. </w:t>
      </w:r>
      <w:r w:rsidRPr="005771BD">
        <w:rPr>
          <w:rFonts w:cs="Arial"/>
          <w:i/>
          <w:szCs w:val="20"/>
          <w:lang w:val="sl-SI" w:eastAsia="sl-SI"/>
        </w:rPr>
        <w:t xml:space="preserve">Nacionalni izvedbeni načrt za ravnanje z obstojnimi organskimi onesnaževali za obdobje od leta 2009 do leta 2013 </w:t>
      </w:r>
    </w:p>
    <w:p w:rsidR="00225F01" w:rsidRPr="005771BD" w:rsidRDefault="00044E8C" w:rsidP="00225F01">
      <w:pPr>
        <w:spacing w:before="120" w:line="276" w:lineRule="auto"/>
        <w:rPr>
          <w:rFonts w:cs="Arial"/>
          <w:szCs w:val="20"/>
          <w:lang w:val="sl-SI" w:eastAsia="sl-SI"/>
        </w:rPr>
      </w:pPr>
      <w:r>
        <w:rPr>
          <w:rFonts w:cs="Arial"/>
          <w:i/>
          <w:szCs w:val="20"/>
          <w:lang w:val="sl-SI" w:eastAsia="sl-SI"/>
        </w:rPr>
        <w:t>U</w:t>
      </w:r>
      <w:r w:rsidR="00225F01" w:rsidRPr="005771BD">
        <w:rPr>
          <w:rFonts w:cs="Arial"/>
          <w:i/>
          <w:szCs w:val="20"/>
          <w:lang w:val="sl-SI" w:eastAsia="sl-SI"/>
        </w:rPr>
        <w:t>redba o kakovosti zunanjega zraka</w:t>
      </w:r>
      <w:r w:rsidR="00225F01" w:rsidRPr="005771BD">
        <w:rPr>
          <w:rFonts w:cs="Arial"/>
          <w:szCs w:val="20"/>
          <w:lang w:val="sl-SI" w:eastAsia="sl-SI"/>
        </w:rPr>
        <w:t xml:space="preserve">. 2011 in 2015. Uradni list RS št. </w:t>
      </w:r>
      <w:hyperlink r:id="rId96" w:history="1">
        <w:r w:rsidR="00225F01" w:rsidRPr="005771BD">
          <w:rPr>
            <w:rFonts w:eastAsia="Calibri" w:cs="Arial"/>
            <w:iCs/>
            <w:szCs w:val="20"/>
            <w:lang w:val="sl-SI" w:eastAsia="sl-SI"/>
          </w:rPr>
          <w:t>9/11</w:t>
        </w:r>
      </w:hyperlink>
      <w:r w:rsidR="00225F01" w:rsidRPr="005771BD">
        <w:rPr>
          <w:rFonts w:eastAsia="Calibri" w:cs="Arial"/>
          <w:iCs/>
          <w:szCs w:val="20"/>
          <w:lang w:val="sl-SI" w:eastAsia="sl-SI"/>
        </w:rPr>
        <w:t xml:space="preserve"> in </w:t>
      </w:r>
      <w:hyperlink r:id="rId97" w:history="1">
        <w:r w:rsidR="00225F01" w:rsidRPr="005771BD">
          <w:rPr>
            <w:rFonts w:eastAsia="Calibri" w:cs="Arial"/>
            <w:iCs/>
            <w:szCs w:val="20"/>
            <w:lang w:val="sl-SI" w:eastAsia="sl-SI"/>
          </w:rPr>
          <w:t>8/15</w:t>
        </w:r>
      </w:hyperlink>
    </w:p>
    <w:p w:rsidR="00E40322" w:rsidRPr="005771BD" w:rsidRDefault="00044E8C" w:rsidP="00044E8C">
      <w:pPr>
        <w:spacing w:after="360" w:line="276" w:lineRule="auto"/>
        <w:jc w:val="both"/>
        <w:rPr>
          <w:rFonts w:eastAsia="Calibri" w:cs="Arial"/>
          <w:b/>
          <w:szCs w:val="20"/>
          <w:lang w:val="sl-SI"/>
        </w:rPr>
      </w:pPr>
      <w:r>
        <w:rPr>
          <w:rFonts w:eastAsia="Calibri" w:cs="Arial"/>
          <w:b/>
          <w:szCs w:val="20"/>
          <w:lang w:val="sl-SI"/>
        </w:rPr>
        <w:t>7</w:t>
      </w:r>
      <w:r w:rsidR="00E40322" w:rsidRPr="005771BD">
        <w:rPr>
          <w:rFonts w:eastAsia="Calibri" w:cs="Arial"/>
          <w:b/>
          <w:szCs w:val="20"/>
          <w:lang w:val="sl-SI"/>
        </w:rPr>
        <w:t xml:space="preserve"> VODE</w:t>
      </w:r>
    </w:p>
    <w:p w:rsidR="00E40322" w:rsidRPr="005771BD" w:rsidRDefault="00044E8C" w:rsidP="00E40322">
      <w:pPr>
        <w:spacing w:after="200" w:line="276" w:lineRule="auto"/>
        <w:jc w:val="both"/>
        <w:rPr>
          <w:rFonts w:eastAsia="Calibri" w:cs="Arial"/>
          <w:b/>
          <w:szCs w:val="20"/>
          <w:u w:val="single"/>
          <w:lang w:val="sl-SI"/>
        </w:rPr>
      </w:pPr>
      <w:r>
        <w:rPr>
          <w:rFonts w:eastAsia="Calibri" w:cs="Arial"/>
          <w:b/>
          <w:szCs w:val="20"/>
          <w:u w:val="single"/>
          <w:lang w:val="sl-SI"/>
        </w:rPr>
        <w:t>7</w:t>
      </w:r>
      <w:r w:rsidR="00E40322" w:rsidRPr="005771BD">
        <w:rPr>
          <w:rFonts w:eastAsia="Calibri" w:cs="Arial"/>
          <w:b/>
          <w:szCs w:val="20"/>
          <w:u w:val="single"/>
          <w:lang w:val="sl-SI"/>
        </w:rPr>
        <w:t>.1 Povzetek</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Poglavje obravnava stanje in obremenitve voda v Sloveniji, trende razvoja in obete za prihodnost. Ocene razmer so podkrepljene s povezavami na kazalce okolja v Sloveniji, kjer so na voljo dodatni podatki.</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Podane so informacije glede trendov temperature zraka, letnih padavin in letne rečne bilance. Opisano je količinsko obnavljanje podzemne vode, podane so informacije o podeljenih vodnih pravicah in rabi vode. Navedeni so tudi rezultati, ki prikazujejo kemijsko in ekološko stanje vodnih teles površinskih voda, stanje naravnih jezer in umetnih zadrževalnikov, količine hranil in biokemijska potreba po kisiku v vodotokih. Prikazani so tudi kakovost voda za življenje sladkovodnih vrst rib, kakovost kopalnih voda, kemijsko stanje podzemnih voda ter obremenitve z nitrati, fosfati in pesticidi. Podane so ključne informacije v zvezi z vodovarstvenimi območji ter čiščenjem odpadne komunalne in industrijske vode. Opisane so hidromorfološke obremenitve površinskih voda ter biološke obremenitve in s tem povezane tujerodne vodne vrste. </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Glede stanja in obremenitev morja so prikazani trendi sprememb višine morja v zadnjih desetletjih, podane so informacije v zvezi z onesnaževanjem iz pomorskega prometa, količino kisika in klorofila v morju ter prosojnostjo, slanostjo in temperaturo morja. Podane so tudi informacije v zvezi z vetrovi in kroženjem vode ter stanjem habitatov morskega okolja. Opisano je stanje planktona, morskih trav, makroalg, nevretenčarjev, rib, morskih sesalcev, morskih plazilcev, morskih ptic in prisotnost tujerodnih vrst. Prevladujoče obremenitve morsk</w:t>
      </w:r>
      <w:r>
        <w:rPr>
          <w:rFonts w:eastAsia="Calibri" w:cs="Arial"/>
          <w:szCs w:val="20"/>
          <w:lang w:val="sl-SI"/>
        </w:rPr>
        <w:t>ega</w:t>
      </w:r>
      <w:r w:rsidRPr="005771BD">
        <w:rPr>
          <w:rFonts w:eastAsia="Calibri" w:cs="Arial"/>
          <w:szCs w:val="20"/>
          <w:lang w:val="sl-SI"/>
        </w:rPr>
        <w:t xml:space="preserve"> okolj</w:t>
      </w:r>
      <w:r>
        <w:rPr>
          <w:rFonts w:eastAsia="Calibri" w:cs="Arial"/>
          <w:szCs w:val="20"/>
          <w:lang w:val="sl-SI"/>
        </w:rPr>
        <w:t>a</w:t>
      </w:r>
      <w:r w:rsidRPr="005771BD">
        <w:rPr>
          <w:rFonts w:eastAsia="Calibri" w:cs="Arial"/>
          <w:szCs w:val="20"/>
          <w:lang w:val="sl-SI"/>
        </w:rPr>
        <w:t xml:space="preserve"> so podan</w:t>
      </w:r>
      <w:r>
        <w:rPr>
          <w:rFonts w:eastAsia="Calibri" w:cs="Arial"/>
          <w:szCs w:val="20"/>
          <w:lang w:val="sl-SI"/>
        </w:rPr>
        <w:t>e</w:t>
      </w:r>
      <w:r w:rsidRPr="005771BD">
        <w:rPr>
          <w:rFonts w:eastAsia="Calibri" w:cs="Arial"/>
          <w:szCs w:val="20"/>
          <w:lang w:val="sl-SI"/>
        </w:rPr>
        <w:t xml:space="preserve"> z opisom fizične izgube habitatov, fizične škode, drugimi fizičnimi motnjami (tj. podvodni hrup in odpadki), onesnaženjem s hranili in bioloških obremenitev.</w:t>
      </w:r>
    </w:p>
    <w:p w:rsidR="00E40322" w:rsidRPr="005771BD" w:rsidRDefault="00E40322" w:rsidP="00044E8C">
      <w:pPr>
        <w:spacing w:after="360" w:line="276" w:lineRule="auto"/>
        <w:jc w:val="both"/>
        <w:rPr>
          <w:rFonts w:eastAsia="Calibri" w:cs="Arial"/>
          <w:szCs w:val="20"/>
          <w:lang w:val="sl-SI"/>
        </w:rPr>
      </w:pPr>
      <w:r w:rsidRPr="005771BD">
        <w:rPr>
          <w:rFonts w:eastAsia="Calibri" w:cs="Arial"/>
          <w:szCs w:val="20"/>
          <w:lang w:val="sl-SI"/>
        </w:rPr>
        <w:t>Kmetijstvo, energetika, promet, industrija in druge dejavnosti ter gospodinjstva so ključni sektorji, ki z obremenjevanjem vplivajo na stanje voda. Prikazan je sistem mehanizmov in ukrepov za obvladovanje (preprečevanje, zmanjševanje) obremenjevanja okolja ali izpostavljenosti ljudi in okolja ter prikazano izvajanje ukrepov in javnih služb varstva okolja s področja voda.</w:t>
      </w:r>
    </w:p>
    <w:p w:rsidR="00E40322" w:rsidRPr="005771BD" w:rsidRDefault="00044E8C" w:rsidP="00E40322">
      <w:pPr>
        <w:spacing w:after="200" w:line="276" w:lineRule="auto"/>
        <w:jc w:val="both"/>
        <w:rPr>
          <w:rFonts w:eastAsia="Calibri" w:cs="Arial"/>
          <w:b/>
          <w:bCs/>
          <w:szCs w:val="20"/>
          <w:u w:val="single"/>
          <w:lang w:val="sl-SI"/>
        </w:rPr>
      </w:pPr>
      <w:r>
        <w:rPr>
          <w:rFonts w:eastAsia="Calibri" w:cs="Arial"/>
          <w:b/>
          <w:bCs/>
          <w:szCs w:val="20"/>
          <w:u w:val="single"/>
          <w:lang w:val="sl-SI"/>
        </w:rPr>
        <w:t>7</w:t>
      </w:r>
      <w:r w:rsidR="00E40322" w:rsidRPr="005771BD">
        <w:rPr>
          <w:rFonts w:eastAsia="Calibri" w:cs="Arial"/>
          <w:b/>
          <w:bCs/>
          <w:szCs w:val="20"/>
          <w:u w:val="single"/>
          <w:lang w:val="sl-SI"/>
        </w:rPr>
        <w:t>.2 Vodna bilanca – krogotok</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Količina površinskih in podzemnih voda je odvisna od temperature zraka ter količine in porazdelitve padavin. Povprečna letna temperatura zraka se zvišuje v vsej državi, pri padavinah pa so izrazite predvsem razlike pri prostorski porazdelitvi ([</w:t>
      </w:r>
      <w:hyperlink r:id="rId98" w:history="1">
        <w:r w:rsidRPr="005771BD">
          <w:rPr>
            <w:rStyle w:val="Hiperpovezava"/>
            <w:rFonts w:eastAsia="Calibri" w:cs="Arial"/>
            <w:szCs w:val="20"/>
            <w:lang w:val="sl-SI"/>
          </w:rPr>
          <w:t>PS04</w:t>
        </w:r>
      </w:hyperlink>
      <w:r w:rsidRPr="005771BD">
        <w:rPr>
          <w:rFonts w:eastAsia="Calibri" w:cs="Arial"/>
          <w:szCs w:val="20"/>
          <w:u w:val="single"/>
          <w:lang w:val="sl-SI"/>
        </w:rPr>
        <w:t>]</w:t>
      </w:r>
      <w:r w:rsidRPr="005771BD">
        <w:rPr>
          <w:rFonts w:eastAsia="Calibri" w:cs="Arial"/>
          <w:szCs w:val="20"/>
          <w:lang w:val="sl-SI"/>
        </w:rPr>
        <w:t xml:space="preserve">). </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Naraščanje povprečne letne temperature je najbolj očitno v zadnjih treh desetletjih. Opazovanje temperature v Sloveniji je pokazalo, da je bilo v obdobju 1951–2015 največ nadpovprečno toplih let v zadnjih treh desetletjih. Najhitrejši trend naraščanja smo zabeležili v zadnjih dveh desetletjih prejšnjega stoletja, v tem stoletju se je naraščanje nekoliko upočasnilo, leti 2014 in 2015 pa spet kažeta na hitrejše nadaljevanje ogrevanja. Povprečna letna temperatura se je v zadnjih petdesetih letih na vzhodu povečala nekoliko bolj kot na zahodu države. Naraščanje temperature je bilo občutno v vseh letnih časih, najbolj pri poletni temperaturi. Trend naraščanja se nadaljuje in slovensko podnebje je že približno </w:t>
      </w:r>
      <w:r w:rsidRPr="005771BD">
        <w:rPr>
          <w:rFonts w:eastAsia="Calibri" w:cs="Arial"/>
          <w:b/>
          <w:szCs w:val="20"/>
          <w:lang w:val="sl-SI"/>
        </w:rPr>
        <w:t>2 °C toplejše</w:t>
      </w:r>
      <w:r w:rsidRPr="005771BD">
        <w:rPr>
          <w:rFonts w:eastAsia="Calibri" w:cs="Arial"/>
          <w:szCs w:val="20"/>
          <w:lang w:val="sl-SI"/>
        </w:rPr>
        <w:t xml:space="preserve">, kot je bilo sredi prejšnjega stoletja. </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Trendi letnih padavin niso tako očitni kot temperaturni, razlike med posameznimi leti in območji so velike. Na območju Slovenije je v obdobju 1981–2010 letno padlo povprečno </w:t>
      </w:r>
      <w:r w:rsidRPr="005771BD">
        <w:rPr>
          <w:rFonts w:eastAsia="Calibri" w:cs="Arial"/>
          <w:b/>
          <w:szCs w:val="20"/>
          <w:lang w:val="sl-SI"/>
        </w:rPr>
        <w:t>1431 mm padavin</w:t>
      </w:r>
      <w:r w:rsidRPr="005771BD">
        <w:rPr>
          <w:rFonts w:eastAsia="Calibri" w:cs="Arial"/>
          <w:szCs w:val="20"/>
          <w:lang w:val="sl-SI"/>
        </w:rPr>
        <w:t xml:space="preserve">. Od te količine se je z evapotranspiracijo letno vrnilo v ozračje povprečno 641 mm. Povprečni skupni letni odtok je znašal 790 mm, od tega je bilo 501 mm neposrednega odtoka in 289 mm podzemnega odtoka. V Sloveniji so razlike v količini padavin med regijami zelo velike, saj v Julijskih Alpah dosegajo povprečne letne padavine na posameznih območjih </w:t>
      </w:r>
      <w:r w:rsidRPr="005771BD">
        <w:rPr>
          <w:rFonts w:eastAsia="Calibri" w:cs="Arial"/>
          <w:b/>
          <w:szCs w:val="20"/>
          <w:lang w:val="sl-SI"/>
        </w:rPr>
        <w:t>3.500 mm</w:t>
      </w:r>
      <w:r w:rsidRPr="005771BD">
        <w:rPr>
          <w:rFonts w:eastAsia="Calibri" w:cs="Arial"/>
          <w:szCs w:val="20"/>
          <w:lang w:val="sl-SI"/>
        </w:rPr>
        <w:t xml:space="preserve">, proti vzhodu pa hitro pojemajo, tako da je na skrajnem vzhodu Prekmurja letno povprečje </w:t>
      </w:r>
      <w:r w:rsidRPr="005771BD">
        <w:rPr>
          <w:rFonts w:eastAsia="Calibri" w:cs="Arial"/>
          <w:b/>
          <w:szCs w:val="20"/>
          <w:lang w:val="sl-SI"/>
        </w:rPr>
        <w:t>pod 800 mm</w:t>
      </w:r>
      <w:r w:rsidRPr="005771BD">
        <w:rPr>
          <w:rFonts w:eastAsia="Calibri" w:cs="Arial"/>
          <w:szCs w:val="20"/>
          <w:lang w:val="sl-SI"/>
        </w:rPr>
        <w:t xml:space="preserve">. Na državni ravni se je letna višina padavin v obdobju 1961–2011 zmanjšala </w:t>
      </w:r>
      <w:r w:rsidRPr="005771BD">
        <w:rPr>
          <w:rFonts w:eastAsia="Calibri" w:cs="Arial"/>
          <w:b/>
          <w:szCs w:val="20"/>
          <w:lang w:val="sl-SI"/>
        </w:rPr>
        <w:t>za 2 do 4 %.</w:t>
      </w:r>
      <w:r w:rsidRPr="005771BD">
        <w:rPr>
          <w:rFonts w:eastAsia="Calibri" w:cs="Arial"/>
          <w:szCs w:val="20"/>
          <w:lang w:val="sl-SI"/>
        </w:rPr>
        <w:t xml:space="preserve">   </w:t>
      </w:r>
    </w:p>
    <w:p w:rsidR="00E40322" w:rsidRPr="005771BD" w:rsidRDefault="00E40322" w:rsidP="00E40322">
      <w:pPr>
        <w:spacing w:after="200" w:line="276" w:lineRule="auto"/>
        <w:jc w:val="both"/>
        <w:rPr>
          <w:rFonts w:eastAsia="Calibri" w:cs="Arial"/>
          <w:szCs w:val="20"/>
          <w:lang w:val="sl-SI"/>
        </w:rPr>
      </w:pPr>
      <w:r w:rsidRPr="007F272F">
        <w:rPr>
          <w:rFonts w:eastAsia="Calibri" w:cs="Arial"/>
          <w:noProof/>
          <w:szCs w:val="20"/>
          <w:lang w:val="sl-SI" w:eastAsia="sl-SI"/>
        </w:rPr>
        <w:drawing>
          <wp:inline distT="0" distB="0" distL="0" distR="0" wp14:anchorId="13F55598" wp14:editId="45E16A15">
            <wp:extent cx="5349923" cy="2730977"/>
            <wp:effectExtent l="0" t="0" r="3175" b="0"/>
            <wp:docPr id="537" name="Slika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354716" cy="2733424"/>
                    </a:xfrm>
                    <a:prstGeom prst="rect">
                      <a:avLst/>
                    </a:prstGeom>
                    <a:noFill/>
                  </pic:spPr>
                </pic:pic>
              </a:graphicData>
            </a:graphic>
          </wp:inline>
        </w:drawing>
      </w:r>
    </w:p>
    <w:p w:rsidR="00E40322" w:rsidRPr="005771BD" w:rsidRDefault="00E40322" w:rsidP="00044E8C">
      <w:pPr>
        <w:spacing w:line="276" w:lineRule="auto"/>
        <w:jc w:val="both"/>
        <w:rPr>
          <w:rFonts w:eastAsia="Calibri" w:cs="Arial"/>
          <w:i/>
          <w:szCs w:val="20"/>
          <w:lang w:val="sl-SI"/>
        </w:rPr>
      </w:pPr>
      <w:r w:rsidRPr="005771BD">
        <w:rPr>
          <w:rFonts w:eastAsia="Calibri" w:cs="Arial"/>
          <w:i/>
          <w:szCs w:val="20"/>
          <w:lang w:val="sl-SI"/>
        </w:rPr>
        <w:t xml:space="preserve">Slika </w:t>
      </w:r>
      <w:r w:rsidR="00044E8C">
        <w:rPr>
          <w:rFonts w:eastAsia="Calibri" w:cs="Arial"/>
          <w:i/>
          <w:szCs w:val="20"/>
          <w:lang w:val="sl-SI"/>
        </w:rPr>
        <w:t>7</w:t>
      </w:r>
      <w:r w:rsidRPr="005771BD">
        <w:rPr>
          <w:rFonts w:eastAsia="Calibri" w:cs="Arial"/>
          <w:i/>
          <w:szCs w:val="20"/>
          <w:lang w:val="sl-SI"/>
        </w:rPr>
        <w:t>.1: Povprečna letna količina padavin v Sloveniji v obdobju 1961–2015</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611"/>
        <w:gridCol w:w="81"/>
      </w:tblGrid>
      <w:tr w:rsidR="00E40322" w:rsidRPr="005771BD" w:rsidTr="00692C71">
        <w:trPr>
          <w:tblCellSpacing w:w="15" w:type="dxa"/>
        </w:trPr>
        <w:tc>
          <w:tcPr>
            <w:tcW w:w="0" w:type="auto"/>
            <w:vAlign w:val="center"/>
          </w:tcPr>
          <w:p w:rsidR="00E40322" w:rsidRPr="005771BD" w:rsidRDefault="00E40322" w:rsidP="00692C71">
            <w:pPr>
              <w:spacing w:after="200" w:line="276" w:lineRule="auto"/>
              <w:jc w:val="both"/>
              <w:rPr>
                <w:rFonts w:eastAsia="Calibri" w:cs="Arial"/>
                <w:szCs w:val="20"/>
                <w:lang w:val="sl-SI"/>
              </w:rPr>
            </w:pPr>
            <w:r w:rsidRPr="005771BD">
              <w:rPr>
                <w:rFonts w:eastAsia="Calibri" w:cs="Arial"/>
                <w:i/>
                <w:szCs w:val="20"/>
                <w:lang w:val="sl-SI"/>
              </w:rPr>
              <w:t>Vir: ARSO, Kazalci okolja, oktober 2016</w:t>
            </w:r>
          </w:p>
        </w:tc>
        <w:tc>
          <w:tcPr>
            <w:tcW w:w="0" w:type="auto"/>
            <w:vAlign w:val="center"/>
          </w:tcPr>
          <w:p w:rsidR="00E40322" w:rsidRPr="005771BD" w:rsidRDefault="00E40322" w:rsidP="00692C71">
            <w:pPr>
              <w:spacing w:after="200" w:line="276" w:lineRule="auto"/>
              <w:jc w:val="both"/>
              <w:rPr>
                <w:rFonts w:eastAsia="Calibri" w:cs="Arial"/>
                <w:szCs w:val="20"/>
                <w:lang w:val="sl-SI"/>
              </w:rPr>
            </w:pPr>
          </w:p>
        </w:tc>
      </w:tr>
    </w:tbl>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Zmanjševanje neto odtoka izkazuje tudi </w:t>
      </w:r>
      <w:r w:rsidRPr="005771BD">
        <w:rPr>
          <w:rFonts w:eastAsia="Calibri" w:cs="Arial"/>
          <w:b/>
          <w:szCs w:val="20"/>
          <w:lang w:val="sl-SI"/>
        </w:rPr>
        <w:t xml:space="preserve">letna rečna bilanca </w:t>
      </w:r>
      <w:r w:rsidRPr="005771BD">
        <w:rPr>
          <w:rFonts w:eastAsia="Calibri" w:cs="Arial"/>
          <w:szCs w:val="20"/>
          <w:lang w:val="sl-SI"/>
        </w:rPr>
        <w:t>(kazalec [</w:t>
      </w:r>
      <w:hyperlink r:id="rId100" w:history="1">
        <w:r w:rsidRPr="005771BD">
          <w:rPr>
            <w:rStyle w:val="Hiperpovezava"/>
            <w:rFonts w:eastAsia="Calibri" w:cs="Arial"/>
            <w:szCs w:val="20"/>
            <w:lang w:val="sl-SI"/>
          </w:rPr>
          <w:t>VD03</w:t>
        </w:r>
      </w:hyperlink>
      <w:r w:rsidRPr="005771BD">
        <w:rPr>
          <w:rFonts w:eastAsia="Calibri" w:cs="Arial"/>
          <w:szCs w:val="20"/>
          <w:u w:val="single"/>
          <w:lang w:val="sl-SI"/>
        </w:rPr>
        <w:t>]</w:t>
      </w:r>
      <w:r w:rsidRPr="005771BD">
        <w:rPr>
          <w:rFonts w:eastAsia="Calibri" w:cs="Arial"/>
          <w:szCs w:val="20"/>
          <w:lang w:val="sl-SI"/>
        </w:rPr>
        <w:t>), ki temelji na podatkih srednjih letnih pretokov izbranih vodomernih postaj. Za ocenjevanje gibanja je zaradi velike letne spremenljivosti pretokov primeren daljši podatkovni niz. Glede na delovanje upoštevanih vodomernih postaj je najprimernejši niz, ki se začne z letom 1961 in konča z letom 2014. Ob preučevanju celotnega niza podatkov (1961–2014) ali tridesetletnega obdobja (1971–2000) je upadanje rečnega odtoka zelo očitno. Če upoštevamo samo obdobje 1981–2000, je ta tendenca komajda opazna. Posredno gibanje letnega rečnega odtoka opozarja tudi na povečevanje ali zmanjševanje verjetnosti nizkih voda (suš) in poplavne ogroženosti. Vendar pa se letni rečni odtoki ne ujemajo vedno s spreminjanjem visokih in nizkih voda. V letih 2013 in 2014 je rečni odtok z 19.892 (631 m</w:t>
      </w:r>
      <w:r w:rsidRPr="005771BD">
        <w:rPr>
          <w:rFonts w:eastAsia="Calibri" w:cs="Arial"/>
          <w:szCs w:val="20"/>
          <w:vertAlign w:val="superscript"/>
          <w:lang w:val="sl-SI"/>
        </w:rPr>
        <w:t>3</w:t>
      </w:r>
      <w:r w:rsidRPr="005771BD">
        <w:rPr>
          <w:rFonts w:eastAsia="Calibri" w:cs="Arial"/>
          <w:szCs w:val="20"/>
          <w:lang w:val="sl-SI"/>
        </w:rPr>
        <w:t>/s) oziroma 24.775 milijoni m</w:t>
      </w:r>
      <w:r w:rsidRPr="005771BD">
        <w:rPr>
          <w:rFonts w:eastAsia="Calibri" w:cs="Arial"/>
          <w:szCs w:val="20"/>
          <w:vertAlign w:val="superscript"/>
          <w:lang w:val="sl-SI"/>
        </w:rPr>
        <w:t>3</w:t>
      </w:r>
      <w:r w:rsidRPr="005771BD">
        <w:rPr>
          <w:rFonts w:eastAsia="Calibri" w:cs="Arial"/>
          <w:szCs w:val="20"/>
          <w:lang w:val="sl-SI"/>
        </w:rPr>
        <w:t xml:space="preserve"> (786 m</w:t>
      </w:r>
      <w:r w:rsidRPr="005771BD">
        <w:rPr>
          <w:rFonts w:eastAsia="Calibri" w:cs="Arial"/>
          <w:szCs w:val="20"/>
          <w:vertAlign w:val="superscript"/>
          <w:lang w:val="sl-SI"/>
        </w:rPr>
        <w:t>3</w:t>
      </w:r>
      <w:r w:rsidRPr="005771BD">
        <w:rPr>
          <w:rFonts w:eastAsia="Calibri" w:cs="Arial"/>
          <w:szCs w:val="20"/>
          <w:lang w:val="sl-SI"/>
        </w:rPr>
        <w:t>/s) krepko presegel povprečje obdobja 1961–2014 (15.997 milijonov m</w:t>
      </w:r>
      <w:r w:rsidRPr="005771BD">
        <w:rPr>
          <w:rFonts w:eastAsia="Calibri" w:cs="Arial"/>
          <w:szCs w:val="20"/>
          <w:vertAlign w:val="superscript"/>
          <w:lang w:val="sl-SI"/>
        </w:rPr>
        <w:t>3</w:t>
      </w:r>
      <w:r w:rsidRPr="005771BD">
        <w:rPr>
          <w:rFonts w:eastAsia="Calibri" w:cs="Arial"/>
          <w:szCs w:val="20"/>
          <w:lang w:val="sl-SI"/>
        </w:rPr>
        <w:t xml:space="preserve"> (507 m</w:t>
      </w:r>
      <w:r w:rsidRPr="005771BD">
        <w:rPr>
          <w:rFonts w:eastAsia="Calibri" w:cs="Arial"/>
          <w:szCs w:val="20"/>
          <w:vertAlign w:val="superscript"/>
          <w:lang w:val="sl-SI"/>
        </w:rPr>
        <w:t>3</w:t>
      </w:r>
      <w:r w:rsidRPr="005771BD">
        <w:rPr>
          <w:rFonts w:eastAsia="Calibri" w:cs="Arial"/>
          <w:szCs w:val="20"/>
          <w:lang w:val="sl-SI"/>
        </w:rPr>
        <w:t>/s)). Odtok leta 2014 je bil celo drugi največji in se je skoraj izenačil z rekordnim iz leta 1965 (24.965 milijonov m</w:t>
      </w:r>
      <w:r w:rsidRPr="005771BD">
        <w:rPr>
          <w:rFonts w:eastAsia="Calibri" w:cs="Arial"/>
          <w:szCs w:val="20"/>
          <w:vertAlign w:val="superscript"/>
          <w:lang w:val="sl-SI"/>
        </w:rPr>
        <w:t>3</w:t>
      </w:r>
      <w:r w:rsidRPr="005771BD">
        <w:rPr>
          <w:rFonts w:eastAsia="Calibri" w:cs="Arial"/>
          <w:szCs w:val="20"/>
          <w:lang w:val="sl-SI"/>
        </w:rPr>
        <w:t xml:space="preserve"> (792 m</w:t>
      </w:r>
      <w:r w:rsidRPr="005771BD">
        <w:rPr>
          <w:rFonts w:eastAsia="Calibri" w:cs="Arial"/>
          <w:szCs w:val="20"/>
          <w:vertAlign w:val="superscript"/>
          <w:lang w:val="sl-SI"/>
        </w:rPr>
        <w:t>3</w:t>
      </w:r>
      <w:r w:rsidRPr="005771BD">
        <w:rPr>
          <w:rFonts w:eastAsia="Calibri" w:cs="Arial"/>
          <w:szCs w:val="20"/>
          <w:lang w:val="sl-SI"/>
        </w:rPr>
        <w:t xml:space="preserve">/s)). Ob nadaljnjem zviševanju temperature zraka lahko še naprej pričakujemo zmanjševanje neto odtoka s stopnjo, ki je značilna za zadnje tridesetletno vodnobilančno obdobje. </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Čeprav letna količina padavin v Sloveniji regionalno še ne upada, v nekaterih območjih celo narašča, beležimo vse pogostejše </w:t>
      </w:r>
      <w:r w:rsidRPr="005771BD">
        <w:rPr>
          <w:rFonts w:eastAsia="Calibri" w:cs="Arial"/>
          <w:b/>
          <w:szCs w:val="20"/>
          <w:lang w:val="sl-SI"/>
        </w:rPr>
        <w:t>hidrološke suše.</w:t>
      </w:r>
      <w:r w:rsidRPr="005771BD">
        <w:rPr>
          <w:rFonts w:eastAsia="Calibri" w:cs="Arial"/>
          <w:szCs w:val="20"/>
          <w:lang w:val="sl-SI"/>
        </w:rPr>
        <w:t xml:space="preserve"> Indeks standardiziranega najmanjšega letnega pretoka je v zadnjih desetletjih vse pogosteje negativen, kar pomeni male pretoke ali suše različnih razsežnosti.  </w:t>
      </w:r>
    </w:p>
    <w:p w:rsidR="00E40322" w:rsidRPr="005771BD" w:rsidRDefault="00044E8C" w:rsidP="00E40322">
      <w:pPr>
        <w:spacing w:after="200" w:line="276" w:lineRule="auto"/>
        <w:jc w:val="both"/>
        <w:rPr>
          <w:rFonts w:eastAsia="Calibri" w:cs="Arial"/>
          <w:b/>
          <w:bCs/>
          <w:szCs w:val="20"/>
          <w:u w:val="single"/>
          <w:lang w:val="sl-SI"/>
        </w:rPr>
      </w:pPr>
      <w:r>
        <w:rPr>
          <w:rFonts w:eastAsia="Calibri" w:cs="Arial"/>
          <w:b/>
          <w:bCs/>
          <w:szCs w:val="20"/>
          <w:u w:val="single"/>
          <w:lang w:val="sl-SI"/>
        </w:rPr>
        <w:br w:type="column"/>
        <w:t>7</w:t>
      </w:r>
      <w:r w:rsidR="00E40322" w:rsidRPr="005771BD">
        <w:rPr>
          <w:rFonts w:eastAsia="Calibri" w:cs="Arial"/>
          <w:b/>
          <w:bCs/>
          <w:szCs w:val="20"/>
          <w:u w:val="single"/>
          <w:lang w:val="sl-SI"/>
        </w:rPr>
        <w:t xml:space="preserve">.3 Obremenitve in pritiski ter stanje celinskih površinskih in podzemnih voda </w:t>
      </w:r>
      <w:r w:rsidR="00E40322">
        <w:rPr>
          <w:rFonts w:eastAsia="Calibri" w:cs="Arial"/>
          <w:b/>
          <w:bCs/>
          <w:szCs w:val="20"/>
          <w:u w:val="single"/>
          <w:lang w:val="sl-SI"/>
        </w:rPr>
        <w:t>ter</w:t>
      </w:r>
      <w:r w:rsidR="00E40322" w:rsidRPr="005771BD">
        <w:rPr>
          <w:rFonts w:eastAsia="Calibri" w:cs="Arial"/>
          <w:b/>
          <w:bCs/>
          <w:szCs w:val="20"/>
          <w:u w:val="single"/>
          <w:lang w:val="sl-SI"/>
        </w:rPr>
        <w:t xml:space="preserve"> obalnega morja</w:t>
      </w:r>
    </w:p>
    <w:p w:rsidR="00E40322" w:rsidRPr="005771BD" w:rsidRDefault="00044E8C" w:rsidP="00E40322">
      <w:pPr>
        <w:spacing w:after="200" w:line="276" w:lineRule="auto"/>
        <w:jc w:val="both"/>
        <w:rPr>
          <w:rFonts w:eastAsia="Calibri" w:cs="Arial"/>
          <w:b/>
          <w:bCs/>
          <w:szCs w:val="20"/>
          <w:lang w:val="sl-SI"/>
        </w:rPr>
      </w:pPr>
      <w:r>
        <w:rPr>
          <w:rFonts w:eastAsia="Calibri" w:cs="Arial"/>
          <w:b/>
          <w:bCs/>
          <w:szCs w:val="20"/>
          <w:lang w:val="sl-SI"/>
        </w:rPr>
        <w:t>7</w:t>
      </w:r>
      <w:r w:rsidR="00E40322" w:rsidRPr="005771BD">
        <w:rPr>
          <w:rFonts w:eastAsia="Calibri" w:cs="Arial"/>
          <w:b/>
          <w:bCs/>
          <w:szCs w:val="20"/>
          <w:lang w:val="sl-SI"/>
        </w:rPr>
        <w:t>.3.1 Stanje površinskih celinskih voda in obalnega morja</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Stanje površinskih celinskih voda in obalnega morja je prikazano skladu z določili, ki izhajajo iz  vodne direktive (Direktiva 2000/60/ES). Na podlagi te direktive se stanje površinskih celinskih voda in obalnega morja oceni na podlagi ocene kemijskega in ekološkega stanja.  V oceno so vključene vse površinske celinske vode, somornice in obalno morje, pri kemijskem stanju je v oceno zajeto tudi teritorialno morje. Osnovna enota za oceno je vodno telo, ki je ločeni in pomemben sestavni del površinske vode, kot na primer jezero, vodni zbiralnik, potok, reka ali kanal, del potoka, reke ali kanala ali del obalnega morja. V Sloveniji je določenih 155 vodnih teles površinskih voda. </w:t>
      </w:r>
    </w:p>
    <w:p w:rsidR="00E40322" w:rsidRPr="00044E8C" w:rsidRDefault="00044E8C" w:rsidP="00E40322">
      <w:pPr>
        <w:spacing w:after="200" w:line="276" w:lineRule="auto"/>
        <w:jc w:val="both"/>
        <w:rPr>
          <w:rFonts w:eastAsia="Calibri" w:cs="Arial"/>
          <w:szCs w:val="20"/>
          <w:u w:val="single"/>
          <w:lang w:val="sl-SI"/>
        </w:rPr>
      </w:pPr>
      <w:r w:rsidRPr="00044E8C">
        <w:rPr>
          <w:rFonts w:eastAsia="Calibri" w:cs="Arial"/>
          <w:szCs w:val="20"/>
          <w:u w:val="single"/>
          <w:lang w:val="sl-SI"/>
        </w:rPr>
        <w:t>7</w:t>
      </w:r>
      <w:r w:rsidR="00E40322" w:rsidRPr="00044E8C">
        <w:rPr>
          <w:rFonts w:eastAsia="Calibri" w:cs="Arial"/>
          <w:szCs w:val="20"/>
          <w:u w:val="single"/>
          <w:lang w:val="sl-SI"/>
        </w:rPr>
        <w:t>.3.1.1 Kemijsko stanje vodnih teles površinskih voda in obalnega morja</w:t>
      </w:r>
    </w:p>
    <w:p w:rsidR="00E40322" w:rsidRPr="005771BD" w:rsidRDefault="00E40322" w:rsidP="00E40322">
      <w:pPr>
        <w:spacing w:after="200" w:line="276" w:lineRule="auto"/>
        <w:jc w:val="both"/>
        <w:rPr>
          <w:rFonts w:eastAsia="Calibri" w:cs="Arial"/>
          <w:szCs w:val="20"/>
          <w:lang w:val="sl-SI"/>
        </w:rPr>
      </w:pPr>
      <w:r w:rsidRPr="005771BD">
        <w:rPr>
          <w:rFonts w:eastAsia="Calibri" w:cs="Arial"/>
          <w:b/>
          <w:szCs w:val="20"/>
          <w:lang w:val="sl-SI"/>
        </w:rPr>
        <w:t xml:space="preserve">Kemijsko stanje vodnih teles površinskih voda </w:t>
      </w:r>
      <w:r w:rsidRPr="005771BD">
        <w:rPr>
          <w:rFonts w:eastAsia="Calibri" w:cs="Arial"/>
          <w:szCs w:val="20"/>
          <w:lang w:val="sl-SI"/>
        </w:rPr>
        <w:t xml:space="preserve">prikazuje obremenjenost površinskih voda glede na vsebnost prednostnih in prednostno nevarnih snovi, za katere so na območju držav Evropske skupnosti postavljeni enotni okoljski standardi kakovosti </w:t>
      </w:r>
      <w:r w:rsidRPr="005771BD">
        <w:rPr>
          <w:rFonts w:eastAsia="Calibri" w:cs="Arial"/>
          <w:b/>
          <w:szCs w:val="20"/>
          <w:lang w:val="sl-SI"/>
        </w:rPr>
        <w:t>(</w:t>
      </w:r>
      <w:r w:rsidRPr="005771BD">
        <w:rPr>
          <w:rFonts w:eastAsia="Calibri" w:cs="Arial"/>
          <w:szCs w:val="20"/>
          <w:lang w:val="sl-SI"/>
        </w:rPr>
        <w:t>kazalec [</w:t>
      </w:r>
      <w:hyperlink r:id="rId101" w:history="1">
        <w:r w:rsidRPr="005771BD">
          <w:rPr>
            <w:rStyle w:val="Hiperpovezava"/>
            <w:rFonts w:eastAsia="Calibri" w:cs="Arial"/>
            <w:szCs w:val="20"/>
            <w:lang w:val="sl-SI"/>
          </w:rPr>
          <w:t>VD12</w:t>
        </w:r>
      </w:hyperlink>
      <w:r w:rsidRPr="005771BD">
        <w:rPr>
          <w:rFonts w:eastAsia="Calibri" w:cs="Arial"/>
          <w:szCs w:val="20"/>
          <w:u w:val="single"/>
          <w:lang w:val="sl-SI"/>
        </w:rPr>
        <w:t>]</w:t>
      </w:r>
      <w:r w:rsidRPr="005771BD">
        <w:rPr>
          <w:rFonts w:eastAsia="Calibri" w:cs="Arial"/>
          <w:szCs w:val="20"/>
          <w:lang w:val="sl-SI"/>
        </w:rPr>
        <w:t xml:space="preserve">). V vodno okolje se odvaja na tisoče različnih kemikalij, od katerih je bilo v EU </w:t>
      </w:r>
      <w:r w:rsidRPr="005771BD">
        <w:rPr>
          <w:rFonts w:eastAsia="Calibri" w:cs="Arial"/>
          <w:b/>
          <w:szCs w:val="20"/>
          <w:lang w:val="sl-SI"/>
        </w:rPr>
        <w:t>45 snovi</w:t>
      </w:r>
      <w:r w:rsidRPr="005771BD">
        <w:rPr>
          <w:rFonts w:eastAsia="Calibri" w:cs="Arial"/>
          <w:szCs w:val="20"/>
          <w:lang w:val="sl-SI"/>
        </w:rPr>
        <w:t xml:space="preserve"> oziroma skupin snovi določenih kot prednostnih. Te snovi so bile izbrane kot pomembne za območje vseh držav Evropske skupnosti zaradi njihove razširjene uporabe in ugotovljenih povišanih koncentracij v površinskih vodah. Med te snovi spadajo npr. atrazin, benzen, kadmij, živo srebro, ogljikov tetraklorid itd. Kemijsko stanje površinskih voda se oceni po dvostopenjski lestvici: dobro ali slabo. V oceni kemijskega stanja so ovrednoteni parametri v vodi ter vsebnost heksaklorobenzena in heksaklorobutadiena v organizmih.</w:t>
      </w:r>
    </w:p>
    <w:p w:rsidR="00E40322" w:rsidRPr="005771BD" w:rsidRDefault="00E40322" w:rsidP="00E40322">
      <w:pPr>
        <w:spacing w:after="200" w:line="276" w:lineRule="auto"/>
        <w:jc w:val="both"/>
        <w:rPr>
          <w:rFonts w:eastAsia="Calibri" w:cs="Arial"/>
          <w:szCs w:val="20"/>
          <w:lang w:val="sl-SI"/>
        </w:rPr>
      </w:pPr>
      <w:r w:rsidRPr="007F272F">
        <w:rPr>
          <w:rFonts w:eastAsia="Calibri" w:cs="Arial"/>
          <w:noProof/>
          <w:szCs w:val="20"/>
          <w:lang w:val="sl-SI" w:eastAsia="sl-SI"/>
        </w:rPr>
        <w:drawing>
          <wp:inline distT="0" distB="0" distL="0" distR="0" wp14:anchorId="1541D0DF" wp14:editId="18F6B2D6">
            <wp:extent cx="5133340" cy="3304540"/>
            <wp:effectExtent l="0" t="0" r="0" b="0"/>
            <wp:docPr id="538" name="Slika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133340" cy="3304540"/>
                    </a:xfrm>
                    <a:prstGeom prst="rect">
                      <a:avLst/>
                    </a:prstGeom>
                    <a:noFill/>
                  </pic:spPr>
                </pic:pic>
              </a:graphicData>
            </a:graphic>
          </wp:inline>
        </w:drawing>
      </w:r>
    </w:p>
    <w:p w:rsidR="00E40322" w:rsidRPr="005771BD" w:rsidRDefault="00E40322" w:rsidP="00044E8C">
      <w:pPr>
        <w:spacing w:line="276" w:lineRule="auto"/>
        <w:jc w:val="both"/>
        <w:rPr>
          <w:rFonts w:eastAsia="Calibri" w:cs="Arial"/>
          <w:i/>
          <w:szCs w:val="20"/>
          <w:lang w:val="sl-SI"/>
        </w:rPr>
      </w:pPr>
      <w:r w:rsidRPr="005771BD">
        <w:rPr>
          <w:rFonts w:eastAsia="Calibri" w:cs="Arial"/>
          <w:i/>
          <w:szCs w:val="20"/>
          <w:lang w:val="sl-SI"/>
        </w:rPr>
        <w:t xml:space="preserve">Slika </w:t>
      </w:r>
      <w:r w:rsidR="00044E8C">
        <w:rPr>
          <w:rFonts w:eastAsia="Calibri" w:cs="Arial"/>
          <w:i/>
          <w:szCs w:val="20"/>
          <w:lang w:val="sl-SI"/>
        </w:rPr>
        <w:t>7</w:t>
      </w:r>
      <w:r w:rsidRPr="005771BD">
        <w:rPr>
          <w:rFonts w:eastAsia="Calibri" w:cs="Arial"/>
          <w:i/>
          <w:szCs w:val="20"/>
          <w:lang w:val="sl-SI"/>
        </w:rPr>
        <w:t>.2: Ocena kemijskega stanja površinskih voda za obdobje 2009–2013</w:t>
      </w:r>
    </w:p>
    <w:p w:rsidR="00E40322" w:rsidRPr="005771BD" w:rsidRDefault="00E40322" w:rsidP="00E40322">
      <w:pPr>
        <w:spacing w:after="200" w:line="276" w:lineRule="auto"/>
        <w:jc w:val="both"/>
        <w:rPr>
          <w:rFonts w:eastAsia="Calibri" w:cs="Arial"/>
          <w:i/>
          <w:szCs w:val="20"/>
          <w:lang w:val="sl-SI"/>
        </w:rPr>
      </w:pPr>
      <w:r w:rsidRPr="005771BD">
        <w:rPr>
          <w:rFonts w:eastAsia="Calibri" w:cs="Arial"/>
          <w:i/>
          <w:szCs w:val="20"/>
          <w:lang w:val="sl-SI"/>
        </w:rPr>
        <w:t>Vir: ARSO, Kazalci okolja, oktober 2016</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Dobro kemijsko stanje je ugotovljeno za </w:t>
      </w:r>
      <w:r w:rsidRPr="005771BD">
        <w:rPr>
          <w:rFonts w:eastAsia="Calibri" w:cs="Arial"/>
          <w:b/>
          <w:szCs w:val="20"/>
          <w:lang w:val="sl-SI"/>
        </w:rPr>
        <w:t>149 (96 %) vodnih teles površinskih voda,</w:t>
      </w:r>
      <w:r w:rsidRPr="005771BD">
        <w:rPr>
          <w:rFonts w:eastAsia="Calibri" w:cs="Arial"/>
          <w:szCs w:val="20"/>
          <w:lang w:val="sl-SI"/>
        </w:rPr>
        <w:t xml:space="preserve"> za </w:t>
      </w:r>
      <w:r w:rsidRPr="005771BD">
        <w:rPr>
          <w:rFonts w:eastAsia="Calibri" w:cs="Arial"/>
          <w:b/>
          <w:szCs w:val="20"/>
          <w:lang w:val="sl-SI"/>
        </w:rPr>
        <w:t>5 vodnih teles (3 %)</w:t>
      </w:r>
      <w:r w:rsidRPr="005771BD">
        <w:rPr>
          <w:rFonts w:eastAsia="Calibri" w:cs="Arial"/>
          <w:szCs w:val="20"/>
          <w:lang w:val="sl-SI"/>
        </w:rPr>
        <w:t xml:space="preserve"> je ugotovljeno slabo kemijsko stanje, </w:t>
      </w:r>
      <w:r w:rsidRPr="005771BD">
        <w:rPr>
          <w:rFonts w:eastAsia="Calibri" w:cs="Arial"/>
          <w:b/>
          <w:szCs w:val="20"/>
          <w:lang w:val="sl-SI"/>
        </w:rPr>
        <w:t>eno vodno telo</w:t>
      </w:r>
      <w:r w:rsidRPr="005771BD">
        <w:rPr>
          <w:rFonts w:eastAsia="Calibri" w:cs="Arial"/>
          <w:szCs w:val="20"/>
          <w:lang w:val="sl-SI"/>
        </w:rPr>
        <w:t xml:space="preserve"> (Škocjanski zatok) ni ocenjeno. V primerjavi z oceno kemijskega stanja v obdobju 2006–2008 se je kemijsko stanje površinskih voda v obdobju 2009–2013 izboljšalo na dveh vodnih telesih, kar pomeni izboljšanje kemijskega stanja za 1% vodnih teles površinskih voda. </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Slabo kemijsko stanje imajo vsa </w:t>
      </w:r>
      <w:r w:rsidRPr="005771BD">
        <w:rPr>
          <w:rFonts w:eastAsia="Calibri" w:cs="Arial"/>
          <w:b/>
          <w:szCs w:val="20"/>
          <w:lang w:val="sl-SI"/>
        </w:rPr>
        <w:t>vodna telesa obalnega morja in teritorialno morje</w:t>
      </w:r>
      <w:r w:rsidRPr="005771BD">
        <w:rPr>
          <w:rFonts w:eastAsia="Calibri" w:cs="Arial"/>
          <w:szCs w:val="20"/>
          <w:lang w:val="sl-SI"/>
        </w:rPr>
        <w:t xml:space="preserve">, kar je bilo ugotovljeno že za obdobje 2006–2008. Razlog za slabo kemijsko stanje je preseganje okoljskega standarda kakovosti za tributilkositrove spojine, ki so se uporabljale kot biocidi v premazih za zaščito ladij pred obraščanjem z algami. Od leta 2003 so v državah Evropske skupnosti tributilkositrove spojine za ta namen prepovedane, razen za vojne ladje, plovne pripomočke ali druge ladje, ki so v lasti ali uporabi države in se uporabljajo za državne negospodarske namene. Čezmerna onesnaženost slovenskega morja s tributilkositrovimi spojinami je lahko posledica čezmejnega onesnaževanja in torej rabe teh snovi v drugih državah ob Jadranskem morju ali pa prevelike rabe teh snovi v preteklosti. </w:t>
      </w:r>
    </w:p>
    <w:p w:rsidR="00E40322" w:rsidRPr="005771BD" w:rsidRDefault="00E40322" w:rsidP="00E40322">
      <w:pPr>
        <w:spacing w:after="200" w:line="276" w:lineRule="auto"/>
        <w:jc w:val="both"/>
        <w:rPr>
          <w:rFonts w:eastAsia="Calibri" w:cs="Arial"/>
          <w:i/>
          <w:szCs w:val="20"/>
          <w:lang w:val="sl-SI"/>
        </w:rPr>
      </w:pPr>
      <w:r w:rsidRPr="007F272F">
        <w:rPr>
          <w:rFonts w:eastAsia="Calibri" w:cs="Arial"/>
          <w:i/>
          <w:noProof/>
          <w:szCs w:val="20"/>
          <w:lang w:val="sl-SI" w:eastAsia="sl-SI"/>
        </w:rPr>
        <w:drawing>
          <wp:inline distT="0" distB="0" distL="0" distR="0" wp14:anchorId="4B378715" wp14:editId="2C460FD4">
            <wp:extent cx="3877310" cy="1755775"/>
            <wp:effectExtent l="0" t="0" r="8890" b="0"/>
            <wp:docPr id="539" name="Slika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877310" cy="1755775"/>
                    </a:xfrm>
                    <a:prstGeom prst="rect">
                      <a:avLst/>
                    </a:prstGeom>
                    <a:noFill/>
                  </pic:spPr>
                </pic:pic>
              </a:graphicData>
            </a:graphic>
          </wp:inline>
        </w:drawing>
      </w:r>
    </w:p>
    <w:p w:rsidR="00E40322" w:rsidRPr="005771BD" w:rsidRDefault="00E40322" w:rsidP="00607481">
      <w:pPr>
        <w:spacing w:line="276" w:lineRule="auto"/>
        <w:jc w:val="both"/>
        <w:rPr>
          <w:rFonts w:eastAsia="Calibri" w:cs="Arial"/>
          <w:i/>
          <w:szCs w:val="20"/>
          <w:lang w:val="sl-SI"/>
        </w:rPr>
      </w:pPr>
      <w:r w:rsidRPr="005771BD">
        <w:rPr>
          <w:rFonts w:eastAsia="Calibri" w:cs="Arial"/>
          <w:i/>
          <w:szCs w:val="20"/>
          <w:lang w:val="sl-SI"/>
        </w:rPr>
        <w:t xml:space="preserve">Slika </w:t>
      </w:r>
      <w:r w:rsidR="00044E8C">
        <w:rPr>
          <w:rFonts w:eastAsia="Calibri" w:cs="Arial"/>
          <w:i/>
          <w:szCs w:val="20"/>
          <w:lang w:val="sl-SI"/>
        </w:rPr>
        <w:t>7</w:t>
      </w:r>
      <w:r w:rsidRPr="005771BD">
        <w:rPr>
          <w:rFonts w:eastAsia="Calibri" w:cs="Arial"/>
          <w:i/>
          <w:szCs w:val="20"/>
          <w:lang w:val="sl-SI"/>
        </w:rPr>
        <w:t xml:space="preserve">.3: Deleži vodnih teles površinskih voda v posameznih razredih kemijskega stanja </w:t>
      </w:r>
    </w:p>
    <w:p w:rsidR="00E40322" w:rsidRPr="005771BD" w:rsidRDefault="00E40322" w:rsidP="00E40322">
      <w:pPr>
        <w:spacing w:after="200" w:line="276" w:lineRule="auto"/>
        <w:jc w:val="both"/>
        <w:rPr>
          <w:rFonts w:eastAsia="Calibri" w:cs="Arial"/>
          <w:i/>
          <w:szCs w:val="20"/>
          <w:lang w:val="sl-SI"/>
        </w:rPr>
      </w:pPr>
      <w:r w:rsidRPr="005771BD">
        <w:rPr>
          <w:rFonts w:eastAsia="Calibri" w:cs="Arial"/>
          <w:i/>
          <w:szCs w:val="20"/>
          <w:lang w:val="sl-SI"/>
        </w:rPr>
        <w:t>Vir: ARSO, Kazalci okolja, oktober 2016</w:t>
      </w:r>
    </w:p>
    <w:p w:rsidR="00E40322" w:rsidRPr="005771BD" w:rsidRDefault="00E40322" w:rsidP="00044E8C">
      <w:pPr>
        <w:spacing w:after="360" w:line="276" w:lineRule="auto"/>
        <w:jc w:val="both"/>
        <w:rPr>
          <w:rFonts w:eastAsia="Calibri" w:cs="Arial"/>
          <w:szCs w:val="20"/>
          <w:lang w:val="sl-SI"/>
        </w:rPr>
      </w:pPr>
      <w:r w:rsidRPr="005771BD">
        <w:rPr>
          <w:rFonts w:eastAsia="Calibri" w:cs="Arial"/>
          <w:szCs w:val="20"/>
          <w:lang w:val="sl-SI"/>
        </w:rPr>
        <w:t xml:space="preserve">Ločeno je ocenjeno kemijsko stanje površinskih voda glede na </w:t>
      </w:r>
      <w:r w:rsidRPr="005771BD">
        <w:rPr>
          <w:rFonts w:eastAsia="Calibri" w:cs="Arial"/>
          <w:b/>
          <w:szCs w:val="20"/>
          <w:lang w:val="sl-SI"/>
        </w:rPr>
        <w:t xml:space="preserve">vsebnost živega srebra v organizmih. </w:t>
      </w:r>
      <w:r w:rsidRPr="005771BD">
        <w:rPr>
          <w:rFonts w:eastAsia="Calibri" w:cs="Arial"/>
          <w:szCs w:val="20"/>
          <w:lang w:val="sl-SI"/>
        </w:rPr>
        <w:t xml:space="preserve">Živo srebro se prenaša na velike razdalje z atmosfersko depozicijo in je v Evropi splošno prisotno v organizmih v površinskih vodah v koncentracijah, ki presegajo okoljski standard za organizme. V Sloveniji smo spremljali živo srebro v organizmih na 26 merilnih mestih, tako na meddržavnih profilih, na območjih brez vpliva človekovega delovanja kot tudi na rudniških območjih. Preseganje okoljskega standarda je bilo ugotovljeno na 23 merilnih mestih, le na treh merilnih mestih okoljski standard 20 µg/kg ni bil presežen. Za vodna telesa površinskih voda, na katerih ni bilo izvedeno spremljanje vsebnosti živega srebra v organizmih, so kemijsko stanje glede na vsebnost živega srebra v organizmih ocenili strokovnjaki. Slabo kemijsko stanje glede na vsebnost živega srebra v organizmih je ocenjeno za </w:t>
      </w:r>
      <w:r w:rsidRPr="005771BD">
        <w:rPr>
          <w:rFonts w:eastAsia="Calibri" w:cs="Arial"/>
          <w:b/>
          <w:szCs w:val="20"/>
          <w:lang w:val="sl-SI"/>
        </w:rPr>
        <w:t>150 vodnih teles</w:t>
      </w:r>
      <w:r w:rsidRPr="005771BD">
        <w:rPr>
          <w:rFonts w:eastAsia="Calibri" w:cs="Arial"/>
          <w:szCs w:val="20"/>
          <w:lang w:val="sl-SI"/>
        </w:rPr>
        <w:t xml:space="preserve"> površinskih voda, dobro kemijsko stanje je ugotovljeno za </w:t>
      </w:r>
      <w:r w:rsidRPr="005771BD">
        <w:rPr>
          <w:rFonts w:eastAsia="Calibri" w:cs="Arial"/>
          <w:b/>
          <w:szCs w:val="20"/>
          <w:lang w:val="sl-SI"/>
        </w:rPr>
        <w:t>3 vodna telesa</w:t>
      </w:r>
      <w:r w:rsidRPr="005771BD">
        <w:rPr>
          <w:rFonts w:eastAsia="Calibri" w:cs="Arial"/>
          <w:szCs w:val="20"/>
          <w:lang w:val="sl-SI"/>
        </w:rPr>
        <w:t xml:space="preserve">, 2 vodni telesi sta neocenjeni. </w:t>
      </w:r>
    </w:p>
    <w:p w:rsidR="00E40322" w:rsidRPr="00044E8C" w:rsidRDefault="00044E8C" w:rsidP="00E40322">
      <w:pPr>
        <w:spacing w:after="200" w:line="276" w:lineRule="auto"/>
        <w:jc w:val="both"/>
        <w:rPr>
          <w:rFonts w:eastAsia="Calibri" w:cs="Arial"/>
          <w:bCs/>
          <w:szCs w:val="20"/>
          <w:u w:val="single"/>
          <w:lang w:val="sl-SI"/>
        </w:rPr>
      </w:pPr>
      <w:r w:rsidRPr="00044E8C">
        <w:rPr>
          <w:rFonts w:eastAsia="Calibri" w:cs="Arial"/>
          <w:bCs/>
          <w:szCs w:val="20"/>
          <w:u w:val="single"/>
          <w:lang w:val="sl-SI"/>
        </w:rPr>
        <w:t>7</w:t>
      </w:r>
      <w:r w:rsidR="00E40322" w:rsidRPr="00044E8C">
        <w:rPr>
          <w:rFonts w:eastAsia="Calibri" w:cs="Arial"/>
          <w:bCs/>
          <w:szCs w:val="20"/>
          <w:u w:val="single"/>
          <w:lang w:val="sl-SI"/>
        </w:rPr>
        <w:t>.3.1.2 Ekološko stanje površinskih voda in obalnega morja</w:t>
      </w:r>
    </w:p>
    <w:p w:rsidR="00E40322" w:rsidRPr="005771BD" w:rsidRDefault="00E40322" w:rsidP="00E40322">
      <w:pPr>
        <w:spacing w:after="200" w:line="276" w:lineRule="auto"/>
        <w:jc w:val="both"/>
        <w:rPr>
          <w:rFonts w:eastAsia="Calibri" w:cs="Arial"/>
          <w:szCs w:val="20"/>
          <w:lang w:val="sl-SI"/>
        </w:rPr>
      </w:pPr>
      <w:r w:rsidRPr="005771BD">
        <w:rPr>
          <w:rFonts w:eastAsia="Calibri" w:cs="Arial"/>
          <w:b/>
          <w:bCs/>
          <w:szCs w:val="20"/>
          <w:lang w:val="sl-SI"/>
        </w:rPr>
        <w:t>Ekološko stanje</w:t>
      </w:r>
      <w:r w:rsidRPr="005771BD">
        <w:rPr>
          <w:rFonts w:eastAsia="Calibri" w:cs="Arial"/>
          <w:b/>
          <w:szCs w:val="20"/>
          <w:lang w:val="sl-SI"/>
        </w:rPr>
        <w:t xml:space="preserve"> površinskih voda</w:t>
      </w:r>
      <w:r w:rsidRPr="005771BD">
        <w:rPr>
          <w:rFonts w:eastAsia="Calibri" w:cs="Arial"/>
          <w:szCs w:val="20"/>
          <w:lang w:val="sl-SI"/>
        </w:rPr>
        <w:t xml:space="preserve"> je izraz kakovosti strukture in delovanja vodnih ekosistemov, povezanih s površinskimi vodami ([</w:t>
      </w:r>
      <w:hyperlink r:id="rId104" w:history="1">
        <w:r w:rsidRPr="005771BD">
          <w:rPr>
            <w:rStyle w:val="Hiperpovezava"/>
            <w:rFonts w:eastAsia="Calibri" w:cs="Arial"/>
            <w:szCs w:val="20"/>
            <w:lang w:val="sl-SI"/>
          </w:rPr>
          <w:t>VD12</w:t>
        </w:r>
      </w:hyperlink>
      <w:r w:rsidRPr="005771BD">
        <w:rPr>
          <w:rFonts w:eastAsia="Calibri" w:cs="Arial"/>
          <w:szCs w:val="20"/>
          <w:u w:val="single"/>
          <w:lang w:val="sl-SI"/>
        </w:rPr>
        <w:t>]</w:t>
      </w:r>
      <w:r w:rsidRPr="005771BD">
        <w:rPr>
          <w:rFonts w:eastAsia="Calibri" w:cs="Arial"/>
          <w:szCs w:val="20"/>
          <w:lang w:val="sl-SI"/>
        </w:rPr>
        <w:t xml:space="preserve">). Za oceno ekološkega stanja se upošteva stanje združb vodnih rastlin, alg, nevretenčarjev in rib (t. i. biološki elementi kakovosti). </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Na podlagi združb vodnih rastlin in alg ovrednotimo </w:t>
      </w:r>
      <w:r w:rsidRPr="005771BD">
        <w:rPr>
          <w:rFonts w:eastAsia="Calibri" w:cs="Arial"/>
          <w:szCs w:val="20"/>
          <w:u w:val="single"/>
          <w:lang w:val="sl-SI"/>
        </w:rPr>
        <w:t>trofično stanje</w:t>
      </w:r>
      <w:r w:rsidRPr="005771BD">
        <w:rPr>
          <w:rFonts w:eastAsia="Calibri" w:cs="Arial"/>
          <w:szCs w:val="20"/>
          <w:lang w:val="sl-SI"/>
        </w:rPr>
        <w:t xml:space="preserve"> vodnega ekosistema (stopnjo obremenjenosti s hranili), na podlagi združb alg in bentoških nevretenčarjev </w:t>
      </w:r>
      <w:r w:rsidRPr="005771BD">
        <w:rPr>
          <w:rFonts w:eastAsia="Calibri" w:cs="Arial"/>
          <w:szCs w:val="20"/>
          <w:u w:val="single"/>
          <w:lang w:val="sl-SI"/>
        </w:rPr>
        <w:t>saprobno stanje</w:t>
      </w:r>
      <w:r w:rsidRPr="005771BD">
        <w:rPr>
          <w:rFonts w:eastAsia="Calibri" w:cs="Arial"/>
          <w:szCs w:val="20"/>
          <w:lang w:val="sl-SI"/>
        </w:rPr>
        <w:t xml:space="preserve"> vodnega ekosistema (stopnjo obremenjenosti z organskimi snovmi), na podlagi združb bentoških nevretenčarjev in rib pa </w:t>
      </w:r>
      <w:r w:rsidRPr="005771BD">
        <w:rPr>
          <w:rFonts w:eastAsia="Calibri" w:cs="Arial"/>
          <w:szCs w:val="20"/>
          <w:u w:val="single"/>
          <w:lang w:val="sl-SI"/>
        </w:rPr>
        <w:t>hidromorfološko spremenjenost in splošno degradiranost vodnega ekosistema</w:t>
      </w:r>
      <w:r w:rsidRPr="005771BD">
        <w:rPr>
          <w:rFonts w:eastAsia="Calibri" w:cs="Arial"/>
          <w:szCs w:val="20"/>
          <w:lang w:val="sl-SI"/>
        </w:rPr>
        <w:t xml:space="preserve">. </w:t>
      </w:r>
      <w:r w:rsidRPr="005771BD" w:rsidDel="001568F3">
        <w:rPr>
          <w:rFonts w:eastAsia="Calibri" w:cs="Arial"/>
          <w:szCs w:val="20"/>
          <w:lang w:val="sl-SI"/>
        </w:rPr>
        <w:t xml:space="preserve">Hidromorfološka spremenjenost in splošna degradiranost sta </w:t>
      </w:r>
      <w:r w:rsidRPr="005771BD">
        <w:rPr>
          <w:rFonts w:eastAsia="Calibri" w:cs="Arial"/>
          <w:szCs w:val="20"/>
          <w:lang w:val="sl-SI"/>
        </w:rPr>
        <w:t xml:space="preserve">kompleksna </w:t>
      </w:r>
      <w:r w:rsidRPr="005771BD" w:rsidDel="001568F3">
        <w:rPr>
          <w:rFonts w:eastAsia="Calibri" w:cs="Arial"/>
          <w:szCs w:val="20"/>
          <w:lang w:val="sl-SI"/>
        </w:rPr>
        <w:t>in medsebojno povezana dejavnika</w:t>
      </w:r>
      <w:r w:rsidRPr="005771BD">
        <w:rPr>
          <w:rFonts w:eastAsia="Calibri" w:cs="Arial"/>
          <w:szCs w:val="20"/>
          <w:lang w:val="sl-SI"/>
        </w:rPr>
        <w:t xml:space="preserve"> in se njunih </w:t>
      </w:r>
      <w:r w:rsidRPr="005771BD" w:rsidDel="001568F3">
        <w:rPr>
          <w:rFonts w:eastAsia="Calibri" w:cs="Arial"/>
          <w:szCs w:val="20"/>
          <w:lang w:val="sl-SI"/>
        </w:rPr>
        <w:t xml:space="preserve">vplivov na stanje združb rib in bentoških nevretenčarjev ne da ločiti. Hidromorfološka spremenjenost vključuje neposredne antropogene spremembe vodotokov: regulacije, utrjevanje bregov, odstranjeno obrežno rastje, pregrade idr., splošna degradiranost pa spremembe v zaledju vodotoka zaradi poselitev, kmetijstva in industrije. </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V oceni ekološkega stanja so upoštevani splošni fizikalno-kemijski elementi (hranila in parametri obremenjenosti z organsko snovjo), hidromorfološki elementi (hidrološki režim, kontinuiteta toka in morfološke razmere) ter posebna onesnaževala, ki se odvajajo v vodno okolje. V obdobju 2009–2015 je za </w:t>
      </w:r>
      <w:r w:rsidRPr="005771BD">
        <w:rPr>
          <w:rFonts w:eastAsia="Calibri" w:cs="Arial"/>
          <w:b/>
          <w:szCs w:val="20"/>
          <w:lang w:val="sl-SI"/>
        </w:rPr>
        <w:t>59 % vodnih teles površinskih voda ocenjeno, da dosegajo vsaj dobro ekološko stanje</w:t>
      </w:r>
      <w:r w:rsidRPr="005771BD">
        <w:rPr>
          <w:rFonts w:eastAsia="Calibri" w:cs="Arial"/>
          <w:szCs w:val="20"/>
          <w:lang w:val="sl-SI"/>
        </w:rPr>
        <w:t xml:space="preserve">, </w:t>
      </w:r>
      <w:r w:rsidRPr="005771BD">
        <w:rPr>
          <w:rFonts w:eastAsia="Calibri" w:cs="Arial"/>
          <w:b/>
          <w:szCs w:val="20"/>
          <w:lang w:val="sl-SI"/>
        </w:rPr>
        <w:t>38 % vodnih teles ne dosega dobrega ekološkega stanja</w:t>
      </w:r>
      <w:r w:rsidRPr="005771BD">
        <w:rPr>
          <w:rFonts w:eastAsia="Calibri" w:cs="Arial"/>
          <w:szCs w:val="20"/>
          <w:lang w:val="sl-SI"/>
        </w:rPr>
        <w:t xml:space="preserve">, 3 % vodnih teles je neocenjenih. Za vodna telesa, ki ne dosegajo dobrega ekološkega stanja, je najobsežnejša obremenitev hidromorfološka spremenjenost skupaj s splošno degradiranostjo, ki je bodisi edini vzrok bodisi eden med drugimi obremenitvami za 83 % vodnih teles, ki ne dosegajo dobrega ekološkega stanja. Obremenjenost s hranili in organskimi snovmi je manj pogosto vzrok za nedoseganje dobrega ekološkega stanja površinskih voda. V obdobju 2009–2015 </w:t>
      </w:r>
      <w:r w:rsidRPr="005771BD">
        <w:rPr>
          <w:rFonts w:eastAsia="Calibri" w:cs="Arial"/>
          <w:b/>
          <w:szCs w:val="20"/>
          <w:lang w:val="sl-SI"/>
        </w:rPr>
        <w:t>18 % vodnih teles</w:t>
      </w:r>
      <w:r w:rsidRPr="005771BD">
        <w:rPr>
          <w:rFonts w:eastAsia="Calibri" w:cs="Arial"/>
          <w:szCs w:val="20"/>
          <w:lang w:val="sl-SI"/>
        </w:rPr>
        <w:t xml:space="preserve"> še ne dosega dobrega ekološkega stanja zaradi prekomerne obremenjenosti s hranili in </w:t>
      </w:r>
      <w:r w:rsidRPr="005771BD">
        <w:rPr>
          <w:rFonts w:eastAsia="Calibri" w:cs="Arial"/>
          <w:b/>
          <w:szCs w:val="20"/>
          <w:lang w:val="sl-SI"/>
        </w:rPr>
        <w:t>12 % vodnih teles zaradi obremenjenosti z organskimi snovmi</w:t>
      </w:r>
      <w:r w:rsidRPr="005771BD">
        <w:rPr>
          <w:rFonts w:eastAsia="Calibri" w:cs="Arial"/>
          <w:szCs w:val="20"/>
          <w:lang w:val="sl-SI"/>
        </w:rPr>
        <w:t xml:space="preserve">. Glavni viri obremenitev vodotokov s hranili in organskimi snovmi so spiranje s kmetijskih površin ter izpusti komunalnih in industrijskih odpadnih voda. </w:t>
      </w:r>
    </w:p>
    <w:p w:rsidR="00E40322" w:rsidRPr="005771BD" w:rsidRDefault="00E40322" w:rsidP="00E40322">
      <w:pPr>
        <w:spacing w:after="200" w:line="276" w:lineRule="auto"/>
        <w:jc w:val="both"/>
        <w:rPr>
          <w:rFonts w:eastAsia="Calibri" w:cs="Arial"/>
          <w:szCs w:val="20"/>
          <w:lang w:val="sl-SI"/>
        </w:rPr>
      </w:pPr>
      <w:r w:rsidRPr="007F272F">
        <w:rPr>
          <w:rFonts w:eastAsia="Calibri" w:cs="Arial"/>
          <w:noProof/>
          <w:szCs w:val="20"/>
          <w:lang w:val="sl-SI" w:eastAsia="sl-SI"/>
        </w:rPr>
        <w:drawing>
          <wp:inline distT="0" distB="0" distL="0" distR="0" wp14:anchorId="16D9F60F" wp14:editId="42C16036">
            <wp:extent cx="4974590" cy="2273935"/>
            <wp:effectExtent l="0" t="0" r="0" b="0"/>
            <wp:docPr id="540" name="Slika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974590" cy="2273935"/>
                    </a:xfrm>
                    <a:prstGeom prst="rect">
                      <a:avLst/>
                    </a:prstGeom>
                    <a:noFill/>
                  </pic:spPr>
                </pic:pic>
              </a:graphicData>
            </a:graphic>
          </wp:inline>
        </w:drawing>
      </w:r>
    </w:p>
    <w:p w:rsidR="00E40322" w:rsidRPr="005771BD" w:rsidRDefault="00E40322" w:rsidP="00044E8C">
      <w:pPr>
        <w:spacing w:line="276" w:lineRule="auto"/>
        <w:jc w:val="both"/>
        <w:rPr>
          <w:rFonts w:eastAsia="Calibri" w:cs="Arial"/>
          <w:i/>
          <w:szCs w:val="20"/>
          <w:lang w:val="sl-SI"/>
        </w:rPr>
      </w:pPr>
      <w:r w:rsidRPr="005771BD">
        <w:rPr>
          <w:rFonts w:eastAsia="Calibri" w:cs="Arial"/>
          <w:i/>
          <w:szCs w:val="20"/>
          <w:lang w:val="sl-SI"/>
        </w:rPr>
        <w:t xml:space="preserve">Slika </w:t>
      </w:r>
      <w:r w:rsidR="00044E8C">
        <w:rPr>
          <w:rFonts w:eastAsia="Calibri" w:cs="Arial"/>
          <w:i/>
          <w:szCs w:val="20"/>
          <w:lang w:val="sl-SI"/>
        </w:rPr>
        <w:t>7</w:t>
      </w:r>
      <w:r w:rsidRPr="005771BD">
        <w:rPr>
          <w:rFonts w:eastAsia="Calibri" w:cs="Arial"/>
          <w:i/>
          <w:szCs w:val="20"/>
          <w:lang w:val="sl-SI"/>
        </w:rPr>
        <w:t>.4: Deleži vodnih teles površinskih voda v posameznih razredih ekološkega stanja</w:t>
      </w:r>
    </w:p>
    <w:p w:rsidR="00E40322" w:rsidRPr="005771BD" w:rsidRDefault="00E40322" w:rsidP="00E40322">
      <w:pPr>
        <w:spacing w:after="200" w:line="276" w:lineRule="auto"/>
        <w:jc w:val="both"/>
        <w:rPr>
          <w:rFonts w:eastAsia="Calibri" w:cs="Arial"/>
          <w:i/>
          <w:szCs w:val="20"/>
          <w:lang w:val="sl-SI"/>
        </w:rPr>
      </w:pPr>
      <w:r w:rsidRPr="005771BD">
        <w:rPr>
          <w:rFonts w:eastAsia="Calibri" w:cs="Arial"/>
          <w:i/>
          <w:szCs w:val="20"/>
          <w:lang w:val="sl-SI"/>
        </w:rPr>
        <w:t>Vir: ARSO, Kazalci okolja, oktober 2016</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V Sloveniji so najslabše ocenjena vodna telesa porečja Mure, kjer 86 % vodnih teles ne dosega dobrega ekološkega stanja, večinoma zaradi več obremenitev: </w:t>
      </w:r>
      <w:r w:rsidRPr="005771BD">
        <w:rPr>
          <w:rFonts w:eastAsia="Calibri" w:cs="Arial"/>
          <w:b/>
          <w:szCs w:val="20"/>
          <w:lang w:val="sl-SI"/>
        </w:rPr>
        <w:t>prekomerne obremenjenosti s hranili in organskimi snovmi, hidromorfološke spremenjenosti in splošne degradiranosti</w:t>
      </w:r>
      <w:r w:rsidRPr="005771BD">
        <w:rPr>
          <w:rFonts w:eastAsia="Calibri" w:cs="Arial"/>
          <w:szCs w:val="20"/>
          <w:lang w:val="sl-SI"/>
        </w:rPr>
        <w:t xml:space="preserve">. Pogost problem v tem delu Slovenije je preseganje mejnih vrednosti za nekatera </w:t>
      </w:r>
      <w:r w:rsidRPr="005771BD">
        <w:rPr>
          <w:rFonts w:eastAsia="Calibri" w:cs="Arial"/>
          <w:b/>
          <w:szCs w:val="20"/>
          <w:lang w:val="sl-SI"/>
        </w:rPr>
        <w:t>posebna onesnaževala</w:t>
      </w:r>
      <w:r w:rsidRPr="005771BD">
        <w:rPr>
          <w:rFonts w:eastAsia="Calibri" w:cs="Arial"/>
          <w:szCs w:val="20"/>
          <w:lang w:val="sl-SI"/>
        </w:rPr>
        <w:t xml:space="preserve">, saj je na nekaterih pritokih Mure določeno zmerno ekološko stanje tudi zaradi preseganja mejnih vrednosti za </w:t>
      </w:r>
      <w:r w:rsidRPr="005771BD">
        <w:rPr>
          <w:rFonts w:eastAsia="Calibri" w:cs="Arial"/>
          <w:b/>
          <w:szCs w:val="20"/>
          <w:lang w:val="sl-SI"/>
        </w:rPr>
        <w:t>S-metolaklor, kobalt in terbutilazin</w:t>
      </w:r>
      <w:r w:rsidRPr="005771BD">
        <w:rPr>
          <w:rFonts w:eastAsia="Calibri" w:cs="Arial"/>
          <w:szCs w:val="20"/>
          <w:lang w:val="sl-SI"/>
        </w:rPr>
        <w:t xml:space="preserve">, kar sovpada s kmetijsko dejavnostjo v tem delu Slovenije. Tudi v porečju Drave in na območju srednje Save več kot polovica vodnih teles ne dosega dobrega ekološkega stanja, glavna vzroka sta hidromorfološka spremenjenost in splošna degradiranost skupaj z obremenjenostjo s hranili. V obdobju 2009–2015 je najbolje ocenjeno ekološko stanje jadranskih rek, vodotokov porečja Soče in zgornje Save, kjer več kot tri četrtine vodnih teles dosega vsaj dobro ekološko stanje. </w:t>
      </w:r>
    </w:p>
    <w:p w:rsidR="00E40322" w:rsidRPr="005771BD" w:rsidRDefault="00E40322" w:rsidP="00E40322">
      <w:pPr>
        <w:spacing w:after="200" w:line="276" w:lineRule="auto"/>
        <w:jc w:val="both"/>
        <w:rPr>
          <w:rFonts w:eastAsia="Calibri" w:cs="Arial"/>
          <w:szCs w:val="20"/>
          <w:lang w:val="sl-SI"/>
        </w:rPr>
      </w:pPr>
      <w:r w:rsidRPr="007F272F">
        <w:rPr>
          <w:rFonts w:eastAsia="Calibri" w:cs="Arial"/>
          <w:noProof/>
          <w:szCs w:val="20"/>
          <w:lang w:val="sl-SI" w:eastAsia="sl-SI"/>
        </w:rPr>
        <w:drawing>
          <wp:inline distT="0" distB="0" distL="0" distR="0" wp14:anchorId="0F94CB64" wp14:editId="5A4B71A6">
            <wp:extent cx="4933950" cy="2606103"/>
            <wp:effectExtent l="0" t="0" r="0" b="3810"/>
            <wp:docPr id="541" name="Slika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935184" cy="2606755"/>
                    </a:xfrm>
                    <a:prstGeom prst="rect">
                      <a:avLst/>
                    </a:prstGeom>
                    <a:noFill/>
                  </pic:spPr>
                </pic:pic>
              </a:graphicData>
            </a:graphic>
          </wp:inline>
        </w:drawing>
      </w:r>
    </w:p>
    <w:p w:rsidR="00E40322" w:rsidRPr="005771BD" w:rsidRDefault="00E40322" w:rsidP="00044E8C">
      <w:pPr>
        <w:spacing w:line="276" w:lineRule="auto"/>
        <w:jc w:val="both"/>
        <w:rPr>
          <w:rFonts w:eastAsia="Calibri" w:cs="Arial"/>
          <w:i/>
          <w:szCs w:val="20"/>
          <w:lang w:val="sl-SI"/>
        </w:rPr>
      </w:pPr>
      <w:r w:rsidRPr="005771BD">
        <w:rPr>
          <w:rFonts w:eastAsia="Calibri" w:cs="Arial"/>
          <w:i/>
          <w:szCs w:val="20"/>
          <w:lang w:val="sl-SI"/>
        </w:rPr>
        <w:t xml:space="preserve">Slika </w:t>
      </w:r>
      <w:r w:rsidR="00044E8C">
        <w:rPr>
          <w:rFonts w:eastAsia="Calibri" w:cs="Arial"/>
          <w:i/>
          <w:szCs w:val="20"/>
          <w:lang w:val="sl-SI"/>
        </w:rPr>
        <w:t>7</w:t>
      </w:r>
      <w:r w:rsidRPr="005771BD">
        <w:rPr>
          <w:rFonts w:eastAsia="Calibri" w:cs="Arial"/>
          <w:i/>
          <w:szCs w:val="20"/>
          <w:lang w:val="sl-SI"/>
        </w:rPr>
        <w:t xml:space="preserve">.5: Deleži vodnih teles površinskih voda, ki dosegajo/ne dosegajo dobrega ekološkega stanja glede na posamezne oblike obremenitev. </w:t>
      </w:r>
    </w:p>
    <w:p w:rsidR="00E40322" w:rsidRPr="005771BD" w:rsidRDefault="00E40322" w:rsidP="00E40322">
      <w:pPr>
        <w:spacing w:after="200" w:line="276" w:lineRule="auto"/>
        <w:jc w:val="both"/>
        <w:rPr>
          <w:rFonts w:eastAsia="Calibri" w:cs="Arial"/>
          <w:i/>
          <w:szCs w:val="20"/>
          <w:lang w:val="sl-SI"/>
        </w:rPr>
      </w:pPr>
      <w:r w:rsidRPr="005771BD">
        <w:rPr>
          <w:rFonts w:eastAsia="Calibri" w:cs="Arial"/>
          <w:i/>
          <w:szCs w:val="20"/>
          <w:lang w:val="sl-SI"/>
        </w:rPr>
        <w:t>Vir: ARSO, Kazalci okolja, oktober 2016</w:t>
      </w:r>
    </w:p>
    <w:p w:rsidR="00E40322" w:rsidRPr="005771BD" w:rsidRDefault="00E40322" w:rsidP="00044E8C">
      <w:pPr>
        <w:spacing w:after="360" w:line="276" w:lineRule="auto"/>
        <w:jc w:val="both"/>
        <w:rPr>
          <w:rFonts w:eastAsia="Calibri" w:cs="Arial"/>
          <w:szCs w:val="20"/>
          <w:lang w:val="sl-SI"/>
        </w:rPr>
      </w:pPr>
      <w:r w:rsidRPr="005771BD">
        <w:rPr>
          <w:rFonts w:eastAsia="Calibri" w:cs="Arial"/>
          <w:szCs w:val="20"/>
          <w:lang w:val="sl-SI"/>
        </w:rPr>
        <w:t>V obdobju ocenjevanja ekološkega stanja 2009–2015 je opazen napredek pri zmanjšanju deleža neocenjenih vodnih teles v primerjavi z obdobjem 2006–2008, tako da v zadnjem obdobju ostajajo neocenjena le umetna vodna telesa in kandidati za močno preoblikovana vodna telesa morja, za katere se metodologije vrednotenja pripravljajo. Poleg priprave novih metodologij za ocenjevanje bioloških elementov kakovosti poteka tudi nadgradnja obstoječih metodologij, kar pomeni, da v tem času še ne moremo primerjati ekološkega stanja med različnimi obdobji in ocenjevati napredka v ekološkem stanju za posamezna vodna telesa površinskih voda.</w:t>
      </w:r>
    </w:p>
    <w:p w:rsidR="00E40322" w:rsidRPr="00044E8C" w:rsidRDefault="00044E8C" w:rsidP="00E40322">
      <w:pPr>
        <w:spacing w:after="200" w:line="276" w:lineRule="auto"/>
        <w:jc w:val="both"/>
        <w:rPr>
          <w:rFonts w:eastAsia="Calibri" w:cs="Arial"/>
          <w:bCs/>
          <w:szCs w:val="20"/>
          <w:u w:val="single"/>
          <w:lang w:val="sl-SI"/>
        </w:rPr>
      </w:pPr>
      <w:r w:rsidRPr="00044E8C">
        <w:rPr>
          <w:rFonts w:eastAsia="Calibri" w:cs="Arial"/>
          <w:bCs/>
          <w:szCs w:val="20"/>
          <w:u w:val="single"/>
          <w:lang w:val="sl-SI"/>
        </w:rPr>
        <w:t>7</w:t>
      </w:r>
      <w:r w:rsidR="00E40322" w:rsidRPr="00044E8C">
        <w:rPr>
          <w:rFonts w:eastAsia="Calibri" w:cs="Arial"/>
          <w:bCs/>
          <w:szCs w:val="20"/>
          <w:u w:val="single"/>
          <w:lang w:val="sl-SI"/>
        </w:rPr>
        <w:t>.3.1.3 Stanje naravnih jezer in umetnih zadrževalnikov</w:t>
      </w:r>
    </w:p>
    <w:p w:rsidR="00E40322" w:rsidRPr="005771BD" w:rsidRDefault="00E40322" w:rsidP="00E40322">
      <w:pPr>
        <w:spacing w:after="200" w:line="276" w:lineRule="auto"/>
        <w:jc w:val="both"/>
        <w:rPr>
          <w:rFonts w:eastAsia="Calibri" w:cs="Arial"/>
          <w:szCs w:val="20"/>
          <w:lang w:val="sl-SI"/>
        </w:rPr>
      </w:pPr>
      <w:r w:rsidRPr="005771BD">
        <w:rPr>
          <w:rFonts w:eastAsia="Calibri" w:cs="Arial"/>
          <w:b/>
          <w:szCs w:val="20"/>
          <w:lang w:val="sl-SI"/>
        </w:rPr>
        <w:t>Bohinjsko jezero</w:t>
      </w:r>
      <w:r w:rsidRPr="005771BD">
        <w:rPr>
          <w:rFonts w:eastAsia="Calibri" w:cs="Arial"/>
          <w:szCs w:val="20"/>
          <w:lang w:val="sl-SI"/>
        </w:rPr>
        <w:t xml:space="preserve"> je edino večje (&gt;0,5 km</w:t>
      </w:r>
      <w:r w:rsidRPr="005771BD">
        <w:rPr>
          <w:rFonts w:eastAsia="Calibri" w:cs="Arial"/>
          <w:szCs w:val="20"/>
          <w:vertAlign w:val="superscript"/>
          <w:lang w:val="sl-SI"/>
        </w:rPr>
        <w:t>2</w:t>
      </w:r>
      <w:r w:rsidRPr="005771BD">
        <w:rPr>
          <w:rFonts w:eastAsia="Calibri" w:cs="Arial"/>
          <w:szCs w:val="20"/>
          <w:lang w:val="sl-SI"/>
        </w:rPr>
        <w:t>) stalno naravno jezero v Sloveniji. Gre za oligotrofno pretočno alpsko jezero, kjer so vplivi človeka, ki obsega območje malo poseljenega visokogorskega krasa, razmeroma blagi. Vsebnost fosforja je nizka, kar ohranja nizko raven produktivnosti rastlinskega planktona. Zato je prosojnost jezera razmeroma velika. Prosojnost je bila v letu 2014 v primerjavi s prejšnjimi leti nekoliko manjša (8,8m), vendar gre le za sezonska nihanja, ki so posledica vremenskih in hidroloških razmer, in ne trend slabšanja. Ekološko stanje Bohinjskega jezera je na podlagi stanja fitoplanktona ocenjeno kot zelo dobro. Zavedati pa se moramo, da se ob stalnem naraščanju turizma pritiski na Bohinjsko jezero stopnjujejo. Preventivni ukrepi, ki vključujejo premišljeno, sonaravno prostorsko načrtovanje in zmeren razvoj pojezerja, so za stanje Bohinjskega jezera ključnega pomena.</w:t>
      </w:r>
      <w:bookmarkStart w:id="5" w:name="highlight"/>
      <w:r w:rsidRPr="005771BD">
        <w:rPr>
          <w:rFonts w:eastAsia="Calibri" w:cs="Arial"/>
          <w:szCs w:val="20"/>
          <w:lang w:val="sl-SI"/>
        </w:rPr>
        <w:t xml:space="preserve"> </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V primerjavi s stanjem v 70. letih prejšnjega stoletja se je po uvedbi sanacijskih ukrepov izboljšalo tudi stanje </w:t>
      </w:r>
      <w:r w:rsidRPr="005771BD">
        <w:rPr>
          <w:rFonts w:eastAsia="Calibri" w:cs="Arial"/>
          <w:b/>
          <w:szCs w:val="20"/>
          <w:lang w:val="sl-SI"/>
        </w:rPr>
        <w:t>Blejskega jezera</w:t>
      </w:r>
      <w:r w:rsidRPr="005771BD">
        <w:rPr>
          <w:rFonts w:eastAsia="Calibri" w:cs="Arial"/>
          <w:szCs w:val="20"/>
          <w:lang w:val="sl-SI"/>
        </w:rPr>
        <w:t xml:space="preserve">, ki ga ponovno uvrščamo med zmerno obremenjena mezotrofna jezera. Kljub temu je Blejsko jezero občasno preobremenjeno s fosforjevimi spojinami, kar se kaže v občasno povečani produktivnosti fitoplanktona in manjši prosojnosti jezera. </w:t>
      </w:r>
      <w:bookmarkEnd w:id="5"/>
      <w:r w:rsidRPr="005771BD">
        <w:rPr>
          <w:rFonts w:eastAsia="Calibri" w:cs="Arial"/>
          <w:szCs w:val="20"/>
          <w:lang w:val="sl-SI"/>
        </w:rPr>
        <w:t xml:space="preserve">V Blejskem jezeru je pred začetkom delovanja natege (1980/81) in delno sanacijo kanalizacije (1985) povprečna letna koncentracija fosforja znašala povprečno 73 μg /l. V tem obdobju je povprečna letna prosojnost znašala samo 4,3 m. Takoj po začetku delovanju natege se je vsebnost fosforja začela manjšati. V zadnjem desetletju znaša povprečno 12,6 μg/l, prosojnost jezera pa je narasla na povprečno 6,7 m. Povprečna prosojnost jezera niha od 8,3 do 4,5 m, kar kaže na občasno velik vnos fosforja. Vsebnost fosforja se preverja 4-krat letno, zato je stanje fitoplanktona ustreznejši pokazatelj trofičnosti. Ekološko stanje Blejskega jezera v obdobju 2009–2014 je ocenjeno kot zmerno. </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V </w:t>
      </w:r>
      <w:r w:rsidRPr="005771BD">
        <w:rPr>
          <w:rFonts w:eastAsia="Calibri" w:cs="Arial"/>
          <w:b/>
          <w:szCs w:val="20"/>
          <w:lang w:val="sl-SI"/>
        </w:rPr>
        <w:t>umetnih zadrževalnikih</w:t>
      </w:r>
      <w:r w:rsidRPr="005771BD">
        <w:rPr>
          <w:rFonts w:eastAsia="Calibri" w:cs="Arial"/>
          <w:szCs w:val="20"/>
          <w:lang w:val="sl-SI"/>
        </w:rPr>
        <w:t xml:space="preserve"> je povprečna vsebnost fosforja bistveno večja kot v naravnih jezerih (</w:t>
      </w:r>
      <w:hyperlink r:id="rId107" w:history="1">
        <w:r w:rsidRPr="005771BD">
          <w:rPr>
            <w:rStyle w:val="Hiperpovezava"/>
            <w:rFonts w:eastAsia="Calibri" w:cs="Arial"/>
            <w:szCs w:val="20"/>
            <w:lang w:val="sl-SI"/>
          </w:rPr>
          <w:t>VD07</w:t>
        </w:r>
      </w:hyperlink>
      <w:r w:rsidRPr="005771BD">
        <w:rPr>
          <w:rFonts w:eastAsia="Calibri" w:cs="Arial"/>
          <w:szCs w:val="20"/>
          <w:lang w:val="sl-SI"/>
        </w:rPr>
        <w:t xml:space="preserve">). V Sloveniji so s fosforjem najbolj obremenjeni zadrževalniki v severovzhodni Sloveniji, kar je posledica lege v območjih z intenzivno kmetijsko izrabo tal in še vedno ne povsem urejene komunalne infrastrukture. S fosforjem sta najbolj obremenjeni obe </w:t>
      </w:r>
      <w:r w:rsidRPr="005771BD">
        <w:rPr>
          <w:rFonts w:eastAsia="Calibri" w:cs="Arial"/>
          <w:b/>
          <w:szCs w:val="20"/>
          <w:lang w:val="sl-SI"/>
        </w:rPr>
        <w:t>Perniški jezeri</w:t>
      </w:r>
      <w:r w:rsidRPr="005771BD">
        <w:rPr>
          <w:rFonts w:eastAsia="Calibri" w:cs="Arial"/>
          <w:szCs w:val="20"/>
          <w:lang w:val="sl-SI"/>
        </w:rPr>
        <w:t xml:space="preserve"> ter </w:t>
      </w:r>
      <w:r w:rsidRPr="005771BD">
        <w:rPr>
          <w:rFonts w:eastAsia="Calibri" w:cs="Arial"/>
          <w:b/>
          <w:szCs w:val="20"/>
          <w:lang w:val="sl-SI"/>
        </w:rPr>
        <w:t>Ledavsko</w:t>
      </w:r>
      <w:r w:rsidRPr="005771BD">
        <w:rPr>
          <w:rFonts w:eastAsia="Calibri" w:cs="Arial"/>
          <w:szCs w:val="20"/>
          <w:lang w:val="sl-SI"/>
        </w:rPr>
        <w:t xml:space="preserve"> in </w:t>
      </w:r>
      <w:r w:rsidRPr="005771BD">
        <w:rPr>
          <w:rFonts w:eastAsia="Calibri" w:cs="Arial"/>
          <w:b/>
          <w:szCs w:val="20"/>
          <w:lang w:val="sl-SI"/>
        </w:rPr>
        <w:t>Gajševsko jezero</w:t>
      </w:r>
      <w:r w:rsidRPr="005771BD">
        <w:rPr>
          <w:rFonts w:eastAsia="Calibri" w:cs="Arial"/>
          <w:szCs w:val="20"/>
          <w:lang w:val="sl-SI"/>
        </w:rPr>
        <w:t xml:space="preserve">, kjer povprečna letna koncentracija fosforja večkrat presega 100 μg/l. Poleg intenzivnega kmetijstva predstavlja velik delež obremenitve s hranili in fosforjem tudi intenzivna ribiška dejavnost, od ribolova do ribogojstva. Trenda izboljšanja ni opaziti. Nihanja v koncentraciji fosforja med posameznimi leti v zadrževalnikih so le posledica posebnih hidroloških in vremenskih razmer ob vzorčenju. Tudi prosojnost teh zadrževalnikov je stalno nizka in redko preseže globino 1 m. Poleg stalnega obsežnega </w:t>
      </w:r>
      <w:r>
        <w:rPr>
          <w:rFonts w:eastAsia="Calibri" w:cs="Arial"/>
          <w:szCs w:val="20"/>
          <w:lang w:val="sl-SI"/>
        </w:rPr>
        <w:t>nastajanja</w:t>
      </w:r>
      <w:r w:rsidRPr="005771BD">
        <w:rPr>
          <w:rFonts w:eastAsia="Calibri" w:cs="Arial"/>
          <w:szCs w:val="20"/>
          <w:lang w:val="sl-SI"/>
        </w:rPr>
        <w:t xml:space="preserve"> planktonskih alg in cianobakterij na zmanjšano prosojnost vpliva občasno tudi velika količina suspendiranega materiala, ki ga med hranjenjem dvigujejo ribe, oziroma veter, ki v plitvih zadrževalnikih večkrat premeša vso vodo od površine do dna. </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Zadrževalniki v povodju Jadranskega morja, </w:t>
      </w:r>
      <w:r w:rsidRPr="005771BD">
        <w:rPr>
          <w:rFonts w:eastAsia="Calibri" w:cs="Arial"/>
          <w:b/>
          <w:szCs w:val="20"/>
          <w:lang w:val="sl-SI"/>
        </w:rPr>
        <w:t>Klivnik</w:t>
      </w:r>
      <w:r w:rsidRPr="005771BD">
        <w:rPr>
          <w:rFonts w:eastAsia="Calibri" w:cs="Arial"/>
          <w:szCs w:val="20"/>
          <w:lang w:val="sl-SI"/>
        </w:rPr>
        <w:t xml:space="preserve"> in </w:t>
      </w:r>
      <w:r w:rsidRPr="005771BD">
        <w:rPr>
          <w:rFonts w:eastAsia="Calibri" w:cs="Arial"/>
          <w:b/>
          <w:szCs w:val="20"/>
          <w:lang w:val="sl-SI"/>
        </w:rPr>
        <w:t>Molja</w:t>
      </w:r>
      <w:r w:rsidRPr="005771BD">
        <w:rPr>
          <w:rFonts w:eastAsia="Calibri" w:cs="Arial"/>
          <w:szCs w:val="20"/>
          <w:lang w:val="sl-SI"/>
        </w:rPr>
        <w:t xml:space="preserve"> v Brkinih v porečju reke Reke in </w:t>
      </w:r>
      <w:r w:rsidRPr="005771BD">
        <w:rPr>
          <w:rFonts w:eastAsia="Calibri" w:cs="Arial"/>
          <w:b/>
          <w:szCs w:val="20"/>
          <w:lang w:val="sl-SI"/>
        </w:rPr>
        <w:t>Vogršček</w:t>
      </w:r>
      <w:r w:rsidRPr="005771BD">
        <w:rPr>
          <w:rFonts w:eastAsia="Calibri" w:cs="Arial"/>
          <w:szCs w:val="20"/>
          <w:lang w:val="sl-SI"/>
        </w:rPr>
        <w:t xml:space="preserve"> v Vipavski dolini so manj obremenjeni s fosforjem kot štajerski in prekmurski. Vsi trije sodijo med mezotrofna, s hranili zmerno obremenjena vodna telesa, kjer je povprečna vsebnost fosforja med 12 in 20 µg/l. Tudi povprečna prosojnost teh zadrževalnikov je večja, med 2 in 3 m. Nihanja tako vsebnosti fosforja kot tudi prosojnosti so posledica posebnih hidroloških in vremenskih razmer pred vzorčenjem. </w:t>
      </w:r>
    </w:p>
    <w:p w:rsidR="00E40322" w:rsidRPr="005771BD" w:rsidRDefault="00E40322" w:rsidP="00044E8C">
      <w:pPr>
        <w:spacing w:after="360" w:line="276" w:lineRule="auto"/>
        <w:jc w:val="both"/>
        <w:rPr>
          <w:rFonts w:eastAsia="Calibri" w:cs="Arial"/>
          <w:szCs w:val="20"/>
          <w:lang w:val="sl-SI"/>
        </w:rPr>
      </w:pPr>
      <w:r w:rsidRPr="005771BD">
        <w:rPr>
          <w:rFonts w:eastAsia="Calibri" w:cs="Arial"/>
          <w:b/>
          <w:szCs w:val="20"/>
          <w:lang w:val="sl-SI"/>
        </w:rPr>
        <w:t>Velenjsko</w:t>
      </w:r>
      <w:r w:rsidRPr="005771BD">
        <w:rPr>
          <w:rFonts w:eastAsia="Calibri" w:cs="Arial"/>
          <w:szCs w:val="20"/>
          <w:lang w:val="sl-SI"/>
        </w:rPr>
        <w:t xml:space="preserve"> in </w:t>
      </w:r>
      <w:r w:rsidRPr="005771BD">
        <w:rPr>
          <w:rFonts w:eastAsia="Calibri" w:cs="Arial"/>
          <w:b/>
          <w:szCs w:val="20"/>
          <w:lang w:val="sl-SI"/>
        </w:rPr>
        <w:t>Družmirsko jezero</w:t>
      </w:r>
      <w:r w:rsidRPr="005771BD">
        <w:rPr>
          <w:rFonts w:eastAsia="Calibri" w:cs="Arial"/>
          <w:szCs w:val="20"/>
          <w:lang w:val="sl-SI"/>
        </w:rPr>
        <w:t xml:space="preserve"> sta umetni jezeri, ki sta nastali zaradi ugrezanja in zalitja opuščenih delov rudnika lignita v Velenju. Povprečna vsebnost fosforja v Velenjskem jezeru je v letu 2013 znašala 60 μg/l, kar je nad povprečjem zadnjih 5 let. Kljub temu je </w:t>
      </w:r>
      <w:r>
        <w:rPr>
          <w:rFonts w:eastAsia="Calibri" w:cs="Arial"/>
          <w:szCs w:val="20"/>
          <w:lang w:val="sl-SI"/>
        </w:rPr>
        <w:t>nastajanje</w:t>
      </w:r>
      <w:r w:rsidRPr="005771BD">
        <w:rPr>
          <w:rFonts w:eastAsia="Calibri" w:cs="Arial"/>
          <w:szCs w:val="20"/>
          <w:lang w:val="sl-SI"/>
        </w:rPr>
        <w:t xml:space="preserve"> fitoplanktona manjši od pričakovanega in je zato prosojnost Velenjskega jezera razmeroma visoka (5,6 m v letu 2014). Vsebnost fosforja se v Družmirskem jezeru zelo spreminja (V letu 2010 je povprečna vsebnost fosforja znašala 50 μg/l, v letih 2011 in 2012 je bila za polovico manjša, v letu 2013 je znašala povprečno 12 μg/l, v letu 2014 pa se je povečala na povprečno 36,4 μg/l. Podobno kot v Velenjskem jezeru </w:t>
      </w:r>
      <w:r>
        <w:rPr>
          <w:rFonts w:eastAsia="Calibri" w:cs="Arial"/>
          <w:szCs w:val="20"/>
          <w:lang w:val="sl-SI"/>
        </w:rPr>
        <w:t>nastajanje</w:t>
      </w:r>
      <w:r w:rsidRPr="005771BD">
        <w:rPr>
          <w:rFonts w:eastAsia="Calibri" w:cs="Arial"/>
          <w:szCs w:val="20"/>
          <w:lang w:val="sl-SI"/>
        </w:rPr>
        <w:t xml:space="preserve"> fitoplanktona motijo onesnaževala in velika količina suspendiranega materiala, ki vpliva na manjšo prosojnost. Povprečna prosojnost Družmirskega jezera je v letu 2014 znašala 3,4 m. V letu 2014 so bili v program spremljanja jezer, ki je del državnega spremljanja površinskih voda, vključeni še zadrževalniki </w:t>
      </w:r>
      <w:r w:rsidRPr="005771BD">
        <w:rPr>
          <w:rFonts w:eastAsia="Calibri" w:cs="Arial"/>
          <w:b/>
          <w:szCs w:val="20"/>
          <w:lang w:val="sl-SI"/>
        </w:rPr>
        <w:t>Pernica 1, Pristava in Medvedce</w:t>
      </w:r>
      <w:r w:rsidRPr="005771BD">
        <w:rPr>
          <w:rFonts w:eastAsia="Calibri" w:cs="Arial"/>
          <w:szCs w:val="20"/>
          <w:lang w:val="sl-SI"/>
        </w:rPr>
        <w:t xml:space="preserve"> v severovzhodni Sloveniji, </w:t>
      </w:r>
      <w:r w:rsidRPr="005771BD">
        <w:rPr>
          <w:rFonts w:eastAsia="Calibri" w:cs="Arial"/>
          <w:b/>
          <w:szCs w:val="20"/>
          <w:lang w:val="sl-SI"/>
        </w:rPr>
        <w:t>Vogršček 1</w:t>
      </w:r>
      <w:r w:rsidRPr="005771BD">
        <w:rPr>
          <w:rFonts w:eastAsia="Calibri" w:cs="Arial"/>
          <w:szCs w:val="20"/>
          <w:lang w:val="sl-SI"/>
        </w:rPr>
        <w:t xml:space="preserve"> v Vipavski dolini in </w:t>
      </w:r>
      <w:r w:rsidRPr="005771BD">
        <w:rPr>
          <w:rFonts w:eastAsia="Calibri" w:cs="Arial"/>
          <w:b/>
          <w:szCs w:val="20"/>
          <w:lang w:val="sl-SI"/>
        </w:rPr>
        <w:t>Škalsko jezero</w:t>
      </w:r>
      <w:r w:rsidRPr="005771BD">
        <w:rPr>
          <w:rFonts w:eastAsia="Calibri" w:cs="Arial"/>
          <w:szCs w:val="20"/>
          <w:lang w:val="sl-SI"/>
        </w:rPr>
        <w:t>, ki je sicer najmanjše, vendar prvo premogovniško jezero v Šaleški dolini. Obremenjenost s fosforjem je po pričakovanju najvišja v vseh severovzhodnih zadrževalnikih, tudi Vogršček 1 in Škalsko jezero sta s fosfati precej obremenjena in kažeta znatno stopnjo trofičnosti.</w:t>
      </w:r>
    </w:p>
    <w:p w:rsidR="00E40322" w:rsidRPr="005771BD" w:rsidRDefault="00044E8C" w:rsidP="00E40322">
      <w:pPr>
        <w:spacing w:after="200" w:line="276" w:lineRule="auto"/>
        <w:jc w:val="both"/>
        <w:rPr>
          <w:rFonts w:eastAsia="Calibri" w:cs="Arial"/>
          <w:b/>
          <w:bCs/>
          <w:szCs w:val="20"/>
          <w:lang w:val="sl-SI"/>
        </w:rPr>
      </w:pPr>
      <w:r>
        <w:rPr>
          <w:rFonts w:eastAsia="Calibri" w:cs="Arial"/>
          <w:b/>
          <w:bCs/>
          <w:szCs w:val="20"/>
          <w:lang w:val="sl-SI"/>
        </w:rPr>
        <w:t>7</w:t>
      </w:r>
      <w:r w:rsidR="00E40322" w:rsidRPr="005771BD">
        <w:rPr>
          <w:rFonts w:eastAsia="Calibri" w:cs="Arial"/>
          <w:b/>
          <w:bCs/>
          <w:szCs w:val="20"/>
          <w:lang w:val="sl-SI"/>
        </w:rPr>
        <w:t xml:space="preserve">.3.2 Stanje podzemnih celinskih voda </w:t>
      </w:r>
    </w:p>
    <w:p w:rsidR="00E40322" w:rsidRPr="00044E8C" w:rsidRDefault="00044E8C" w:rsidP="00E40322">
      <w:pPr>
        <w:spacing w:after="200" w:line="276" w:lineRule="auto"/>
        <w:jc w:val="both"/>
        <w:rPr>
          <w:rFonts w:eastAsia="Calibri" w:cs="Arial"/>
          <w:szCs w:val="20"/>
          <w:u w:val="single"/>
          <w:lang w:val="sl-SI"/>
        </w:rPr>
      </w:pPr>
      <w:r w:rsidRPr="00044E8C">
        <w:rPr>
          <w:rFonts w:eastAsia="Calibri" w:cs="Arial"/>
          <w:szCs w:val="20"/>
          <w:u w:val="single"/>
          <w:lang w:val="sl-SI"/>
        </w:rPr>
        <w:t>7</w:t>
      </w:r>
      <w:r w:rsidR="00E40322" w:rsidRPr="00044E8C">
        <w:rPr>
          <w:rFonts w:eastAsia="Calibri" w:cs="Arial"/>
          <w:szCs w:val="20"/>
          <w:u w:val="single"/>
          <w:lang w:val="sl-SI"/>
        </w:rPr>
        <w:t>.3.2.1 Kemijsko stanje podzemnih voda</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Slovenija je razdeljena na 21 vodnih teles podzemne vode. V letu 2015 je v Sloveniji potekalo obratovalno spremljanje stanja kakovosti podzemnih voda. V program spremljanja je bilo vključenih </w:t>
      </w:r>
      <w:r w:rsidRPr="005771BD">
        <w:rPr>
          <w:rFonts w:eastAsia="Calibri" w:cs="Arial"/>
          <w:b/>
          <w:szCs w:val="20"/>
          <w:lang w:val="sl-SI"/>
        </w:rPr>
        <w:t>194 merilnih mest</w:t>
      </w:r>
      <w:r w:rsidRPr="005771BD">
        <w:rPr>
          <w:rFonts w:eastAsia="Calibri" w:cs="Arial"/>
          <w:szCs w:val="20"/>
          <w:lang w:val="sl-SI"/>
        </w:rPr>
        <w:t xml:space="preserve">, razporejenih po 14 vodnih telesih. </w:t>
      </w:r>
    </w:p>
    <w:p w:rsidR="00E40322" w:rsidRPr="005771BD" w:rsidRDefault="00E40322" w:rsidP="00E40322">
      <w:pPr>
        <w:spacing w:after="200" w:line="276" w:lineRule="auto"/>
        <w:jc w:val="both"/>
        <w:rPr>
          <w:rFonts w:eastAsia="Calibri" w:cs="Arial"/>
          <w:szCs w:val="20"/>
          <w:lang w:val="sl-SI"/>
        </w:rPr>
      </w:pPr>
      <w:r w:rsidRPr="005771BD">
        <w:rPr>
          <w:rFonts w:eastAsia="Calibri" w:cs="Arial"/>
          <w:b/>
          <w:szCs w:val="20"/>
          <w:lang w:val="sl-SI"/>
        </w:rPr>
        <w:t>Ocena kemijskega stanja podzemnih voda</w:t>
      </w:r>
      <w:r w:rsidRPr="005771BD">
        <w:rPr>
          <w:rFonts w:eastAsia="Calibri" w:cs="Arial"/>
          <w:szCs w:val="20"/>
          <w:lang w:val="sl-SI"/>
        </w:rPr>
        <w:t xml:space="preserve"> kaže, da so zaradi intenzivnih človekovih dejavnosti najbolj obremenjena vodna telesa pretežno v vodonosnikih z medzrnsko poroznostjo v severovzhodni Sloveniji ([</w:t>
      </w:r>
      <w:hyperlink r:id="rId108" w:history="1">
        <w:r w:rsidRPr="005771BD">
          <w:rPr>
            <w:rStyle w:val="Hiperpovezava"/>
            <w:rFonts w:eastAsia="Calibri" w:cs="Arial"/>
            <w:szCs w:val="20"/>
            <w:lang w:val="sl-SI"/>
          </w:rPr>
          <w:t>VD11</w:t>
        </w:r>
      </w:hyperlink>
      <w:r w:rsidRPr="005771BD">
        <w:rPr>
          <w:rFonts w:eastAsia="Calibri" w:cs="Arial"/>
          <w:szCs w:val="20"/>
          <w:u w:val="single"/>
          <w:lang w:val="sl-SI"/>
        </w:rPr>
        <w:t>]</w:t>
      </w:r>
      <w:r w:rsidRPr="005771BD">
        <w:rPr>
          <w:rFonts w:eastAsia="Calibri" w:cs="Arial"/>
          <w:szCs w:val="20"/>
          <w:lang w:val="sl-SI"/>
        </w:rPr>
        <w:t>).</w:t>
      </w:r>
      <w:r w:rsidRPr="005771BD">
        <w:rPr>
          <w:rFonts w:eastAsia="Calibri" w:cs="Arial"/>
          <w:b/>
          <w:szCs w:val="20"/>
          <w:lang w:val="sl-SI"/>
        </w:rPr>
        <w:t xml:space="preserve"> </w:t>
      </w:r>
      <w:r w:rsidRPr="005771BD">
        <w:rPr>
          <w:rFonts w:eastAsia="Calibri" w:cs="Arial"/>
          <w:szCs w:val="20"/>
          <w:lang w:val="sl-SI"/>
        </w:rPr>
        <w:t>Na mnogih merilnih mestih je ugotovljen statistično značilni trend zmanjševanja koncentracij atrazina in desetil-atrazina, kar pripisujemo pozitivnim učinkom prepovedi rabe atrazina. Slabo kemijsko stanje je ugotovljeno za vodna telesa, ki jih sestavljajo vodonosniki z medzrnsko poroznostjo, in sicer Savinjska, Dravska in Murska kotlina. Vzrok za slabo kemijsko stanje teh vodnih teles je nitrat in v Dravski kotlini tudi atrazin. Ugotovljen je bil statistično značilni trend zniževanja vsebnosti nitrata, zaradi česar bi lahko vodna telesa sčasoma dosegla dobro kemijsko stanje. Za druga vodna telesa podzemnih voda je bilo ugotovljeno dobro kemijsko stanje z visoko ali srednjo ravnijo zaupanja.</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Z </w:t>
      </w:r>
      <w:r w:rsidRPr="005771BD">
        <w:rPr>
          <w:rFonts w:eastAsia="Calibri" w:cs="Arial"/>
          <w:b/>
          <w:szCs w:val="20"/>
          <w:lang w:val="sl-SI"/>
        </w:rPr>
        <w:t>nitrati</w:t>
      </w:r>
      <w:r w:rsidRPr="005771BD">
        <w:rPr>
          <w:rFonts w:eastAsia="Calibri" w:cs="Arial"/>
          <w:szCs w:val="20"/>
          <w:lang w:val="sl-SI"/>
        </w:rPr>
        <w:t xml:space="preserve"> je najbolj obremenjena podzemna voda v medzrnskih vodonosnikih, še posebej na področju severovzhodne Slovenije ([</w:t>
      </w:r>
      <w:hyperlink r:id="rId109" w:history="1">
        <w:r w:rsidRPr="005771BD">
          <w:rPr>
            <w:rStyle w:val="Hiperpovezava"/>
            <w:rFonts w:eastAsia="Calibri" w:cs="Arial"/>
            <w:szCs w:val="20"/>
            <w:lang w:val="sl-SI"/>
          </w:rPr>
          <w:t>VD05</w:t>
        </w:r>
      </w:hyperlink>
      <w:r w:rsidRPr="005771BD">
        <w:rPr>
          <w:rFonts w:eastAsia="Calibri" w:cs="Arial"/>
          <w:szCs w:val="20"/>
          <w:u w:val="single"/>
          <w:lang w:val="sl-SI"/>
        </w:rPr>
        <w:t>]</w:t>
      </w:r>
      <w:r w:rsidRPr="005771BD">
        <w:rPr>
          <w:rFonts w:eastAsia="Calibri" w:cs="Arial"/>
          <w:szCs w:val="20"/>
          <w:lang w:val="sl-SI"/>
        </w:rPr>
        <w:t>). Podzemna voda v kraških in razpoklinskih vodonosnikih je zaradi geografskih danosti, manjše poseljenosti in redkejših kmetijskih površin manj obremenjena z nitrati. Nitrati v podzemni vodi so lahko naravnega izvora. Naravno ozadje nitratov je odvisno od geološke sestave vodonosnikov in je v Sloveniji nižje od 10 mg NO</w:t>
      </w:r>
      <w:r w:rsidRPr="005771BD">
        <w:rPr>
          <w:rFonts w:eastAsia="Calibri" w:cs="Arial"/>
          <w:szCs w:val="20"/>
          <w:vertAlign w:val="subscript"/>
          <w:lang w:val="sl-SI"/>
        </w:rPr>
        <w:t>3</w:t>
      </w:r>
      <w:r w:rsidRPr="005771BD">
        <w:rPr>
          <w:rFonts w:eastAsia="Calibri" w:cs="Arial"/>
          <w:szCs w:val="20"/>
          <w:lang w:val="sl-SI"/>
        </w:rPr>
        <w:t>/l. Povišane vsebnosti nitratov v podzemni vodi so posledica človekovih dejavnosti, predvsem kmetijstva. Nitrati so lahko v podzemni vodi tudi zaradi neurejenega odvajanja komunalnih odpadnih voda. Povprečna vrednost vsebnosti nitratov vodnih telesih podzemne vode s pretežno medzrnskimi vodonosniki je v zadnjih letih približno 33 mg NO</w:t>
      </w:r>
      <w:r w:rsidRPr="005771BD">
        <w:rPr>
          <w:rFonts w:eastAsia="Calibri" w:cs="Arial"/>
          <w:szCs w:val="20"/>
          <w:vertAlign w:val="subscript"/>
          <w:lang w:val="sl-SI"/>
        </w:rPr>
        <w:t>3</w:t>
      </w:r>
      <w:r w:rsidRPr="005771BD">
        <w:rPr>
          <w:rFonts w:eastAsia="Calibri" w:cs="Arial"/>
          <w:szCs w:val="20"/>
          <w:lang w:val="sl-SI"/>
        </w:rPr>
        <w:t>/l in je v povprečju za 13 mg NO</w:t>
      </w:r>
      <w:r w:rsidRPr="005771BD">
        <w:rPr>
          <w:rFonts w:eastAsia="Calibri" w:cs="Arial"/>
          <w:szCs w:val="20"/>
          <w:vertAlign w:val="subscript"/>
          <w:lang w:val="sl-SI"/>
        </w:rPr>
        <w:t>3</w:t>
      </w:r>
      <w:r w:rsidRPr="005771BD">
        <w:rPr>
          <w:rFonts w:eastAsia="Calibri" w:cs="Arial"/>
          <w:szCs w:val="20"/>
          <w:lang w:val="sl-SI"/>
        </w:rPr>
        <w:t xml:space="preserve">/l oziroma za </w:t>
      </w:r>
      <w:r w:rsidRPr="005771BD">
        <w:rPr>
          <w:rFonts w:eastAsia="Calibri" w:cs="Arial"/>
          <w:b/>
          <w:szCs w:val="20"/>
          <w:lang w:val="sl-SI"/>
        </w:rPr>
        <w:t>65 % višja od evropskega povprečja</w:t>
      </w:r>
      <w:r w:rsidRPr="005771BD">
        <w:rPr>
          <w:rFonts w:eastAsia="Calibri" w:cs="Arial"/>
          <w:szCs w:val="20"/>
          <w:lang w:val="sl-SI"/>
        </w:rPr>
        <w:t>. Opazen je trend zmanjševanja vsebnosti nitrata v vodnih telesih Savinjske, Murske in Dravske kotline v obdobju 1998–2015, in sicer so se vrednosti nitrata v 15 letih v posameznih kotlinah znižale za 10–15 mg NO</w:t>
      </w:r>
      <w:r w:rsidRPr="005771BD">
        <w:rPr>
          <w:rFonts w:eastAsia="Calibri" w:cs="Arial"/>
          <w:szCs w:val="20"/>
          <w:vertAlign w:val="subscript"/>
          <w:lang w:val="sl-SI"/>
        </w:rPr>
        <w:t>3</w:t>
      </w:r>
      <w:r w:rsidRPr="005771BD">
        <w:rPr>
          <w:rFonts w:eastAsia="Calibri" w:cs="Arial"/>
          <w:szCs w:val="20"/>
          <w:lang w:val="sl-SI"/>
        </w:rPr>
        <w:t>/l. Ne glede na to povprečne letne vrednosti nitratov v podzemni vodi na bolj obremenjenih merilnih mestih še vedno presegajo mejno vrednost 50 mg NO</w:t>
      </w:r>
      <w:r w:rsidRPr="005771BD">
        <w:rPr>
          <w:rFonts w:eastAsia="Calibri" w:cs="Arial"/>
          <w:szCs w:val="20"/>
          <w:vertAlign w:val="subscript"/>
          <w:lang w:val="sl-SI"/>
        </w:rPr>
        <w:t>3</w:t>
      </w:r>
      <w:r w:rsidRPr="005771BD">
        <w:rPr>
          <w:rFonts w:eastAsia="Calibri" w:cs="Arial"/>
          <w:szCs w:val="20"/>
          <w:lang w:val="sl-SI"/>
        </w:rPr>
        <w:t>/l (npr. Lipovci, Šempeter, Lancova vas, Godešič). V večini vodnih teles podzemne vode s pretežno kraškimi in razpoklinskimi vodonosniki so povprečne letne vsebnosti nitratov nižje od 10 mg NO</w:t>
      </w:r>
      <w:r w:rsidRPr="005771BD">
        <w:rPr>
          <w:rFonts w:eastAsia="Calibri" w:cs="Arial"/>
          <w:szCs w:val="20"/>
          <w:vertAlign w:val="subscript"/>
          <w:lang w:val="sl-SI"/>
        </w:rPr>
        <w:t>3</w:t>
      </w:r>
      <w:r w:rsidRPr="005771BD">
        <w:rPr>
          <w:rFonts w:eastAsia="Calibri" w:cs="Arial"/>
          <w:szCs w:val="20"/>
          <w:lang w:val="sl-SI"/>
        </w:rPr>
        <w:t>/l, nikjer pa niso presegle 25 mg NO</w:t>
      </w:r>
      <w:r w:rsidRPr="005771BD">
        <w:rPr>
          <w:rFonts w:eastAsia="Calibri" w:cs="Arial"/>
          <w:szCs w:val="20"/>
          <w:vertAlign w:val="subscript"/>
          <w:lang w:val="sl-SI"/>
        </w:rPr>
        <w:t>3</w:t>
      </w:r>
      <w:r w:rsidRPr="005771BD">
        <w:rPr>
          <w:rFonts w:eastAsia="Calibri" w:cs="Arial"/>
          <w:szCs w:val="20"/>
          <w:lang w:val="sl-SI"/>
        </w:rPr>
        <w:t xml:space="preserve">/l. </w:t>
      </w:r>
    </w:p>
    <w:p w:rsidR="00E40322" w:rsidRPr="005771BD" w:rsidRDefault="00E40322" w:rsidP="00044E8C">
      <w:pPr>
        <w:spacing w:after="360" w:line="276" w:lineRule="auto"/>
        <w:jc w:val="both"/>
        <w:rPr>
          <w:rFonts w:eastAsia="Calibri" w:cs="Arial"/>
          <w:szCs w:val="20"/>
          <w:lang w:val="sl-SI"/>
        </w:rPr>
      </w:pPr>
      <w:r w:rsidRPr="005771BD">
        <w:rPr>
          <w:rFonts w:eastAsia="Calibri" w:cs="Arial"/>
          <w:szCs w:val="20"/>
          <w:lang w:val="sl-SI"/>
        </w:rPr>
        <w:t xml:space="preserve">Na splošno se tudi vsebnost </w:t>
      </w:r>
      <w:r w:rsidRPr="005771BD">
        <w:rPr>
          <w:rFonts w:eastAsia="Calibri" w:cs="Arial"/>
          <w:b/>
          <w:szCs w:val="20"/>
          <w:lang w:val="sl-SI"/>
        </w:rPr>
        <w:t xml:space="preserve">pesticidov </w:t>
      </w:r>
      <w:r w:rsidRPr="005771BD">
        <w:rPr>
          <w:rFonts w:eastAsia="Calibri" w:cs="Arial"/>
          <w:szCs w:val="20"/>
          <w:lang w:val="sl-SI"/>
        </w:rPr>
        <w:t>v podzemni vodi znižuje. Podobno kot z nitrati je tudi s pesticidi najbolj obremenjena osrednja in severovzhodna Slovenija ([</w:t>
      </w:r>
      <w:hyperlink r:id="rId110" w:history="1">
        <w:r w:rsidRPr="005771BD">
          <w:rPr>
            <w:rStyle w:val="Hiperpovezava"/>
            <w:rFonts w:eastAsia="Calibri" w:cs="Arial"/>
            <w:szCs w:val="20"/>
            <w:lang w:val="sl-SI"/>
          </w:rPr>
          <w:t>VD06</w:t>
        </w:r>
      </w:hyperlink>
      <w:r w:rsidRPr="005771BD">
        <w:rPr>
          <w:rFonts w:eastAsia="Calibri" w:cs="Arial"/>
          <w:szCs w:val="20"/>
          <w:u w:val="single"/>
          <w:lang w:val="sl-SI"/>
        </w:rPr>
        <w:t>]</w:t>
      </w:r>
      <w:r w:rsidRPr="005771BD">
        <w:rPr>
          <w:rFonts w:eastAsia="Calibri" w:cs="Arial"/>
          <w:szCs w:val="20"/>
          <w:lang w:val="sl-SI"/>
        </w:rPr>
        <w:t xml:space="preserve">). V ravninskih predelih Slovenije (Dravska in Murska kotlina), za katere je značilna intenzivna kmetijska dejavnost, vsebnosti nekaterih pesticidov presegajo standard kakovosti. Opažamo tudi posamezna točkovna onesnaženja, ki pa so pogosto posledica nestrokovne rabe teh sredstev. Vodonosniki s kraško in razpoklinsko poroznostjo so zaradi manjše poseljenosti in redkejših kmetijskih površin manj obremenjeni s pesticidi. V obdobju 1998–2015 se je vsebnost vsote pesticidov v vodnih telesih podzemne vode z aluvialnimi vodonosniki zniževala. Vsota pesticidov se znižuje predvsem zaradi upadanja vsebnosti atrazina in njegovega metabolitadesetil-atrazina, kar kaže na pozitivni učinek prepovedi rabe atrazina. Namesto tega se danes uporabljajo drugi pesticidi, ki pa jih zaradi njihovih ugodnejših fizikalno-kemijskih lastnosti (hitra razgradnja, večja adsorpcija ipd.) v podzemni vodi redkeje ugotavljamo. </w:t>
      </w:r>
    </w:p>
    <w:p w:rsidR="00044E8C" w:rsidRPr="00044E8C" w:rsidRDefault="00044E8C" w:rsidP="00044E8C">
      <w:pPr>
        <w:spacing w:after="200" w:line="276" w:lineRule="auto"/>
        <w:jc w:val="both"/>
        <w:rPr>
          <w:rFonts w:eastAsia="Calibri" w:cs="Arial"/>
          <w:szCs w:val="20"/>
          <w:u w:val="single"/>
          <w:lang w:val="sl-SI"/>
        </w:rPr>
      </w:pPr>
      <w:r>
        <w:rPr>
          <w:rFonts w:eastAsia="Calibri" w:cs="Arial"/>
          <w:szCs w:val="20"/>
          <w:u w:val="single"/>
          <w:lang w:val="sl-SI"/>
        </w:rPr>
        <w:t>7</w:t>
      </w:r>
      <w:r w:rsidRPr="00044E8C">
        <w:rPr>
          <w:rFonts w:eastAsia="Calibri" w:cs="Arial"/>
          <w:szCs w:val="20"/>
          <w:u w:val="single"/>
          <w:lang w:val="sl-SI"/>
        </w:rPr>
        <w:t>.3.2.2 Količinsko stanje podzemnih voda</w:t>
      </w:r>
    </w:p>
    <w:p w:rsidR="00E40322" w:rsidRPr="005771BD" w:rsidRDefault="00044E8C" w:rsidP="00044E8C">
      <w:pPr>
        <w:spacing w:after="200" w:line="276" w:lineRule="auto"/>
        <w:jc w:val="both"/>
        <w:rPr>
          <w:rFonts w:eastAsia="Calibri" w:cs="Arial"/>
          <w:szCs w:val="20"/>
          <w:lang w:val="sl-SI"/>
        </w:rPr>
      </w:pPr>
      <w:r w:rsidRPr="005771BD">
        <w:rPr>
          <w:rFonts w:eastAsia="Calibri" w:cs="Arial"/>
          <w:b/>
          <w:szCs w:val="20"/>
          <w:lang w:val="sl-SI"/>
        </w:rPr>
        <w:t>Količinsko obnavljanje podzemne vode</w:t>
      </w:r>
      <w:r w:rsidRPr="005771BD">
        <w:rPr>
          <w:rFonts w:eastAsia="Calibri" w:cs="Arial"/>
          <w:szCs w:val="20"/>
          <w:lang w:val="sl-SI"/>
        </w:rPr>
        <w:t xml:space="preserve"> v plitvih vodonosnikih Slovenije je bilo v hidrološkem letu 2015 le malo nad povprečjem primerjalnega hidrološkega vodnobilančnega obdobja 1981–2010 ([</w:t>
      </w:r>
      <w:hyperlink r:id="rId111" w:history="1">
        <w:r w:rsidRPr="005771BD">
          <w:rPr>
            <w:rStyle w:val="Hiperpovezava"/>
            <w:rFonts w:eastAsia="Calibri" w:cs="Arial"/>
            <w:szCs w:val="20"/>
            <w:lang w:val="sl-SI"/>
          </w:rPr>
          <w:t>VD15</w:t>
        </w:r>
      </w:hyperlink>
      <w:r w:rsidRPr="005771BD">
        <w:rPr>
          <w:rFonts w:eastAsia="Calibri" w:cs="Arial"/>
          <w:szCs w:val="20"/>
          <w:u w:val="single"/>
          <w:lang w:val="sl-SI"/>
        </w:rPr>
        <w:t>]</w:t>
      </w:r>
      <w:r w:rsidRPr="005771BD">
        <w:rPr>
          <w:rFonts w:eastAsia="Calibri" w:cs="Arial"/>
          <w:szCs w:val="20"/>
          <w:lang w:val="sl-SI"/>
        </w:rPr>
        <w:t xml:space="preserve">). Za vse vodonosnike 21-tih teles podzemne vode v Sloveniji je po vodnobilančnem preizkusu za leto 2014 ocenjeno </w:t>
      </w:r>
      <w:r w:rsidRPr="005771BD">
        <w:rPr>
          <w:rFonts w:eastAsia="Calibri" w:cs="Arial"/>
          <w:b/>
          <w:szCs w:val="20"/>
          <w:lang w:val="sl-SI"/>
        </w:rPr>
        <w:t>dobro količinsko stanje</w:t>
      </w:r>
      <w:r w:rsidRPr="005771BD">
        <w:rPr>
          <w:rFonts w:eastAsia="Calibri" w:cs="Arial"/>
          <w:szCs w:val="20"/>
          <w:lang w:val="sl-SI"/>
        </w:rPr>
        <w:t xml:space="preserve">. Najmanjše obnovljene količine in hkrati tudi največje časovne spremenljivosti pri letnem obnavljanju podzemne vode v plitvih vodonosnikih so ocenjene v telesih podzemne vode severovzhodne Slovenije. V zadnjem desetletju je bilo povprečno napajanje vodonosnikov na območju Goričkega za več kot 10-krat manjše od napajanja vodonosnikov v Julijskih Alpah. Poleg velikega prostorsko spremenljivega napajanja vodonosnikov pa je v zadnjem desetletju značilna tudi velika časovna spremenljivost. Indeksi letnega napajanja glede na povprečje obdobja 1981–2010 dosegajo velik razpon letnih količin napajanja, kar kaže na veliko količinsko občutljivost podzemnih voda v plitvih vodonosnikih Slovenije. Skupna obnovljiva količina podzemne vode je bila v plitvih vodonosnikih Slovenije v hidrološkem letu 2015 nekoliko </w:t>
      </w:r>
    </w:p>
    <w:p w:rsidR="00E40322" w:rsidRPr="005771BD" w:rsidRDefault="00E40322" w:rsidP="00E40322">
      <w:pPr>
        <w:spacing w:after="200" w:line="276" w:lineRule="auto"/>
        <w:jc w:val="both"/>
        <w:rPr>
          <w:rFonts w:eastAsia="Calibri" w:cs="Arial"/>
          <w:szCs w:val="20"/>
          <w:lang w:val="sl-SI"/>
        </w:rPr>
      </w:pPr>
      <w:r w:rsidRPr="007F272F">
        <w:rPr>
          <w:rFonts w:eastAsia="Calibri" w:cs="Arial"/>
          <w:noProof/>
          <w:szCs w:val="20"/>
          <w:lang w:val="sl-SI" w:eastAsia="sl-SI"/>
        </w:rPr>
        <w:drawing>
          <wp:inline distT="0" distB="0" distL="0" distR="0" wp14:anchorId="7A266171" wp14:editId="2D7531E0">
            <wp:extent cx="5038725" cy="3355254"/>
            <wp:effectExtent l="0" t="0" r="0" b="0"/>
            <wp:docPr id="542" name="Slika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037889" cy="3354698"/>
                    </a:xfrm>
                    <a:prstGeom prst="rect">
                      <a:avLst/>
                    </a:prstGeom>
                    <a:noFill/>
                  </pic:spPr>
                </pic:pic>
              </a:graphicData>
            </a:graphic>
          </wp:inline>
        </w:drawing>
      </w:r>
    </w:p>
    <w:p w:rsidR="00E40322" w:rsidRPr="005771BD" w:rsidRDefault="00E40322" w:rsidP="00044E8C">
      <w:pPr>
        <w:spacing w:line="276" w:lineRule="auto"/>
        <w:jc w:val="both"/>
        <w:rPr>
          <w:rFonts w:eastAsia="Calibri" w:cs="Arial"/>
          <w:i/>
          <w:szCs w:val="20"/>
          <w:lang w:val="sl-SI"/>
        </w:rPr>
      </w:pPr>
      <w:r w:rsidRPr="005771BD">
        <w:rPr>
          <w:rFonts w:eastAsia="Calibri" w:cs="Arial"/>
          <w:i/>
          <w:szCs w:val="20"/>
          <w:lang w:val="sl-SI"/>
        </w:rPr>
        <w:t xml:space="preserve">Slika </w:t>
      </w:r>
      <w:r w:rsidR="00044E8C">
        <w:rPr>
          <w:rFonts w:eastAsia="Calibri" w:cs="Arial"/>
          <w:i/>
          <w:szCs w:val="20"/>
          <w:lang w:val="sl-SI"/>
        </w:rPr>
        <w:t>7</w:t>
      </w:r>
      <w:r w:rsidRPr="005771BD">
        <w:rPr>
          <w:rFonts w:eastAsia="Calibri" w:cs="Arial"/>
          <w:i/>
          <w:szCs w:val="20"/>
          <w:lang w:val="sl-SI"/>
        </w:rPr>
        <w:t xml:space="preserve">.6: Povprečne letne vrednosti vsebnosti nitratov v vzorcih podzemne vode na merilnih mestih državnega monitoringa 2015 </w:t>
      </w:r>
    </w:p>
    <w:p w:rsidR="00E40322" w:rsidRPr="005771BD" w:rsidRDefault="00E40322" w:rsidP="00E40322">
      <w:pPr>
        <w:spacing w:after="200" w:line="276" w:lineRule="auto"/>
        <w:jc w:val="both"/>
        <w:rPr>
          <w:rFonts w:eastAsia="Calibri" w:cs="Arial"/>
          <w:i/>
          <w:szCs w:val="20"/>
          <w:lang w:val="sl-SI"/>
        </w:rPr>
      </w:pPr>
      <w:r w:rsidRPr="005771BD">
        <w:rPr>
          <w:rFonts w:eastAsia="Calibri" w:cs="Arial"/>
          <w:i/>
          <w:szCs w:val="20"/>
          <w:lang w:val="sl-SI"/>
        </w:rPr>
        <w:t>Vir: ARSO, Kazalci okolja, oktober 2016</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798"/>
        <w:gridCol w:w="81"/>
      </w:tblGrid>
      <w:tr w:rsidR="00E40322" w:rsidRPr="005771BD" w:rsidTr="00044E8C">
        <w:trPr>
          <w:tblCellSpacing w:w="15" w:type="dxa"/>
        </w:trPr>
        <w:tc>
          <w:tcPr>
            <w:tcW w:w="0" w:type="auto"/>
            <w:vAlign w:val="center"/>
          </w:tcPr>
          <w:p w:rsidR="00E40322" w:rsidRPr="005771BD" w:rsidRDefault="00044E8C" w:rsidP="00044E8C">
            <w:pPr>
              <w:spacing w:after="360" w:line="276" w:lineRule="auto"/>
              <w:jc w:val="both"/>
              <w:rPr>
                <w:rFonts w:eastAsia="Calibri" w:cs="Arial"/>
                <w:szCs w:val="20"/>
                <w:lang w:val="sl-SI"/>
              </w:rPr>
            </w:pPr>
            <w:r w:rsidRPr="005771BD">
              <w:rPr>
                <w:rFonts w:eastAsia="Calibri" w:cs="Arial"/>
                <w:szCs w:val="20"/>
                <w:lang w:val="sl-SI"/>
              </w:rPr>
              <w:t>nad povprečjem obdobja 1981–2010. Največje pozitivno odstopanje od povprečja obdobja 1981–2010 je bilo v hidrološkem letu 2015 v vodnih telesih Julijskih Alp in Karavank, največja negativna odstopanja pa so bila v vodnih telesih severovzhodnega dela Slovenije.</w:t>
            </w:r>
          </w:p>
        </w:tc>
        <w:tc>
          <w:tcPr>
            <w:tcW w:w="0" w:type="auto"/>
            <w:vAlign w:val="center"/>
          </w:tcPr>
          <w:p w:rsidR="00E40322" w:rsidRPr="005771BD" w:rsidRDefault="00E40322" w:rsidP="00044E8C">
            <w:pPr>
              <w:spacing w:after="360" w:line="276" w:lineRule="auto"/>
              <w:jc w:val="both"/>
              <w:rPr>
                <w:rFonts w:eastAsia="Calibri" w:cs="Arial"/>
                <w:szCs w:val="20"/>
                <w:lang w:val="sl-SI"/>
              </w:rPr>
            </w:pPr>
          </w:p>
        </w:tc>
      </w:tr>
    </w:tbl>
    <w:p w:rsidR="00E40322" w:rsidRPr="00044E8C" w:rsidRDefault="00044E8C" w:rsidP="00E40322">
      <w:pPr>
        <w:spacing w:after="200" w:line="276" w:lineRule="auto"/>
        <w:jc w:val="both"/>
        <w:rPr>
          <w:rFonts w:eastAsia="Calibri" w:cs="Arial"/>
          <w:b/>
          <w:szCs w:val="20"/>
          <w:lang w:val="sl-SI"/>
        </w:rPr>
      </w:pPr>
      <w:r>
        <w:rPr>
          <w:rFonts w:eastAsia="Calibri" w:cs="Arial"/>
          <w:b/>
          <w:szCs w:val="20"/>
          <w:lang w:val="sl-SI"/>
        </w:rPr>
        <w:t>7</w:t>
      </w:r>
      <w:r w:rsidR="00E40322" w:rsidRPr="00044E8C">
        <w:rPr>
          <w:rFonts w:eastAsia="Calibri" w:cs="Arial"/>
          <w:b/>
          <w:szCs w:val="20"/>
          <w:lang w:val="sl-SI"/>
        </w:rPr>
        <w:t>.3.3 Obremenitve površinskih celinskih voda, podzemnih voda in obalnega morja</w:t>
      </w:r>
    </w:p>
    <w:p w:rsidR="00E40322" w:rsidRPr="005771BD" w:rsidRDefault="00E40322" w:rsidP="00E40322">
      <w:pPr>
        <w:spacing w:after="200" w:line="276" w:lineRule="auto"/>
        <w:jc w:val="both"/>
        <w:rPr>
          <w:rFonts w:eastAsia="Calibri" w:cs="Arial"/>
          <w:szCs w:val="20"/>
          <w:lang w:val="sl-SI"/>
        </w:rPr>
      </w:pPr>
      <w:r w:rsidRPr="005771BD">
        <w:rPr>
          <w:rFonts w:eastAsia="Calibri" w:cs="Arial"/>
          <w:b/>
          <w:szCs w:val="20"/>
          <w:lang w:val="sl-SI"/>
        </w:rPr>
        <w:t>Poraba vode</w:t>
      </w:r>
      <w:r w:rsidRPr="005771BD">
        <w:rPr>
          <w:rFonts w:eastAsia="Calibri" w:cs="Arial"/>
          <w:szCs w:val="20"/>
          <w:lang w:val="sl-SI"/>
        </w:rPr>
        <w:t xml:space="preserve"> v Sloveniji ima na letni ravni razmeroma majhen delež bruto iztoka iz države</w:t>
      </w:r>
      <w:r w:rsidRPr="005771BD">
        <w:rPr>
          <w:rFonts w:eastAsia="Calibri" w:cs="Arial"/>
          <w:b/>
          <w:szCs w:val="20"/>
          <w:lang w:val="sl-SI"/>
        </w:rPr>
        <w:t xml:space="preserve">. </w:t>
      </w:r>
      <w:r w:rsidRPr="005771BD">
        <w:rPr>
          <w:rFonts w:eastAsia="Calibri" w:cs="Arial"/>
          <w:szCs w:val="20"/>
          <w:lang w:val="sl-SI"/>
        </w:rPr>
        <w:t xml:space="preserve">Po statističnih podatkih smo v Sloveniji v letu 2015 </w:t>
      </w:r>
      <w:r w:rsidRPr="005771BD">
        <w:rPr>
          <w:rFonts w:eastAsia="Calibri" w:cs="Arial"/>
          <w:b/>
          <w:szCs w:val="20"/>
          <w:lang w:val="sl-SI"/>
        </w:rPr>
        <w:t>načrpali</w:t>
      </w:r>
      <w:r w:rsidRPr="005771BD">
        <w:rPr>
          <w:rFonts w:eastAsia="Calibri" w:cs="Arial"/>
          <w:szCs w:val="20"/>
          <w:lang w:val="sl-SI"/>
        </w:rPr>
        <w:t xml:space="preserve"> 897,2 milijona m</w:t>
      </w:r>
      <w:r w:rsidRPr="005771BD">
        <w:rPr>
          <w:rFonts w:eastAsia="Calibri" w:cs="Arial"/>
          <w:szCs w:val="20"/>
          <w:vertAlign w:val="superscript"/>
          <w:lang w:val="sl-SI"/>
        </w:rPr>
        <w:t>3</w:t>
      </w:r>
      <w:r w:rsidRPr="005771BD">
        <w:rPr>
          <w:rFonts w:eastAsia="Calibri" w:cs="Arial"/>
          <w:szCs w:val="20"/>
          <w:lang w:val="sl-SI"/>
        </w:rPr>
        <w:t xml:space="preserve"> vode, od tega 79 %  iz površinskih voda (večinoma iz vodotokov) in 21 % iz podzemnih voda. V letu 2015 je bilo v Sloveniji načrpanih za 8,5 % manj m</w:t>
      </w:r>
      <w:r w:rsidRPr="005771BD">
        <w:rPr>
          <w:rFonts w:eastAsia="Calibri" w:cs="Arial"/>
          <w:szCs w:val="20"/>
          <w:vertAlign w:val="superscript"/>
          <w:lang w:val="sl-SI"/>
        </w:rPr>
        <w:t>3</w:t>
      </w:r>
      <w:r w:rsidRPr="005771BD">
        <w:rPr>
          <w:rFonts w:eastAsia="Calibri" w:cs="Arial"/>
          <w:szCs w:val="20"/>
          <w:lang w:val="sl-SI"/>
        </w:rPr>
        <w:t xml:space="preserve"> vode kot v letu 2014, in sicer iz podzemnih voda za 1,1 %, iz površinskih voda pa za 10,2 % manj. Večina vode, načrpane iz podzemnih voda (162,2 milijona m</w:t>
      </w:r>
      <w:r w:rsidRPr="005771BD">
        <w:rPr>
          <w:rFonts w:eastAsia="Calibri" w:cs="Arial"/>
          <w:szCs w:val="20"/>
          <w:vertAlign w:val="superscript"/>
          <w:lang w:val="sl-SI"/>
        </w:rPr>
        <w:t>3</w:t>
      </w:r>
      <w:r w:rsidRPr="005771BD">
        <w:rPr>
          <w:rFonts w:eastAsia="Calibri" w:cs="Arial"/>
          <w:szCs w:val="20"/>
          <w:lang w:val="sl-SI"/>
        </w:rPr>
        <w:t>), je bila namenjena za javni vodovod. Večina vode, načrpane iz površinskih voda (709,9 milijona m</w:t>
      </w:r>
      <w:r w:rsidRPr="005771BD">
        <w:rPr>
          <w:rFonts w:eastAsia="Calibri" w:cs="Arial"/>
          <w:szCs w:val="20"/>
          <w:vertAlign w:val="superscript"/>
          <w:lang w:val="sl-SI"/>
        </w:rPr>
        <w:t>3</w:t>
      </w:r>
      <w:r w:rsidRPr="005771BD">
        <w:rPr>
          <w:rFonts w:eastAsia="Calibri" w:cs="Arial"/>
          <w:szCs w:val="20"/>
          <w:lang w:val="sl-SI"/>
        </w:rPr>
        <w:t>), je bila pridobljena iz lastnih zajetij, namenjena pa  je bila za industrijske procese in namakanje. V letu 2015 je bilo v rudarstvu,  predelovalnih dejavnostih, pri</w:t>
      </w:r>
      <w:r>
        <w:rPr>
          <w:rFonts w:eastAsia="Calibri" w:cs="Arial"/>
          <w:szCs w:val="20"/>
          <w:lang w:val="sl-SI"/>
        </w:rPr>
        <w:t xml:space="preserve"> </w:t>
      </w:r>
      <w:r w:rsidRPr="005771BD">
        <w:rPr>
          <w:rFonts w:eastAsia="Calibri" w:cs="Arial"/>
          <w:szCs w:val="20"/>
          <w:lang w:val="sl-SI"/>
        </w:rPr>
        <w:t>oskrbi z električno energijo in za oskrbo z vodo v Sloveniji uporabljenih 78.502 milijonov m</w:t>
      </w:r>
      <w:r w:rsidRPr="005771BD">
        <w:rPr>
          <w:rFonts w:eastAsia="Calibri" w:cs="Arial"/>
          <w:szCs w:val="20"/>
          <w:vertAlign w:val="superscript"/>
          <w:lang w:val="sl-SI"/>
        </w:rPr>
        <w:t>3</w:t>
      </w:r>
      <w:r w:rsidRPr="005771BD">
        <w:rPr>
          <w:rFonts w:eastAsia="Calibri" w:cs="Arial"/>
          <w:szCs w:val="20"/>
          <w:lang w:val="sl-SI"/>
        </w:rPr>
        <w:t xml:space="preserve"> vode; to je za 37 % manj kot v letu 2014, saj je bilo leto 2015 v primerjavi s predhodnim letom hidrološko precej bolj suho. Z vidika področij dejavnosti se je v industriji v letu 2015 največ vode uporabilo za oskrbo z električno energijo, plinom in paro (77.763 milijonov m</w:t>
      </w:r>
      <w:r w:rsidRPr="005771BD">
        <w:rPr>
          <w:rFonts w:eastAsia="Calibri" w:cs="Arial"/>
          <w:szCs w:val="20"/>
          <w:vertAlign w:val="superscript"/>
          <w:lang w:val="sl-SI"/>
        </w:rPr>
        <w:t>3</w:t>
      </w:r>
      <w:r w:rsidRPr="005771BD">
        <w:rPr>
          <w:rFonts w:eastAsia="Calibri" w:cs="Arial"/>
          <w:szCs w:val="20"/>
          <w:lang w:val="sl-SI"/>
        </w:rPr>
        <w:t>); velika večina te vode (99 %) je bila uporabljena za pogon turbin v hidroelektrarnah. V dejavnosti oskrba z vodo, ravnanje z odplakami in odpadki, saniranje okolja je bilo uporabljenih 453 milijonov m</w:t>
      </w:r>
      <w:r w:rsidRPr="005771BD">
        <w:rPr>
          <w:rFonts w:eastAsia="Calibri" w:cs="Arial"/>
          <w:szCs w:val="20"/>
          <w:vertAlign w:val="superscript"/>
          <w:lang w:val="sl-SI"/>
        </w:rPr>
        <w:t>3</w:t>
      </w:r>
      <w:r w:rsidRPr="005771BD">
        <w:rPr>
          <w:rFonts w:eastAsia="Calibri" w:cs="Arial"/>
          <w:szCs w:val="20"/>
          <w:lang w:val="sl-SI"/>
        </w:rPr>
        <w:t xml:space="preserve"> vode, v predelovalnih dejavnostih 285 milijonov m</w:t>
      </w:r>
      <w:r w:rsidRPr="005771BD">
        <w:rPr>
          <w:rFonts w:eastAsia="Calibri" w:cs="Arial"/>
          <w:szCs w:val="20"/>
          <w:vertAlign w:val="superscript"/>
          <w:lang w:val="sl-SI"/>
        </w:rPr>
        <w:t>3</w:t>
      </w:r>
      <w:r w:rsidRPr="005771BD">
        <w:rPr>
          <w:rFonts w:eastAsia="Calibri" w:cs="Arial"/>
          <w:szCs w:val="20"/>
          <w:lang w:val="sl-SI"/>
        </w:rPr>
        <w:t xml:space="preserve"> vode, v rudarstvu pa nekaj manj kot milijon m</w:t>
      </w:r>
      <w:r w:rsidRPr="005771BD">
        <w:rPr>
          <w:rFonts w:eastAsia="Calibri" w:cs="Arial"/>
          <w:szCs w:val="20"/>
          <w:vertAlign w:val="superscript"/>
          <w:lang w:val="sl-SI"/>
        </w:rPr>
        <w:t>3</w:t>
      </w:r>
      <w:r w:rsidRPr="005771BD">
        <w:rPr>
          <w:rFonts w:eastAsia="Calibri" w:cs="Arial"/>
          <w:szCs w:val="20"/>
          <w:lang w:val="sl-SI"/>
        </w:rPr>
        <w:t xml:space="preserve"> vode. Po kazalcu izkoriščanja vodnih virov se med evropskimi državami Slovenija uvršča med države z najmanjšo izrabo vodnih virov ([</w:t>
      </w:r>
      <w:hyperlink r:id="rId113" w:history="1">
        <w:r w:rsidRPr="005771BD">
          <w:rPr>
            <w:rStyle w:val="Hiperpovezava"/>
            <w:rFonts w:eastAsia="Calibri" w:cs="Arial"/>
            <w:szCs w:val="20"/>
            <w:lang w:val="sl-SI"/>
          </w:rPr>
          <w:t>VD01</w:t>
        </w:r>
      </w:hyperlink>
      <w:r w:rsidRPr="005771BD">
        <w:rPr>
          <w:rFonts w:eastAsia="Calibri" w:cs="Arial"/>
          <w:szCs w:val="20"/>
          <w:u w:val="single"/>
          <w:lang w:val="sl-SI"/>
        </w:rPr>
        <w:t>]</w:t>
      </w:r>
      <w:r w:rsidRPr="005771BD">
        <w:rPr>
          <w:rFonts w:eastAsia="Calibri" w:cs="Arial"/>
          <w:szCs w:val="20"/>
          <w:lang w:val="sl-SI"/>
        </w:rPr>
        <w:t xml:space="preserve">). </w:t>
      </w:r>
      <w:r w:rsidRPr="005771BD">
        <w:rPr>
          <w:rFonts w:eastAsia="Calibri" w:cs="Arial"/>
          <w:b/>
          <w:szCs w:val="20"/>
          <w:lang w:val="sl-SI"/>
        </w:rPr>
        <w:t>Indeks izkoriščanja vode</w:t>
      </w:r>
      <w:r w:rsidRPr="005771BD">
        <w:rPr>
          <w:rFonts w:eastAsia="Calibri" w:cs="Arial"/>
          <w:szCs w:val="20"/>
          <w:lang w:val="sl-SI"/>
        </w:rPr>
        <w:t xml:space="preserve"> (WEI – Water Exploitation Index) je za primerjavo letnih količin vse porabljene vode s povprečjem dolgoletnega obdobja uvedla Evropska okoljska agencija (EEA). WEI je kazalec porabe površinske in podzemne vode v primerjavi s povprečjem bruto iztoka iz države v dolgoletnem obdobju (osnovni WEI indeks) oziroma v primerjavi z bruto iztokom v posameznem letu (letni WEI indeks). Poraba vode v Sloveniji ima na letni ravni razmeroma majhen delež bruto iztoka iz države, v letu 2014 je bil letni indeks WEI okoli</w:t>
      </w:r>
      <w:r w:rsidRPr="005771BD">
        <w:rPr>
          <w:rFonts w:eastAsia="Calibri" w:cs="Arial"/>
          <w:b/>
          <w:szCs w:val="20"/>
          <w:lang w:val="sl-SI"/>
        </w:rPr>
        <w:t xml:space="preserve"> 2%,</w:t>
      </w:r>
      <w:r w:rsidRPr="005771BD">
        <w:rPr>
          <w:rFonts w:eastAsia="Calibri" w:cs="Arial"/>
          <w:szCs w:val="20"/>
          <w:lang w:val="sl-SI"/>
        </w:rPr>
        <w:t xml:space="preserve"> glede na obdobno povprečje pa okoli </w:t>
      </w:r>
      <w:r w:rsidRPr="005771BD">
        <w:rPr>
          <w:rFonts w:eastAsia="Calibri" w:cs="Arial"/>
          <w:b/>
          <w:szCs w:val="20"/>
          <w:lang w:val="sl-SI"/>
        </w:rPr>
        <w:t>3%.</w:t>
      </w:r>
      <w:r w:rsidRPr="005771BD">
        <w:rPr>
          <w:rFonts w:eastAsia="Calibri" w:cs="Arial"/>
          <w:szCs w:val="20"/>
          <w:lang w:val="sl-SI"/>
        </w:rPr>
        <w:t xml:space="preserve"> Trend obdobnega indeksa porabe vode sicer kaže rahlo povečevanje, vendar trend ni statistično značilen. </w:t>
      </w:r>
    </w:p>
    <w:p w:rsidR="00E40322" w:rsidRPr="005771BD" w:rsidRDefault="00E40322" w:rsidP="00E40322">
      <w:pPr>
        <w:spacing w:after="200" w:line="276" w:lineRule="auto"/>
        <w:jc w:val="both"/>
        <w:rPr>
          <w:rFonts w:eastAsia="Calibri" w:cs="Arial"/>
          <w:szCs w:val="20"/>
          <w:lang w:val="sl-SI"/>
        </w:rPr>
      </w:pPr>
      <w:r w:rsidRPr="005771BD">
        <w:rPr>
          <w:rFonts w:eastAsia="Calibri" w:cs="Arial"/>
          <w:b/>
          <w:szCs w:val="20"/>
          <w:lang w:val="sl-SI"/>
        </w:rPr>
        <w:t>Vodna pravica</w:t>
      </w:r>
      <w:r w:rsidRPr="005771BD">
        <w:rPr>
          <w:rFonts w:eastAsia="Calibri" w:cs="Arial"/>
          <w:szCs w:val="20"/>
          <w:lang w:val="sl-SI"/>
        </w:rPr>
        <w:t xml:space="preserve"> je pravica do posebne rabe vodnega ali morskega javnega dobra, tudi naplavin, razen vodnega zemljišča. Zakon o vodah določa, da jo je mogoče pridobiti na dva načina: z vodnim dovoljenjem ali koncesijo. Sredi leta 2016 je bila vodna pravica za posebno rabo voda podeljena v </w:t>
      </w:r>
      <w:r w:rsidRPr="005771BD">
        <w:rPr>
          <w:rFonts w:eastAsia="Calibri" w:cs="Arial"/>
          <w:b/>
          <w:szCs w:val="20"/>
          <w:lang w:val="sl-SI"/>
        </w:rPr>
        <w:t>39.119 aktih</w:t>
      </w:r>
      <w:r w:rsidRPr="005771BD">
        <w:rPr>
          <w:rFonts w:eastAsia="Calibri" w:cs="Arial"/>
          <w:szCs w:val="20"/>
          <w:lang w:val="sl-SI"/>
        </w:rPr>
        <w:t xml:space="preserve"> (vodna dovoljenja in koncesije), njihovo število se je v primerjavi z letom 2014 povečalo za 3,2 % ([</w:t>
      </w:r>
      <w:hyperlink r:id="rId114" w:history="1">
        <w:r w:rsidRPr="005771BD">
          <w:rPr>
            <w:rStyle w:val="Hiperpovezava"/>
            <w:rFonts w:eastAsia="Calibri" w:cs="Arial"/>
            <w:szCs w:val="20"/>
            <w:lang w:val="sl-SI"/>
          </w:rPr>
          <w:t>VD14</w:t>
        </w:r>
      </w:hyperlink>
      <w:r w:rsidRPr="005771BD">
        <w:rPr>
          <w:rFonts w:eastAsia="Calibri" w:cs="Arial"/>
          <w:szCs w:val="20"/>
          <w:u w:val="single"/>
          <w:lang w:val="sl-SI"/>
        </w:rPr>
        <w:t>]</w:t>
      </w:r>
      <w:r w:rsidRPr="005771BD">
        <w:rPr>
          <w:rFonts w:eastAsia="Calibri" w:cs="Arial"/>
          <w:szCs w:val="20"/>
          <w:lang w:val="sl-SI"/>
        </w:rPr>
        <w:t xml:space="preserve">). Največje število aktov, s katerimi je bila podeljena vodna pravica, se nanaša na rabo vode za lastno oskrbo s pitno vodo (v avgustu 2016 več kot 20.000) ter za t. i. drugo rabo (več kot 11.000), ki se večinoma nanaša na rabo vode za zalivanje vrtov, a skupni dovoljeni maksimalni odvzem vode za obe vrsti rabe je manj kot odstotek vseh podeljenih vodnih pravic. Največje količine vode so zagotovljene za rabo za tehnološke namene (dobrih 1.000 milijonov m³), pri čemer je velika večina te vode predvidena za hlajenje in je t. i. povratna voda, torej je vrnjena v vodotok. </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Pomemben delež, kar je petina vse količine ali 311 milijonov m³ vode na leto, je z vodnimi dovoljenji dodeljen za izvajanje gospodarske javne službe </w:t>
      </w:r>
      <w:r w:rsidRPr="005771BD">
        <w:rPr>
          <w:rFonts w:eastAsia="Calibri" w:cs="Arial"/>
          <w:b/>
          <w:szCs w:val="20"/>
          <w:lang w:val="sl-SI"/>
        </w:rPr>
        <w:t>oskrbe s pitno vodo</w:t>
      </w:r>
      <w:r w:rsidRPr="005771BD">
        <w:rPr>
          <w:rFonts w:eastAsia="Calibri" w:cs="Arial"/>
          <w:szCs w:val="20"/>
          <w:lang w:val="sl-SI"/>
        </w:rPr>
        <w:t xml:space="preserve">. Glede na podeljene vodne pravice je 93 % vode za javno oskrbo z vodo zajeto iz izvirov, vrtin in vodnjakov, torej iz podzemne vode. Šestnajst milijonov m³ vode je letno predvidenih za namakanje kmetijskih in drugih površin. Med akti o podelitvi vodnih pravic, ki se ne nanašajo na odvzem vode, je največ takih za akvakulturo (okoli 350) ter naravna in bazenska kopališča (okoli 100). </w:t>
      </w:r>
    </w:p>
    <w:p w:rsidR="00E40322" w:rsidRPr="005771BD" w:rsidRDefault="00E40322" w:rsidP="00E40322">
      <w:pPr>
        <w:spacing w:after="200" w:line="276" w:lineRule="auto"/>
        <w:jc w:val="both"/>
        <w:rPr>
          <w:rFonts w:eastAsia="Calibri" w:cs="Arial"/>
          <w:szCs w:val="20"/>
          <w:lang w:val="sl-SI"/>
        </w:rPr>
      </w:pPr>
      <w:r w:rsidRPr="005771BD">
        <w:rPr>
          <w:rFonts w:eastAsia="Calibri" w:cs="Arial"/>
          <w:b/>
          <w:szCs w:val="20"/>
          <w:lang w:val="sl-SI"/>
        </w:rPr>
        <w:t xml:space="preserve">Čiščenje odpadnih voda v komunalnih in skupnih čistilnih napravah </w:t>
      </w:r>
      <w:r w:rsidRPr="005771BD">
        <w:rPr>
          <w:rFonts w:eastAsia="Calibri" w:cs="Arial"/>
          <w:szCs w:val="20"/>
          <w:lang w:val="sl-SI"/>
        </w:rPr>
        <w:t>se v zadnjih letih povečuje, kar seveda pomeni manjše obremenjevanje vodnega okolja ([</w:t>
      </w:r>
      <w:hyperlink r:id="rId115" w:history="1">
        <w:r w:rsidRPr="005771BD">
          <w:rPr>
            <w:rStyle w:val="Hiperpovezava"/>
            <w:rFonts w:eastAsia="Calibri" w:cs="Arial"/>
            <w:szCs w:val="20"/>
            <w:lang w:val="sl-SI"/>
          </w:rPr>
          <w:t>VD02</w:t>
        </w:r>
      </w:hyperlink>
      <w:r w:rsidRPr="005771BD">
        <w:rPr>
          <w:rFonts w:eastAsia="Calibri" w:cs="Arial"/>
          <w:szCs w:val="20"/>
          <w:u w:val="single"/>
          <w:lang w:val="sl-SI"/>
        </w:rPr>
        <w:t>]</w:t>
      </w:r>
      <w:r w:rsidRPr="005771BD">
        <w:rPr>
          <w:rFonts w:eastAsia="Calibri" w:cs="Arial"/>
          <w:szCs w:val="20"/>
          <w:lang w:val="sl-SI"/>
        </w:rPr>
        <w:t>). V zadnjih letih se tako s postopki sekundarnega ali terciarnega čiščenja očisti čedalje več odpadne vode, medtem ko je postopkov samo primarnega čiščenja čedalje manj. Količina odpadne vode, ki je bila prečiščena s postopki sekundarnega čiščenja, se je od leta 2002 povečala za 205 % ali z 38 milijonov m</w:t>
      </w:r>
      <w:r w:rsidRPr="005771BD">
        <w:rPr>
          <w:rFonts w:eastAsia="Calibri" w:cs="Arial"/>
          <w:szCs w:val="20"/>
          <w:vertAlign w:val="superscript"/>
          <w:lang w:val="sl-SI"/>
        </w:rPr>
        <w:t>3</w:t>
      </w:r>
      <w:r w:rsidRPr="005771BD">
        <w:rPr>
          <w:rFonts w:eastAsia="Calibri" w:cs="Arial"/>
          <w:szCs w:val="20"/>
          <w:lang w:val="sl-SI"/>
        </w:rPr>
        <w:t xml:space="preserve"> (v letu 2002) na skoraj 78 milijonov m</w:t>
      </w:r>
      <w:r w:rsidRPr="005771BD">
        <w:rPr>
          <w:rFonts w:eastAsia="Calibri" w:cs="Arial"/>
          <w:szCs w:val="20"/>
          <w:vertAlign w:val="superscript"/>
          <w:lang w:val="sl-SI"/>
        </w:rPr>
        <w:t>3</w:t>
      </w:r>
      <w:r w:rsidRPr="005771BD">
        <w:rPr>
          <w:rFonts w:eastAsia="Calibri" w:cs="Arial"/>
          <w:szCs w:val="20"/>
          <w:lang w:val="sl-SI"/>
        </w:rPr>
        <w:t xml:space="preserve"> (v letu 2014). Postopkov terciarnega čiščenja odpadnih voda v letu 2002 v Sloveniji skoraj ni bilo, v letu 2014 pa je bilo po takih postopkih prečiščenih 50 % odpadne vode. V Sloveniji so po podatkih iz leta 2014 na čistilno napravo priključene odpadne vode 58 % prebivalcev. </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Na vodnem območju (VO) Donave je bilo v letu 2012 skupno 989 iztokov industrijske odpadne vode (iz 613 naprav), od tega 406 iztokov, prek katerih se industrijska odpadna voda odvaja neposredno v površinske vode ali javno kanalizacijo, ki se ne zaključi s komunalno čistilno napravo (v nadaljnjem besedilu: KČN). Pri preostalih  iztokih gre za iztoke v javno kanalizacijo, ki se zaključi s komunalno čistilno napravo. Na vseh porečjih VO Donave se kaže splošni trend upadanja prednostnih in prednostno nevarnih snovi v izpustih industrijske odpadne vode v obdobju 2008–2012. Leta 2012 je bilo največ naprav, ki odvajajo industrijsko odpadno vodo neposredno v površinske vode, na porečju Save. </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Na VO Jadranskega morja je skupno 115 iztokov industrijske odpadne vode iz 93 naprav, od tega 92 iztokov, prek katerih se industrijska odpadna voda odvaja neposredno v površinske vode ali javno kanalizacijo, ki se ne zaključi s KČN. Na vseh povodjih VO Jadransko morje se kaže splošni trend upadanja prednostnih in prednostno nevarnih snovi v izpustih industrijske odpadne vode za obdobje 2008–2012. </w:t>
      </w:r>
    </w:p>
    <w:p w:rsidR="00E40322" w:rsidRPr="005771BD" w:rsidRDefault="00E40322" w:rsidP="00E40322">
      <w:pPr>
        <w:spacing w:after="200" w:line="276" w:lineRule="auto"/>
        <w:jc w:val="both"/>
        <w:rPr>
          <w:rFonts w:eastAsia="Calibri" w:cs="Arial"/>
          <w:szCs w:val="20"/>
          <w:lang w:val="sl-SI"/>
        </w:rPr>
      </w:pPr>
      <w:r w:rsidRPr="007F272F">
        <w:rPr>
          <w:rFonts w:eastAsia="Calibri" w:cs="Arial"/>
          <w:noProof/>
          <w:szCs w:val="20"/>
          <w:lang w:val="sl-SI" w:eastAsia="sl-SI"/>
        </w:rPr>
        <w:drawing>
          <wp:inline distT="0" distB="0" distL="0" distR="0" wp14:anchorId="6C887E5F" wp14:editId="4B64E4BE">
            <wp:extent cx="5047615" cy="3481070"/>
            <wp:effectExtent l="0" t="0" r="635" b="5080"/>
            <wp:docPr id="64" name="Slika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047615" cy="3481070"/>
                    </a:xfrm>
                    <a:prstGeom prst="rect">
                      <a:avLst/>
                    </a:prstGeom>
                    <a:noFill/>
                  </pic:spPr>
                </pic:pic>
              </a:graphicData>
            </a:graphic>
          </wp:inline>
        </w:drawing>
      </w:r>
    </w:p>
    <w:p w:rsidR="00E40322" w:rsidRPr="005771BD" w:rsidRDefault="00E40322" w:rsidP="001323F1">
      <w:pPr>
        <w:spacing w:line="276" w:lineRule="auto"/>
        <w:jc w:val="both"/>
        <w:rPr>
          <w:rFonts w:eastAsia="Calibri" w:cs="Arial"/>
          <w:i/>
          <w:szCs w:val="20"/>
          <w:lang w:val="sl-SI"/>
        </w:rPr>
      </w:pPr>
      <w:r w:rsidRPr="005771BD">
        <w:rPr>
          <w:rFonts w:eastAsia="Calibri" w:cs="Arial"/>
          <w:i/>
          <w:szCs w:val="20"/>
          <w:lang w:val="sl-SI"/>
        </w:rPr>
        <w:t xml:space="preserve">Slika </w:t>
      </w:r>
      <w:r w:rsidR="007C37DF">
        <w:rPr>
          <w:rFonts w:eastAsia="Calibri" w:cs="Arial"/>
          <w:i/>
          <w:szCs w:val="20"/>
          <w:lang w:val="sl-SI"/>
        </w:rPr>
        <w:t>7</w:t>
      </w:r>
      <w:r w:rsidRPr="005771BD">
        <w:rPr>
          <w:rFonts w:eastAsia="Calibri" w:cs="Arial"/>
          <w:i/>
          <w:szCs w:val="20"/>
          <w:lang w:val="sl-SI"/>
        </w:rPr>
        <w:t>.7: Vsebnost nitratov v pitni vodi, Slovenija, 2014</w:t>
      </w:r>
    </w:p>
    <w:p w:rsidR="00E40322" w:rsidRPr="005771BD" w:rsidRDefault="00E40322" w:rsidP="00E40322">
      <w:pPr>
        <w:spacing w:after="200" w:line="276" w:lineRule="auto"/>
        <w:jc w:val="both"/>
        <w:rPr>
          <w:rFonts w:eastAsia="Calibri" w:cs="Arial"/>
          <w:i/>
          <w:szCs w:val="20"/>
          <w:lang w:val="sl-SI"/>
        </w:rPr>
      </w:pPr>
      <w:r w:rsidRPr="005771BD">
        <w:rPr>
          <w:rFonts w:eastAsia="Calibri" w:cs="Arial"/>
          <w:i/>
          <w:szCs w:val="20"/>
          <w:lang w:val="sl-SI"/>
        </w:rPr>
        <w:t>Vir: ARSO, Kazalci okolja, oktober 2016</w:t>
      </w:r>
    </w:p>
    <w:p w:rsidR="00E40322"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Do </w:t>
      </w:r>
      <w:r w:rsidRPr="005771BD">
        <w:rPr>
          <w:rFonts w:eastAsia="Calibri" w:cs="Arial"/>
          <w:b/>
          <w:szCs w:val="20"/>
          <w:lang w:val="sl-SI"/>
        </w:rPr>
        <w:t>obremenitev s hranili iz kmetijstva</w:t>
      </w:r>
      <w:r w:rsidRPr="005771BD">
        <w:rPr>
          <w:rFonts w:eastAsia="Calibri" w:cs="Arial"/>
          <w:szCs w:val="20"/>
          <w:lang w:val="sl-SI"/>
        </w:rPr>
        <w:t xml:space="preserve"> prihaja zaradi rabe živinskih gnojil, mineralnih gnojil in gnojilne gošče iz večjih živinskih obratov. Na VO Donave so bile izračunane višje povprečne bilance </w:t>
      </w:r>
      <w:r w:rsidRPr="005771BD">
        <w:rPr>
          <w:rFonts w:eastAsia="Calibri" w:cs="Arial"/>
          <w:b/>
          <w:szCs w:val="20"/>
          <w:lang w:val="sl-SI"/>
        </w:rPr>
        <w:t>dušika</w:t>
      </w:r>
      <w:r w:rsidRPr="005771BD">
        <w:rPr>
          <w:rFonts w:eastAsia="Calibri" w:cs="Arial"/>
          <w:szCs w:val="20"/>
          <w:lang w:val="sl-SI"/>
        </w:rPr>
        <w:t xml:space="preserve"> na kmetijskih zemljiščih kot na VO Jadranskega morja. Na VO Donave je najvišja povprečna bilanca dušika na kmetijskih zemljiščih na porečju Mure in Drave (65 kg/ha). Ob upoštevanju spiranja dušika so bile največje emisije dušika iz kmetijstva izračunane na porečjih Drave (več kakor 1300 t/leto) in Mure (več kakor 870 t/leto) in spodje Save (več kakor 630 t/leto), na porečjih srednje Save (več kakor 550 t/leto), Savinje (več kakor 450 t/leto) in zgornje Save (več kakor 300 t/leto).  Na VO Jadranskega morja je najvišja povprečna bilanca dušika na kmetijskih zemljiščih na povodju Soče (17 kg/ha). Na povodju Soče ocenjeni dušik iz kmetijstva znaša preko 120 t/leto in na porečju jadranskih rek 23 t/leto. </w:t>
      </w:r>
    </w:p>
    <w:p w:rsidR="007C37DF" w:rsidRPr="005771BD" w:rsidRDefault="007C37DF" w:rsidP="007C37DF">
      <w:pPr>
        <w:spacing w:after="200" w:line="276" w:lineRule="auto"/>
        <w:jc w:val="both"/>
        <w:rPr>
          <w:rFonts w:eastAsia="Calibri" w:cs="Arial"/>
          <w:szCs w:val="20"/>
          <w:lang w:val="sl-SI"/>
        </w:rPr>
      </w:pPr>
      <w:r w:rsidRPr="005771BD">
        <w:rPr>
          <w:rFonts w:eastAsia="Calibri" w:cs="Arial"/>
          <w:szCs w:val="20"/>
          <w:lang w:val="sl-SI"/>
        </w:rPr>
        <w:t xml:space="preserve">Na VO Donave je povprečna bilanca </w:t>
      </w:r>
      <w:r w:rsidRPr="005771BD">
        <w:rPr>
          <w:rFonts w:eastAsia="Calibri" w:cs="Arial"/>
          <w:b/>
          <w:szCs w:val="20"/>
          <w:lang w:val="sl-SI"/>
        </w:rPr>
        <w:t>fosforja</w:t>
      </w:r>
      <w:r w:rsidRPr="005771BD">
        <w:rPr>
          <w:rFonts w:eastAsia="Calibri" w:cs="Arial"/>
          <w:szCs w:val="20"/>
          <w:lang w:val="sl-SI"/>
        </w:rPr>
        <w:t xml:space="preserve"> na kmetijskih zemljiščih negativna. Najvišje vrednosti bilance fosforja na kmetijskih zemljiščih so izračunane na porečjih Drave in Mure. Kljub temu pa je bila na približno 20 vodnih telesih površinskih voda (VTPV) izračunana pozitivna bilanca (npr. VT Polskava – Zgornja Polskava – Tržec, MPVT zadrževalnik Gajševsko jezero, UVT Gruberjev prekop). Najvišje emisije  fosforja v površinske vode so bile izračunane na porečju Drave (2845 kg/leto) in Mure (1388 kg/leto). Na porečju zgornje Save so ocenjene količine fosforja okrog 100 kg/leto na porečjih Savinje, spodnje Save, srednje Save pa pod 50 kg/leto. Tudi na VO Jadranskega morja je povprečna bilanca fosforja na kmetijskih zemljiščih negativna. Kljub temu pa je bila na nekaterih posameznih vodnih telesih izračunana pozitivna bilanca (npr. VT Dragonja –Topolovec – Brič). Količina emisij fosforja iz kmetijstva na porečju jadranskih rek je ocenjena na približno 230 kg/leto in na Soči 150 kg/leto.</w:t>
      </w:r>
    </w:p>
    <w:p w:rsidR="007C37DF" w:rsidRPr="005771BD" w:rsidRDefault="007C37DF" w:rsidP="00E40322">
      <w:pPr>
        <w:spacing w:after="200" w:line="276" w:lineRule="auto"/>
        <w:jc w:val="both"/>
        <w:rPr>
          <w:rFonts w:eastAsia="Calibri" w:cs="Arial"/>
          <w:szCs w:val="20"/>
          <w:lang w:val="sl-SI"/>
        </w:rPr>
      </w:pPr>
    </w:p>
    <w:p w:rsidR="00E40322" w:rsidRPr="005771BD" w:rsidRDefault="00E40322" w:rsidP="00E40322">
      <w:pPr>
        <w:spacing w:after="200" w:line="276" w:lineRule="auto"/>
        <w:jc w:val="both"/>
        <w:rPr>
          <w:rFonts w:eastAsia="Calibri" w:cs="Arial"/>
          <w:szCs w:val="20"/>
          <w:lang w:val="sl-SI"/>
        </w:rPr>
      </w:pPr>
      <w:r w:rsidRPr="007F272F">
        <w:rPr>
          <w:rFonts w:eastAsia="Calibri" w:cs="Arial"/>
          <w:noProof/>
          <w:szCs w:val="20"/>
          <w:lang w:val="sl-SI" w:eastAsia="sl-SI"/>
        </w:rPr>
        <w:drawing>
          <wp:inline distT="0" distB="0" distL="0" distR="0" wp14:anchorId="78A82BF4" wp14:editId="66AB3529">
            <wp:extent cx="4968875" cy="3493135"/>
            <wp:effectExtent l="0" t="0" r="3175" b="0"/>
            <wp:docPr id="65" name="Slika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968875" cy="3493135"/>
                    </a:xfrm>
                    <a:prstGeom prst="rect">
                      <a:avLst/>
                    </a:prstGeom>
                    <a:noFill/>
                  </pic:spPr>
                </pic:pic>
              </a:graphicData>
            </a:graphic>
          </wp:inline>
        </w:drawing>
      </w:r>
    </w:p>
    <w:p w:rsidR="00E40322" w:rsidRPr="005771BD" w:rsidRDefault="00E40322" w:rsidP="007C37DF">
      <w:pPr>
        <w:spacing w:line="276" w:lineRule="auto"/>
        <w:jc w:val="both"/>
        <w:rPr>
          <w:rFonts w:eastAsia="Calibri" w:cs="Arial"/>
          <w:i/>
          <w:szCs w:val="20"/>
          <w:lang w:val="sl-SI"/>
        </w:rPr>
      </w:pPr>
      <w:r w:rsidRPr="005771BD">
        <w:rPr>
          <w:rFonts w:eastAsia="Calibri" w:cs="Arial"/>
          <w:i/>
          <w:szCs w:val="20"/>
          <w:lang w:val="sl-SI"/>
        </w:rPr>
        <w:t xml:space="preserve">Slika </w:t>
      </w:r>
      <w:r w:rsidR="007C37DF">
        <w:rPr>
          <w:rFonts w:eastAsia="Calibri" w:cs="Arial"/>
          <w:i/>
          <w:szCs w:val="20"/>
          <w:lang w:val="sl-SI"/>
        </w:rPr>
        <w:t>7</w:t>
      </w:r>
      <w:r w:rsidRPr="005771BD">
        <w:rPr>
          <w:rFonts w:eastAsia="Calibri" w:cs="Arial"/>
          <w:i/>
          <w:szCs w:val="20"/>
          <w:lang w:val="sl-SI"/>
        </w:rPr>
        <w:t xml:space="preserve">.8: Vsebnost vsote pesticidov v pitni vodi, Slovenija, 2014 </w:t>
      </w:r>
    </w:p>
    <w:p w:rsidR="00E40322" w:rsidRPr="005771BD" w:rsidRDefault="00E40322" w:rsidP="00E40322">
      <w:pPr>
        <w:spacing w:after="200" w:line="276" w:lineRule="auto"/>
        <w:jc w:val="both"/>
        <w:rPr>
          <w:rFonts w:eastAsia="Calibri" w:cs="Arial"/>
          <w:i/>
          <w:szCs w:val="20"/>
          <w:lang w:val="sl-SI"/>
        </w:rPr>
      </w:pPr>
      <w:r w:rsidRPr="005771BD">
        <w:rPr>
          <w:rFonts w:eastAsia="Calibri" w:cs="Arial"/>
          <w:i/>
          <w:szCs w:val="20"/>
          <w:lang w:val="sl-SI"/>
        </w:rPr>
        <w:t>Vir: ARSO, Kazalci okolja, oktober 2016</w:t>
      </w:r>
    </w:p>
    <w:p w:rsidR="00E40322" w:rsidRPr="005771BD" w:rsidRDefault="00E40322" w:rsidP="00E40322">
      <w:pPr>
        <w:spacing w:after="200" w:line="276" w:lineRule="auto"/>
        <w:jc w:val="both"/>
        <w:rPr>
          <w:rFonts w:eastAsia="Calibri" w:cs="Arial"/>
          <w:szCs w:val="20"/>
          <w:lang w:val="sl-SI"/>
        </w:rPr>
      </w:pPr>
      <w:bookmarkStart w:id="6" w:name="_Toc419099237"/>
      <w:bookmarkStart w:id="7" w:name="_Toc366228303"/>
      <w:r w:rsidRPr="005771BD">
        <w:rPr>
          <w:rFonts w:eastAsia="Calibri" w:cs="Arial"/>
          <w:b/>
          <w:szCs w:val="20"/>
          <w:lang w:val="sl-SI"/>
        </w:rPr>
        <w:t>Hidromorfološke obremenitve</w:t>
      </w:r>
      <w:bookmarkEnd w:id="6"/>
      <w:bookmarkEnd w:id="7"/>
      <w:r w:rsidRPr="005771BD">
        <w:rPr>
          <w:rFonts w:eastAsia="Calibri" w:cs="Arial"/>
          <w:b/>
          <w:szCs w:val="20"/>
          <w:lang w:val="sl-SI"/>
        </w:rPr>
        <w:t xml:space="preserve"> površinskih voda: </w:t>
      </w:r>
      <w:r w:rsidRPr="005771BD">
        <w:rPr>
          <w:rFonts w:eastAsia="Calibri" w:cs="Arial"/>
          <w:szCs w:val="20"/>
          <w:lang w:val="sl-SI"/>
        </w:rPr>
        <w:t xml:space="preserve">hidromorfološke obremenitve površinskih voda so posegi v količino in dinamiko vode, kot tudi fizične spremembe vodnega in obvodnega prostora in pomembno vplivajo na stanje voda. Mednje v splošnem uvrščamo odvzeme vode, količinsko pomembne izpuste (odpadne) vode, razbremenilnike, zadrževalnike, hidroelektrarne, regulacije in druge ureditve vodotokov, posege v obrežni in obalni pas, osuševalne in namakalne sisteme ter spremenjeno rabo tal. </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Na VO Donave se največ vode odvzema na območju Drave, kjer se največji delež vode odvzema za potrebe obratovanja hidroelektrarn </w:t>
      </w:r>
      <w:r w:rsidR="00421EBA">
        <w:rPr>
          <w:rFonts w:eastAsia="Calibri" w:cs="Arial"/>
          <w:szCs w:val="20"/>
          <w:lang w:val="sl-SI"/>
        </w:rPr>
        <w:t xml:space="preserve">(v zvezi z obratovanjem hidroelektrarn gre za izrabo vode, saj se ta vrne v strugo), </w:t>
      </w:r>
      <w:r w:rsidRPr="005771BD">
        <w:rPr>
          <w:rFonts w:eastAsia="Calibri" w:cs="Arial"/>
          <w:szCs w:val="20"/>
          <w:lang w:val="sl-SI"/>
        </w:rPr>
        <w:t>ter na območju spodnje in zgornje Save</w:t>
      </w:r>
      <w:r w:rsidR="00421EBA">
        <w:rPr>
          <w:rFonts w:eastAsia="Calibri" w:cs="Arial"/>
          <w:szCs w:val="20"/>
          <w:lang w:val="sl-SI"/>
        </w:rPr>
        <w:t xml:space="preserve">. </w:t>
      </w:r>
      <w:r w:rsidRPr="005771BD">
        <w:rPr>
          <w:rFonts w:eastAsia="Calibri" w:cs="Arial"/>
          <w:szCs w:val="20"/>
          <w:lang w:val="sl-SI"/>
        </w:rPr>
        <w:t xml:space="preserve">Na VO Jadranskega morja se največ vode odvzema na povodju Soče. Največje število prečnih objektov na VO Donave je na območju zgornje Save (1248) in območjih Drave (556), srednje Save (222), Savinje (190), spodnje Save 94 in Mure (6). Na VO Jadranskega morja je 525 prečnih objektov na povodju Soče in 226 na povodju jadranskih rek. Na </w:t>
      </w:r>
      <w:r w:rsidRPr="005771BD">
        <w:rPr>
          <w:rFonts w:eastAsia="Calibri" w:cs="Arial"/>
          <w:szCs w:val="20"/>
          <w:u w:val="single"/>
          <w:lang w:val="sl-SI"/>
        </w:rPr>
        <w:t>VO Donave</w:t>
      </w:r>
      <w:r w:rsidRPr="005771BD">
        <w:rPr>
          <w:rFonts w:eastAsia="Calibri" w:cs="Arial"/>
          <w:szCs w:val="20"/>
          <w:lang w:val="sl-SI"/>
        </w:rPr>
        <w:t xml:space="preserve"> največji delež vodotokov spada v razred </w:t>
      </w:r>
      <w:r w:rsidRPr="005771BD">
        <w:rPr>
          <w:rFonts w:eastAsia="Calibri" w:cs="Arial"/>
          <w:szCs w:val="20"/>
          <w:u w:val="single"/>
          <w:lang w:val="sl-SI"/>
        </w:rPr>
        <w:t>zmerno spremenjenih vodotokov</w:t>
      </w:r>
      <w:r w:rsidRPr="005771BD">
        <w:rPr>
          <w:rFonts w:eastAsia="Calibri" w:cs="Arial"/>
          <w:szCs w:val="20"/>
          <w:lang w:val="sl-SI"/>
        </w:rPr>
        <w:t xml:space="preserve">. Najmanjši dolžinski delež naravnih vodotokov (razred A – naravni ali zelo malo spremenjen vodotok) in največji dolžinski delež zelo močno spremenjenih vodotokov (razred D – močno ali zelo močno spremenjeni vodotoki) je na povodju Drave. Na VO Jadranskega morja največji delež vodotokov spada v razred naravnih vodotokov (razred A). Največji dolžinski delež zelo močno spremenjenih vodotokov (razred D) je na povodju Soče. Največji dolžinski delež vodotokov, ki spadajo v razred naravnih vodotokov (razred A), je na povodju jadranskih rek z morjem. </w:t>
      </w:r>
    </w:p>
    <w:p w:rsidR="00E40322" w:rsidRPr="005771BD" w:rsidRDefault="00E40322" w:rsidP="007C37DF">
      <w:pPr>
        <w:spacing w:after="360" w:line="276" w:lineRule="auto"/>
        <w:jc w:val="both"/>
        <w:rPr>
          <w:rFonts w:eastAsia="Calibri" w:cs="Arial"/>
          <w:szCs w:val="20"/>
          <w:lang w:val="sl-SI"/>
        </w:rPr>
      </w:pPr>
      <w:r w:rsidRPr="005771BD">
        <w:rPr>
          <w:rFonts w:eastAsia="Calibri" w:cs="Arial"/>
          <w:b/>
          <w:szCs w:val="20"/>
          <w:lang w:val="sl-SI"/>
        </w:rPr>
        <w:t xml:space="preserve">Biološke obremenitve: </w:t>
      </w:r>
      <w:r w:rsidRPr="005771BD">
        <w:rPr>
          <w:rFonts w:eastAsia="Calibri" w:cs="Arial"/>
          <w:szCs w:val="20"/>
          <w:lang w:val="sl-SI"/>
        </w:rPr>
        <w:t xml:space="preserve">biološke obremenitve voda so tiste, ki lahko neposredno vplivajo na organizme, bodisi na njihovo količino ali kakovost. Biološke obremenitve vplivajo na zgradbo in delovanje vodnega ekosistema in s tem na njegovo naravno ravnovesje. Po podatkih, zbranih za potrebe priprave drugega načrta upravljanja voda, je bilo do leta 2014 v Republiki Sloveniji v naravi  registriranih </w:t>
      </w:r>
      <w:r w:rsidRPr="005771BD">
        <w:rPr>
          <w:rFonts w:eastAsia="Calibri" w:cs="Arial"/>
          <w:b/>
          <w:szCs w:val="20"/>
          <w:lang w:val="sl-SI"/>
        </w:rPr>
        <w:t>17 tujerodnih vrst rib</w:t>
      </w:r>
      <w:r w:rsidRPr="005771BD">
        <w:rPr>
          <w:rFonts w:eastAsia="Calibri" w:cs="Arial"/>
          <w:szCs w:val="20"/>
          <w:lang w:val="sl-SI"/>
        </w:rPr>
        <w:t xml:space="preserve"> iz šestih družin, v letu 2014 pa še sedem dodatnih tujerodnih vrst rib v VO Donave in sedem dodatnih tujerodnih vrst rib v VO Jadranskega morja. Od drugih tujerodnih vrst živali so v vodnem območju Slovenije v naravi vsaj dve tujerodni vrsti rakov, dve vrsti invazivnih školjk, ena vrsta tujerodnega sladkovodnega polža</w:t>
      </w:r>
      <w:r w:rsidRPr="005771BD">
        <w:rPr>
          <w:rFonts w:eastAsia="Calibri" w:cs="Arial"/>
          <w:i/>
          <w:szCs w:val="20"/>
          <w:lang w:val="sl-SI"/>
        </w:rPr>
        <w:t xml:space="preserve">, </w:t>
      </w:r>
      <w:r w:rsidRPr="005771BD">
        <w:rPr>
          <w:rFonts w:eastAsia="Calibri" w:cs="Arial"/>
          <w:szCs w:val="20"/>
          <w:lang w:val="sl-SI"/>
        </w:rPr>
        <w:t>ena tujerodna vrsta želve z dvema podvrstama, vsaj dve tujerodni vrsti sesalca in ena vrsta dvoživke.</w:t>
      </w:r>
    </w:p>
    <w:p w:rsidR="00E40322" w:rsidRPr="005771BD" w:rsidRDefault="007C37DF" w:rsidP="00E40322">
      <w:pPr>
        <w:spacing w:after="200" w:line="276" w:lineRule="auto"/>
        <w:jc w:val="both"/>
        <w:rPr>
          <w:rFonts w:eastAsia="Calibri" w:cs="Arial"/>
          <w:b/>
          <w:bCs/>
          <w:i/>
          <w:szCs w:val="20"/>
          <w:u w:val="single"/>
          <w:lang w:val="sl-SI"/>
        </w:rPr>
      </w:pPr>
      <w:r>
        <w:rPr>
          <w:rFonts w:eastAsia="Calibri" w:cs="Arial"/>
          <w:b/>
          <w:bCs/>
          <w:szCs w:val="20"/>
          <w:u w:val="single"/>
          <w:lang w:val="sl-SI"/>
        </w:rPr>
        <w:t>7</w:t>
      </w:r>
      <w:r w:rsidR="00E40322" w:rsidRPr="005771BD">
        <w:rPr>
          <w:rFonts w:eastAsia="Calibri" w:cs="Arial"/>
          <w:b/>
          <w:bCs/>
          <w:szCs w:val="20"/>
          <w:u w:val="single"/>
          <w:lang w:val="sl-SI"/>
        </w:rPr>
        <w:t>.4 Značilnosti</w:t>
      </w:r>
      <w:r w:rsidR="00E40322">
        <w:rPr>
          <w:rFonts w:eastAsia="Calibri" w:cs="Arial"/>
          <w:b/>
          <w:bCs/>
          <w:szCs w:val="20"/>
          <w:u w:val="single"/>
          <w:lang w:val="sl-SI"/>
        </w:rPr>
        <w:t>, obremenitve in stanje</w:t>
      </w:r>
      <w:r w:rsidR="00E40322" w:rsidRPr="005771BD">
        <w:rPr>
          <w:rFonts w:eastAsia="Calibri" w:cs="Arial"/>
          <w:b/>
          <w:bCs/>
          <w:szCs w:val="20"/>
          <w:u w:val="single"/>
          <w:lang w:val="sl-SI"/>
        </w:rPr>
        <w:t xml:space="preserve"> morskih voda</w:t>
      </w:r>
    </w:p>
    <w:p w:rsidR="00E40322" w:rsidRPr="005771BD" w:rsidRDefault="007C37DF" w:rsidP="00E40322">
      <w:pPr>
        <w:spacing w:after="200" w:line="276" w:lineRule="auto"/>
        <w:jc w:val="both"/>
        <w:rPr>
          <w:rFonts w:eastAsia="Calibri" w:cs="Arial"/>
          <w:b/>
          <w:szCs w:val="20"/>
          <w:lang w:val="sl-SI"/>
        </w:rPr>
      </w:pPr>
      <w:r>
        <w:rPr>
          <w:rFonts w:eastAsia="Calibri" w:cs="Arial"/>
          <w:b/>
          <w:szCs w:val="20"/>
          <w:lang w:val="sl-SI"/>
        </w:rPr>
        <w:t>7</w:t>
      </w:r>
      <w:r w:rsidR="00E40322" w:rsidRPr="005771BD">
        <w:rPr>
          <w:rFonts w:eastAsia="Calibri" w:cs="Arial"/>
          <w:b/>
          <w:szCs w:val="20"/>
          <w:lang w:val="sl-SI"/>
        </w:rPr>
        <w:t>.4.1 Značilnosti morskih voda</w:t>
      </w:r>
    </w:p>
    <w:p w:rsidR="00E40322" w:rsidRPr="007C37DF" w:rsidRDefault="007C37DF" w:rsidP="00E40322">
      <w:pPr>
        <w:spacing w:after="200" w:line="276" w:lineRule="auto"/>
        <w:jc w:val="both"/>
        <w:rPr>
          <w:rFonts w:eastAsia="Calibri" w:cs="Arial"/>
          <w:szCs w:val="20"/>
          <w:u w:val="single"/>
          <w:lang w:val="sl-SI"/>
        </w:rPr>
      </w:pPr>
      <w:r w:rsidRPr="007C37DF">
        <w:rPr>
          <w:rFonts w:eastAsia="Calibri" w:cs="Arial"/>
          <w:szCs w:val="20"/>
          <w:u w:val="single"/>
          <w:lang w:val="sl-SI"/>
        </w:rPr>
        <w:t>7</w:t>
      </w:r>
      <w:r w:rsidR="00E40322" w:rsidRPr="007C37DF">
        <w:rPr>
          <w:rFonts w:eastAsia="Calibri" w:cs="Arial"/>
          <w:szCs w:val="20"/>
          <w:u w:val="single"/>
          <w:lang w:val="sl-SI"/>
        </w:rPr>
        <w:t>.4.1.1 Fizikalno-kemijske značilnosti morskih voda</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Slovensko morje je del Jadranskega morja, ki je polzaprto območje na skrajnem severnem delu Sredozemlja. Slovensko morje je zelo plitvo in le izjemoma presega globino 25 m. Zalivi ob slovenski obali imajo precej strmo obalo, ki se že v globini od pet do deset metrov hitro prevesi v položno podvodno ravnico. Obalo sestavljajo flišne plasti eocenske starosti, za katere je značilno menjavanje trdih peščenjakov in mehkega laporja. </w:t>
      </w:r>
    </w:p>
    <w:p w:rsidR="00E40322" w:rsidRPr="005771BD" w:rsidRDefault="00E40322" w:rsidP="00E40322">
      <w:pPr>
        <w:spacing w:after="200" w:line="276" w:lineRule="auto"/>
        <w:jc w:val="both"/>
        <w:rPr>
          <w:rFonts w:eastAsia="Calibri" w:cs="Arial"/>
          <w:b/>
          <w:szCs w:val="20"/>
          <w:lang w:val="sl-SI"/>
        </w:rPr>
      </w:pPr>
      <w:r w:rsidRPr="005771BD">
        <w:rPr>
          <w:rFonts w:eastAsia="Calibri" w:cs="Arial"/>
          <w:b/>
          <w:szCs w:val="20"/>
          <w:lang w:val="sl-SI"/>
        </w:rPr>
        <w:t>Prodiranje svetlobe</w:t>
      </w:r>
      <w:r w:rsidRPr="005771BD">
        <w:rPr>
          <w:rFonts w:eastAsia="Calibri" w:cs="Arial"/>
          <w:szCs w:val="20"/>
          <w:lang w:val="sl-SI"/>
        </w:rPr>
        <w:t xml:space="preserve"> v morje je ključna lastnost, ki vpliva na proces fotosinteze in s tem na morski ekosistem. V slovenskem morju je povprečna prosojnost od sedem do in devet metrov globine. </w:t>
      </w:r>
      <w:r>
        <w:rPr>
          <w:rFonts w:eastAsia="Calibri" w:cs="Arial"/>
          <w:szCs w:val="20"/>
          <w:lang w:val="sl-SI"/>
        </w:rPr>
        <w:t>P</w:t>
      </w:r>
      <w:r w:rsidRPr="005771BD">
        <w:rPr>
          <w:rFonts w:eastAsia="Calibri" w:cs="Arial"/>
          <w:szCs w:val="20"/>
          <w:lang w:val="sl-SI"/>
        </w:rPr>
        <w:t>rosojnost v slovenskem morju je</w:t>
      </w:r>
      <w:r>
        <w:rPr>
          <w:rFonts w:eastAsia="Calibri" w:cs="Arial"/>
          <w:szCs w:val="20"/>
          <w:lang w:val="sl-SI"/>
        </w:rPr>
        <w:t xml:space="preserve"> večja</w:t>
      </w:r>
      <w:r w:rsidRPr="005771BD">
        <w:rPr>
          <w:rFonts w:eastAsia="Calibri" w:cs="Arial"/>
          <w:szCs w:val="20"/>
          <w:lang w:val="sl-SI"/>
        </w:rPr>
        <w:t xml:space="preserve"> v februarju in poleti, nižja prosojnost pa v spomladanskem in jesenskem času, ko se kalnost morske vode zaradi več padavin in večjega dotoka sladke vode poveča. </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Jadransko morje je v primerjavi z drugimi morji </w:t>
      </w:r>
      <w:r w:rsidRPr="005771BD">
        <w:rPr>
          <w:rFonts w:eastAsia="Calibri" w:cs="Arial"/>
          <w:b/>
          <w:szCs w:val="20"/>
          <w:lang w:val="sl-SI"/>
        </w:rPr>
        <w:t>zmerno toplo morje</w:t>
      </w:r>
      <w:r w:rsidRPr="005771BD">
        <w:rPr>
          <w:rFonts w:eastAsia="Calibri" w:cs="Arial"/>
          <w:szCs w:val="20"/>
          <w:lang w:val="sl-SI"/>
        </w:rPr>
        <w:t xml:space="preserve">, saj so tudi vode v najglobljem delu večinoma toplejše od 10 °C. V slovenskem morju se povprečne letne temperature v površinskem sloju gibljejo med 8,3 °C (v zimskem času) in 24,5 °C (v poletnem času), v pridnenem sloju pa med 15,4 °C in 13,9 °C. </w:t>
      </w:r>
    </w:p>
    <w:p w:rsidR="00E40322" w:rsidRPr="005771BD" w:rsidRDefault="00E40322" w:rsidP="00E40322">
      <w:pPr>
        <w:spacing w:after="200" w:line="276" w:lineRule="auto"/>
        <w:jc w:val="both"/>
        <w:rPr>
          <w:rFonts w:eastAsia="Calibri" w:cs="Arial"/>
          <w:szCs w:val="20"/>
          <w:lang w:val="sl-SI"/>
        </w:rPr>
      </w:pPr>
      <w:r w:rsidRPr="005771BD">
        <w:rPr>
          <w:rFonts w:eastAsia="Calibri" w:cs="Arial"/>
          <w:b/>
          <w:szCs w:val="20"/>
          <w:lang w:val="sl-SI"/>
        </w:rPr>
        <w:t xml:space="preserve">Slanost </w:t>
      </w:r>
      <w:r w:rsidRPr="005771BD">
        <w:rPr>
          <w:rFonts w:eastAsia="Calibri" w:cs="Arial"/>
          <w:szCs w:val="20"/>
          <w:lang w:val="sl-SI"/>
        </w:rPr>
        <w:t xml:space="preserve">Jadranskega morja z 38,3 psu presega povprečje Sredozemskega morja, v severnem delu Jadranskega morja je slanost nekoliko nižja zaradi pritokov rek, saj se v ta del morja izliva približno ena tretjina vseh rek, ki se izlivajo v Sredozemsko morje, oziroma polovica celinskih voda, ki se izlivajo v Jadran. Največja nihanja v slanosti so značilna za površinski sloj. </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Vodni stolpec je v zimskem obdobju dokaj homogen, saj so temperaturne razlike med površino in dnom majhne, slanost pa je v celotnem vodnem stolpcu homogena. V pomladanskem času zaradi padavin in povečanega dotoka sladke vode površinski sloj morja postane nehomogen, vzpostavi se termoklina, zato nastaneta dva sloja – toplejši površinski in hladnejši spodnji sloj. Slanost je spremenljiva v površinskem sloju, na dnu je homogena. V jesenskem času (oktobra) se začne površinski sloj ohlajati, zato se spodnji in zgornji sloj začneta spet mešati. </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Opazen je trend zviševanja </w:t>
      </w:r>
      <w:r w:rsidRPr="005771BD">
        <w:rPr>
          <w:rFonts w:eastAsia="Calibri" w:cs="Arial"/>
          <w:b/>
          <w:szCs w:val="20"/>
          <w:lang w:val="sl-SI"/>
        </w:rPr>
        <w:t>gladine slovenskega morja</w:t>
      </w:r>
      <w:r w:rsidRPr="005771BD">
        <w:rPr>
          <w:rFonts w:eastAsia="Calibri" w:cs="Arial"/>
          <w:szCs w:val="20"/>
          <w:lang w:val="sl-SI"/>
        </w:rPr>
        <w:t xml:space="preserve"> (meritve v obdobju 1960–2006). Višina morja, pri kateri morje začne poplavljati slovensko obalo, je 300 cm mareografske višine. V obdobju 1961–2006 je višina morja kar 397-krat dosegla ali presegla točko poplavljanja, rekordno število poplav je bilo v letih 2009 in 2010. Do poplav morja večinoma prihaja v jesensko-zimskem času, občasno tudi v spomladanskih mesecih, število ekstremnih dogodkov pa se v zadnjih letih povečuje.</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V Jadranskem morju je </w:t>
      </w:r>
      <w:r w:rsidRPr="005771BD">
        <w:rPr>
          <w:rFonts w:eastAsia="Calibri" w:cs="Arial"/>
          <w:b/>
          <w:szCs w:val="20"/>
          <w:lang w:val="sl-SI"/>
        </w:rPr>
        <w:t>več značilnih vetrov</w:t>
      </w:r>
      <w:r w:rsidRPr="005771BD">
        <w:rPr>
          <w:rFonts w:eastAsia="Calibri" w:cs="Arial"/>
          <w:szCs w:val="20"/>
          <w:lang w:val="sl-SI"/>
        </w:rPr>
        <w:t xml:space="preserve">, ki so tramontana, burin, burja, levant, jugo, oštro, lebič, ponente in maestral. Valovi v slovenskem morju so večinoma posledica vetrov, in sicer juga in burje. Jugo povzroča večje in daljše valove kot burja, kljub temu pa najvišji valovi nastajajo ob burji. Značilni površinski valovi v Tržaškem zalivu so visoki okoli 0,5 m, značilna največja višina valov je dva metra. </w:t>
      </w:r>
    </w:p>
    <w:p w:rsidR="00E40322" w:rsidRPr="005771BD" w:rsidRDefault="00E40322" w:rsidP="007C37DF">
      <w:pPr>
        <w:spacing w:after="360" w:line="276" w:lineRule="auto"/>
        <w:jc w:val="both"/>
        <w:rPr>
          <w:rFonts w:eastAsia="Calibri" w:cs="Arial"/>
          <w:szCs w:val="20"/>
          <w:lang w:val="sl-SI"/>
        </w:rPr>
      </w:pPr>
      <w:r w:rsidRPr="005771BD">
        <w:rPr>
          <w:rFonts w:eastAsia="Calibri" w:cs="Arial"/>
          <w:szCs w:val="20"/>
          <w:lang w:val="sl-SI"/>
        </w:rPr>
        <w:t xml:space="preserve">V Tržaškem zalivu nastaja </w:t>
      </w:r>
      <w:r w:rsidRPr="005771BD">
        <w:rPr>
          <w:rFonts w:eastAsia="Calibri" w:cs="Arial"/>
          <w:b/>
          <w:szCs w:val="20"/>
          <w:lang w:val="sl-SI"/>
        </w:rPr>
        <w:t>vetrno in termohalino kroženje</w:t>
      </w:r>
      <w:r w:rsidRPr="005771BD">
        <w:rPr>
          <w:rFonts w:eastAsia="Calibri" w:cs="Arial"/>
          <w:szCs w:val="20"/>
          <w:lang w:val="sl-SI"/>
        </w:rPr>
        <w:t>. Na kroženje v Tržaškem zalivu najizraziteje vplivajo vetrovi (burja, jugo), ki povzročajo vetrno kroženje. Termohalino kroženje Tržaškega zaliva je odvisna od temperaturnih in slanostnih razmer morja in ima pomembno vlogo  v obdobju razslojevanja morja, tj. od spomladi do jeseni. V Tržaškem zalivu je bil opažen tudi pojav »upwelling«, ki je posledica mešanja vodnega stolpca zaradi delovanja vetra (burja). Zaradi delovanja močnega vetra (burja), ki piha prek močno stratificiranega vodnega stolpca, se lahko v nekaj urah premeša celotni vodni stolpec, v nekaj dneh pa zamenja tudi celotna vodna masa v Tržaškem zalivu. Hitrost značilnih tokov v Tržaškem zalivu je velikostnega razreda 0,1 m/s.</w:t>
      </w:r>
    </w:p>
    <w:p w:rsidR="00E40322" w:rsidRPr="007C37DF" w:rsidRDefault="007C37DF" w:rsidP="00E40322">
      <w:pPr>
        <w:spacing w:after="200" w:line="276" w:lineRule="auto"/>
        <w:jc w:val="both"/>
        <w:rPr>
          <w:rFonts w:eastAsia="Calibri" w:cs="Arial"/>
          <w:szCs w:val="20"/>
          <w:u w:val="single"/>
          <w:lang w:val="sl-SI"/>
        </w:rPr>
      </w:pPr>
      <w:r>
        <w:rPr>
          <w:rFonts w:eastAsia="Calibri" w:cs="Arial"/>
          <w:szCs w:val="20"/>
          <w:u w:val="single"/>
          <w:lang w:val="sl-SI"/>
        </w:rPr>
        <w:t>7</w:t>
      </w:r>
      <w:r w:rsidR="00E40322" w:rsidRPr="007C37DF">
        <w:rPr>
          <w:rFonts w:eastAsia="Calibri" w:cs="Arial"/>
          <w:szCs w:val="20"/>
          <w:u w:val="single"/>
          <w:lang w:val="sl-SI"/>
        </w:rPr>
        <w:t>.4.1.2 Habitati morskega okolja in biološke značilnosti morskih voda</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V slovenskem morju najdemo naslednje </w:t>
      </w:r>
      <w:r w:rsidRPr="005771BD">
        <w:rPr>
          <w:rFonts w:eastAsia="Calibri" w:cs="Arial"/>
          <w:b/>
          <w:szCs w:val="20"/>
          <w:lang w:val="sl-SI"/>
        </w:rPr>
        <w:t>bentoške pasove</w:t>
      </w:r>
      <w:r w:rsidRPr="005771BD">
        <w:rPr>
          <w:rFonts w:eastAsia="Calibri" w:cs="Arial"/>
          <w:szCs w:val="20"/>
          <w:lang w:val="sl-SI"/>
        </w:rPr>
        <w:t xml:space="preserve">: </w:t>
      </w:r>
      <w:r w:rsidRPr="005771BD">
        <w:rPr>
          <w:rFonts w:eastAsia="Calibri" w:cs="Arial"/>
          <w:b/>
          <w:szCs w:val="20"/>
          <w:lang w:val="sl-SI"/>
        </w:rPr>
        <w:t>supralitoral, mediolitoral, infralitoral in cirkalitoral</w:t>
      </w:r>
      <w:r w:rsidRPr="005771BD">
        <w:rPr>
          <w:rFonts w:eastAsia="Calibri" w:cs="Arial"/>
          <w:szCs w:val="20"/>
          <w:lang w:val="sl-SI"/>
        </w:rPr>
        <w:t xml:space="preserve">. Supralitoral sega nad mejo dosega valov. Imenujemo ga tudi pršni pas, saj organizme vlaži pršenje, ki nastaja med lomljenjem valov. Po obsegu oziroma površini je daleč največji cirkalitoralni pas, drugi pa so omejeni na neposredno bližino obale. V mediolitoralu nastajajo biocenoze </w:t>
      </w:r>
      <w:r w:rsidRPr="005771BD">
        <w:rPr>
          <w:rFonts w:eastAsia="Calibri" w:cs="Arial"/>
          <w:bCs/>
          <w:szCs w:val="20"/>
          <w:lang w:val="sl-SI"/>
        </w:rPr>
        <w:t xml:space="preserve">zgornjih mediolitoralnih skal in biocenoza spodnjih mediolitoralnih skal ter biocenoza mediolitoralnega detritnega dna (tj. sestoji kritosemenk). </w:t>
      </w:r>
      <w:r w:rsidRPr="005771BD">
        <w:rPr>
          <w:rFonts w:eastAsia="Calibri" w:cs="Arial"/>
          <w:szCs w:val="20"/>
          <w:lang w:val="sl-SI"/>
        </w:rPr>
        <w:t>V kamnitem infralitoralnem pasu slovenskega morja prevladuje vegetacija velikih rjavih alg, prisotnost mikrohabitatov (ki določajo prostorsko heterogenost) in ribjih združb pa je odvisna od vrste vegetacije</w:t>
      </w:r>
      <w:r w:rsidRPr="005771BD">
        <w:rPr>
          <w:rFonts w:eastAsia="Calibri" w:cs="Arial"/>
          <w:bCs/>
          <w:szCs w:val="20"/>
          <w:lang w:val="sl-SI"/>
        </w:rPr>
        <w:t xml:space="preserve"> </w:t>
      </w:r>
      <w:r w:rsidRPr="005771BD">
        <w:rPr>
          <w:rFonts w:eastAsia="Calibri" w:cs="Arial"/>
          <w:szCs w:val="20"/>
          <w:lang w:val="sl-SI"/>
        </w:rPr>
        <w:t>V cirkalitoralu prevladujejo habitati, vezani na sediment</w:t>
      </w:r>
      <w:r>
        <w:rPr>
          <w:rFonts w:eastAsia="Calibri" w:cs="Arial"/>
          <w:szCs w:val="20"/>
          <w:lang w:val="sl-SI"/>
        </w:rPr>
        <w:t>n</w:t>
      </w:r>
      <w:r w:rsidRPr="005771BD">
        <w:rPr>
          <w:rFonts w:eastAsia="Calibri" w:cs="Arial"/>
          <w:szCs w:val="20"/>
          <w:lang w:val="sl-SI"/>
        </w:rPr>
        <w:t>o podlago, medtem ko se habitati cirkalitorala, vezanega na kam</w:t>
      </w:r>
      <w:r>
        <w:rPr>
          <w:rFonts w:eastAsia="Calibri" w:cs="Arial"/>
          <w:szCs w:val="20"/>
          <w:lang w:val="sl-SI"/>
        </w:rPr>
        <w:t>n</w:t>
      </w:r>
      <w:r w:rsidRPr="005771BD">
        <w:rPr>
          <w:rFonts w:eastAsia="Calibri" w:cs="Arial"/>
          <w:szCs w:val="20"/>
          <w:lang w:val="sl-SI"/>
        </w:rPr>
        <w:t>ito dno, le v obliki osamelcev. V cirkalitoralu sedimentnega dna prevladujeta dve biocenozi: biocenoza muljastega detritnega dna in biocenoza obrežnega detritnega dna.</w:t>
      </w:r>
    </w:p>
    <w:p w:rsidR="00E40322" w:rsidRPr="005771BD" w:rsidRDefault="00E40322" w:rsidP="00E40322">
      <w:pPr>
        <w:spacing w:after="200" w:line="276" w:lineRule="auto"/>
        <w:jc w:val="both"/>
        <w:rPr>
          <w:rFonts w:eastAsia="Calibri" w:cs="Arial"/>
          <w:b/>
          <w:szCs w:val="20"/>
          <w:lang w:val="sl-SI"/>
        </w:rPr>
      </w:pPr>
      <w:r w:rsidRPr="007F272F">
        <w:rPr>
          <w:rFonts w:eastAsia="Calibri" w:cs="Arial"/>
          <w:b/>
          <w:noProof/>
          <w:szCs w:val="20"/>
          <w:lang w:val="sl-SI" w:eastAsia="sl-SI"/>
        </w:rPr>
        <w:drawing>
          <wp:inline distT="0" distB="0" distL="0" distR="0" wp14:anchorId="512359F5" wp14:editId="543EF3B4">
            <wp:extent cx="5155325" cy="3497310"/>
            <wp:effectExtent l="0" t="0" r="7620" b="8255"/>
            <wp:docPr id="6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8" cstate="print"/>
                    <a:srcRect/>
                    <a:stretch>
                      <a:fillRect/>
                    </a:stretch>
                  </pic:blipFill>
                  <pic:spPr bwMode="auto">
                    <a:xfrm>
                      <a:off x="0" y="0"/>
                      <a:ext cx="5160329" cy="3500705"/>
                    </a:xfrm>
                    <a:prstGeom prst="rect">
                      <a:avLst/>
                    </a:prstGeom>
                    <a:noFill/>
                    <a:ln w="9525">
                      <a:noFill/>
                      <a:miter lim="800000"/>
                      <a:headEnd/>
                      <a:tailEnd/>
                    </a:ln>
                  </pic:spPr>
                </pic:pic>
              </a:graphicData>
            </a:graphic>
          </wp:inline>
        </w:drawing>
      </w:r>
    </w:p>
    <w:p w:rsidR="00E40322" w:rsidRPr="00607481" w:rsidRDefault="00E40322" w:rsidP="00E40322">
      <w:pPr>
        <w:spacing w:after="200" w:line="276" w:lineRule="auto"/>
        <w:jc w:val="both"/>
        <w:rPr>
          <w:rFonts w:eastAsia="Calibri" w:cs="Arial"/>
          <w:i/>
          <w:szCs w:val="20"/>
          <w:lang w:val="sl-SI"/>
        </w:rPr>
      </w:pPr>
      <w:bookmarkStart w:id="8" w:name="_Ref449006746"/>
      <w:bookmarkStart w:id="9" w:name="_Toc461708288"/>
      <w:r w:rsidRPr="00607481">
        <w:rPr>
          <w:rFonts w:eastAsia="Calibri" w:cs="Arial"/>
          <w:i/>
          <w:szCs w:val="20"/>
          <w:lang w:val="sl-SI"/>
        </w:rPr>
        <w:t xml:space="preserve">Slika </w:t>
      </w:r>
      <w:r w:rsidR="007C37DF" w:rsidRPr="00607481">
        <w:rPr>
          <w:rFonts w:eastAsia="Calibri" w:cs="Arial"/>
          <w:i/>
          <w:szCs w:val="20"/>
          <w:lang w:val="sl-SI"/>
        </w:rPr>
        <w:t>7.9</w:t>
      </w:r>
      <w:bookmarkStart w:id="10" w:name="_Toc353258789"/>
      <w:bookmarkEnd w:id="8"/>
      <w:r w:rsidRPr="00607481">
        <w:rPr>
          <w:rFonts w:eastAsia="Calibri" w:cs="Arial"/>
          <w:i/>
          <w:szCs w:val="20"/>
          <w:lang w:val="sl-SI"/>
        </w:rPr>
        <w:t>: Vertikalna porazdelitev bentoških pasov</w:t>
      </w:r>
      <w:bookmarkEnd w:id="9"/>
      <w:r w:rsidRPr="00607481">
        <w:rPr>
          <w:rFonts w:eastAsia="Calibri" w:cs="Arial"/>
          <w:i/>
          <w:szCs w:val="20"/>
          <w:lang w:val="sl-SI"/>
        </w:rPr>
        <w:t xml:space="preserve"> </w:t>
      </w:r>
      <w:bookmarkEnd w:id="10"/>
    </w:p>
    <w:p w:rsidR="00E40322" w:rsidRPr="005771BD" w:rsidRDefault="00E40322" w:rsidP="007C37DF">
      <w:pPr>
        <w:spacing w:after="360" w:line="276" w:lineRule="auto"/>
        <w:jc w:val="both"/>
        <w:rPr>
          <w:rFonts w:eastAsia="Calibri" w:cs="Arial"/>
          <w:b/>
          <w:szCs w:val="20"/>
          <w:lang w:val="sl-SI"/>
        </w:rPr>
      </w:pPr>
      <w:r w:rsidRPr="005771BD">
        <w:rPr>
          <w:rFonts w:eastAsia="Calibri" w:cs="Arial"/>
          <w:b/>
          <w:szCs w:val="20"/>
          <w:lang w:val="sl-SI"/>
        </w:rPr>
        <w:t>Habitati vodnega stolpca</w:t>
      </w:r>
      <w:r w:rsidRPr="005771BD">
        <w:rPr>
          <w:rFonts w:eastAsia="Calibri" w:cs="Arial"/>
          <w:szCs w:val="20"/>
          <w:lang w:val="sl-SI"/>
        </w:rPr>
        <w:t xml:space="preserve"> se razprostirajo od površine morja do morskega dna. Stanje habitatov vodnega stolpca je le delno ocenjeno. Za skupino fitoplanktona in zooplanktona je ocena stanja opredeljena kot dobra in stabilna, medtem ko je za mezozooplankton (tj. klobučnjaške meduze) stanj</w:t>
      </w:r>
      <w:r>
        <w:rPr>
          <w:rFonts w:eastAsia="Calibri" w:cs="Arial"/>
          <w:szCs w:val="20"/>
          <w:lang w:val="sl-SI"/>
        </w:rPr>
        <w:t>e ocenjeno</w:t>
      </w:r>
      <w:r w:rsidRPr="005771BD">
        <w:rPr>
          <w:rFonts w:eastAsia="Calibri" w:cs="Arial"/>
          <w:szCs w:val="20"/>
          <w:lang w:val="sl-SI"/>
        </w:rPr>
        <w:t xml:space="preserve"> kot slabo. Zaradi pomanjkanja ustreznih podatkov in metod je ocena srednje zanesljiva.</w:t>
      </w:r>
    </w:p>
    <w:p w:rsidR="00E40322" w:rsidRPr="005771BD" w:rsidRDefault="00E40322" w:rsidP="007C37DF">
      <w:pPr>
        <w:spacing w:after="360" w:line="276" w:lineRule="auto"/>
        <w:jc w:val="both"/>
        <w:rPr>
          <w:rFonts w:eastAsia="Calibri" w:cs="Arial"/>
          <w:szCs w:val="20"/>
          <w:lang w:val="sl-SI"/>
        </w:rPr>
      </w:pPr>
      <w:r w:rsidRPr="005771BD">
        <w:rPr>
          <w:rFonts w:eastAsia="Calibri" w:cs="Arial"/>
          <w:b/>
          <w:szCs w:val="20"/>
          <w:lang w:val="sl-SI"/>
        </w:rPr>
        <w:t>Biološke značilnosti</w:t>
      </w:r>
      <w:r w:rsidRPr="005771BD">
        <w:rPr>
          <w:rFonts w:eastAsia="Calibri" w:cs="Arial"/>
          <w:szCs w:val="20"/>
          <w:lang w:val="sl-SI"/>
        </w:rPr>
        <w:t xml:space="preserve"> morja so opredeljene z opisom stanja </w:t>
      </w:r>
      <w:r w:rsidRPr="005771BD">
        <w:rPr>
          <w:rFonts w:eastAsia="Calibri" w:cs="Arial"/>
          <w:b/>
          <w:szCs w:val="20"/>
          <w:lang w:val="sl-SI"/>
        </w:rPr>
        <w:t>planktona (fitoplankton, zooplankton), morskih kritosemenk (morskih trav), makroalg, nevretenčarjev, rib (kostnice, hrustančnice), morskih sesalcev, morskih plazilcev, morskih ptic in prisotnostjo tujerodnih vrst</w:t>
      </w:r>
      <w:r w:rsidRPr="005771BD">
        <w:rPr>
          <w:rFonts w:eastAsia="Calibri" w:cs="Arial"/>
          <w:szCs w:val="20"/>
          <w:lang w:val="sl-SI"/>
        </w:rPr>
        <w:t xml:space="preserve">. </w:t>
      </w:r>
      <w:r w:rsidRPr="005771BD">
        <w:rPr>
          <w:rFonts w:eastAsia="Calibri" w:cs="Arial"/>
          <w:bCs/>
          <w:szCs w:val="20"/>
          <w:lang w:val="sl-SI"/>
        </w:rPr>
        <w:t>V slovenskem morju so prisotne štiri vrste morskih kritosemenk, med katerimi je zavarovana morska trava pozejdonka</w:t>
      </w:r>
      <w:r w:rsidRPr="005771BD">
        <w:rPr>
          <w:rFonts w:eastAsia="Calibri" w:cs="Arial"/>
          <w:bCs/>
          <w:i/>
          <w:szCs w:val="20"/>
          <w:lang w:val="sl-SI"/>
        </w:rPr>
        <w:t xml:space="preserve">. </w:t>
      </w:r>
      <w:r w:rsidRPr="005771BD">
        <w:rPr>
          <w:rFonts w:eastAsia="Calibri" w:cs="Arial"/>
          <w:bCs/>
          <w:szCs w:val="20"/>
          <w:lang w:val="sl-SI"/>
        </w:rPr>
        <w:t xml:space="preserve"> V infralitoralnem pasu je bilo določenih 83 taksonov makroalg, in sicer 16 taksonov zelenih alg, 18 rjavih alg in 49 rdečih alg. Za sedimentno dno na globini 7–10 m sta značilni velika vrstna p</w:t>
      </w:r>
      <w:r>
        <w:rPr>
          <w:rFonts w:eastAsia="Calibri" w:cs="Arial"/>
          <w:bCs/>
          <w:szCs w:val="20"/>
          <w:lang w:val="sl-SI"/>
        </w:rPr>
        <w:t>e</w:t>
      </w:r>
      <w:r w:rsidRPr="005771BD">
        <w:rPr>
          <w:rFonts w:eastAsia="Calibri" w:cs="Arial"/>
          <w:bCs/>
          <w:szCs w:val="20"/>
          <w:lang w:val="sl-SI"/>
        </w:rPr>
        <w:t xml:space="preserve">strost in številčnost nevretenčarjev, vendar pa velika številčnost vrst </w:t>
      </w:r>
      <w:r w:rsidRPr="005771BD">
        <w:rPr>
          <w:rFonts w:eastAsia="Calibri" w:cs="Arial"/>
          <w:szCs w:val="20"/>
          <w:lang w:val="sl-SI"/>
        </w:rPr>
        <w:t xml:space="preserve">kaže, da je to okolje nestabilno. V mediolitoralu kamnitega dna so prisotni členonožci, mehkužci, kolobarniki, iglokožci, mahovnjaki in ožigalkarji, vendar je njihova vrstna pestrost zaradi naravnega stresa (izsuševanja, temperaturnih nihanj, nihanja slanosti) nizka. V infralitoralu kamnitega dna je vrstna pestrost velika, prisotni so tako mehkužci, mnogoščetinci in raki. V sedimentnem dnu cirkalitorala so prisotni mnogoščetinci, raki, mehkužci in iglokožci, pri čemer prevladujejo mnogoščetinci (64 %). Doslej je bilo v slovenskem morju (opomba: v obalnih vodah) ugotovljenih 34 vrst hrustančnic, od katerih je 20 morskih psov in 14 skatov. To število je za plitvo območje slovenskega dela Tržaškega zaliva zelo veliko. Pri hrustančnicah je v Sredozemskem morju (in tudi drugod po svetu) opazen zelo velik upad populacij. </w:t>
      </w:r>
      <w:r w:rsidRPr="005771BD">
        <w:rPr>
          <w:rFonts w:eastAsia="Calibri" w:cs="Arial"/>
          <w:bCs/>
          <w:szCs w:val="20"/>
          <w:lang w:val="sl-SI"/>
        </w:rPr>
        <w:t xml:space="preserve">Izmed 33 komercialnih vrst so bile ocene staležev opravljene za stalež morskega lista, ki je v prelovu, za stalež sardele in sardona, ki sta v celoti izkoriščena. </w:t>
      </w:r>
      <w:r w:rsidRPr="005771BD">
        <w:rPr>
          <w:rFonts w:eastAsia="Calibri" w:cs="Arial"/>
          <w:szCs w:val="20"/>
          <w:lang w:val="sl-SI"/>
        </w:rPr>
        <w:t>Delfini in kiti se v slovenskem morju pojavljajo neredno in posamič oziroma v manjšem številu. Edina vrsta, ki se v slovenskem morju redno pojavlja, je velika pliskavka. Od dveh vrst morskih plazilcev se v slovenskem morju redno pojavlja le želva kareta, pa še to le v toplejšem delu leta od maja do oktobra. Morske želve so ogrožene vrste morskih živali. Na slovenskem prostoru se pojavljajo prezimujoče morske ptice in gnezdilke. V slovenskem morju je ugotovljenih najmanj 16 vrst tujerodnih rastlin in živali, med njimi je največ mehkužcev.</w:t>
      </w:r>
    </w:p>
    <w:p w:rsidR="00E40322" w:rsidRPr="005771BD" w:rsidRDefault="007C37DF" w:rsidP="00E40322">
      <w:pPr>
        <w:spacing w:after="200" w:line="276" w:lineRule="auto"/>
        <w:jc w:val="both"/>
        <w:rPr>
          <w:rFonts w:eastAsia="Calibri" w:cs="Arial"/>
          <w:b/>
          <w:szCs w:val="20"/>
          <w:lang w:val="sl-SI"/>
        </w:rPr>
      </w:pPr>
      <w:r>
        <w:rPr>
          <w:rFonts w:eastAsia="Calibri" w:cs="Arial"/>
          <w:b/>
          <w:szCs w:val="20"/>
          <w:lang w:val="sl-SI"/>
        </w:rPr>
        <w:t>7</w:t>
      </w:r>
      <w:r w:rsidR="00E40322" w:rsidRPr="005771BD">
        <w:rPr>
          <w:rFonts w:eastAsia="Calibri" w:cs="Arial"/>
          <w:b/>
          <w:szCs w:val="20"/>
          <w:lang w:val="sl-SI"/>
        </w:rPr>
        <w:t>.4.2 Obremenitve morskih voda</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Posegi v obalnih vodah povzročajo predvsem </w:t>
      </w:r>
      <w:r w:rsidRPr="005771BD">
        <w:rPr>
          <w:rFonts w:eastAsia="Calibri" w:cs="Arial"/>
          <w:b/>
          <w:szCs w:val="20"/>
          <w:lang w:val="sl-SI"/>
        </w:rPr>
        <w:t>fizične izgube naravnih morskih habitatov</w:t>
      </w:r>
      <w:r w:rsidRPr="005771BD">
        <w:rPr>
          <w:rFonts w:eastAsia="Calibri" w:cs="Arial"/>
          <w:szCs w:val="20"/>
          <w:lang w:val="sl-SI"/>
        </w:rPr>
        <w:t xml:space="preserve">, uničenje gnezdišč za ptice, motenje ali prekinitev selitvenih poti, </w:t>
      </w:r>
      <w:r>
        <w:rPr>
          <w:rFonts w:eastAsia="Calibri" w:cs="Arial"/>
          <w:szCs w:val="20"/>
          <w:lang w:val="sl-SI"/>
        </w:rPr>
        <w:t>razdrobljenost</w:t>
      </w:r>
      <w:r w:rsidRPr="005771BD">
        <w:rPr>
          <w:rFonts w:eastAsia="Calibri" w:cs="Arial"/>
          <w:szCs w:val="20"/>
          <w:lang w:val="sl-SI"/>
        </w:rPr>
        <w:t xml:space="preserve"> življenjskega okolja na območja, ki so premajhna za preživetje nekaterih vrst. Območje obalnih voda je v povprečju močno spremenjeno predvsem zaradi urbanizacije in turizma, pa tudi pomorskega prometa, </w:t>
      </w:r>
      <w:r>
        <w:rPr>
          <w:rFonts w:eastAsia="Calibri" w:cs="Arial"/>
          <w:szCs w:val="20"/>
          <w:lang w:val="sl-SI"/>
        </w:rPr>
        <w:t>obremenitve</w:t>
      </w:r>
      <w:r w:rsidRPr="005771BD">
        <w:rPr>
          <w:rFonts w:eastAsia="Calibri" w:cs="Arial"/>
          <w:szCs w:val="20"/>
          <w:lang w:val="sl-SI"/>
        </w:rPr>
        <w:t xml:space="preserve"> pa se stalno povečujejo. Industrija in večja pristanišča obsegajo 21</w:t>
      </w:r>
      <w:r>
        <w:rPr>
          <w:rFonts w:eastAsia="Calibri" w:cs="Arial"/>
          <w:szCs w:val="20"/>
          <w:lang w:val="sl-SI"/>
        </w:rPr>
        <w:t xml:space="preserve"> </w:t>
      </w:r>
      <w:r w:rsidRPr="005771BD">
        <w:rPr>
          <w:rFonts w:eastAsia="Calibri" w:cs="Arial"/>
          <w:szCs w:val="20"/>
          <w:lang w:val="sl-SI"/>
        </w:rPr>
        <w:t xml:space="preserve">% obale, marine 10 %, enako tudi območja kulturne dediščine. </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Glavne dejavnosti, ki povzročajo </w:t>
      </w:r>
      <w:r w:rsidRPr="005771BD">
        <w:rPr>
          <w:rFonts w:eastAsia="Calibri" w:cs="Arial"/>
          <w:b/>
          <w:szCs w:val="20"/>
          <w:lang w:val="sl-SI"/>
        </w:rPr>
        <w:t>fizične poškodbe dna slovenskega morja</w:t>
      </w:r>
      <w:r w:rsidRPr="005771BD">
        <w:rPr>
          <w:rFonts w:eastAsia="Calibri" w:cs="Arial"/>
          <w:szCs w:val="20"/>
          <w:lang w:val="sl-SI"/>
        </w:rPr>
        <w:t xml:space="preserve">, so ribištvo (npr. pridnene vlečne mreže in zaporne plavarice), pomorski promet (sidranje, resuspenzija in poglabljanje plovnih poti), urbanizacija in turizem. </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Prve meritve </w:t>
      </w:r>
      <w:r w:rsidRPr="005771BD">
        <w:rPr>
          <w:rFonts w:eastAsia="Calibri" w:cs="Arial"/>
          <w:b/>
          <w:szCs w:val="20"/>
          <w:lang w:val="sl-SI"/>
        </w:rPr>
        <w:t>podvodnega hrupa</w:t>
      </w:r>
      <w:r w:rsidRPr="005771BD">
        <w:rPr>
          <w:rFonts w:eastAsia="Calibri" w:cs="Arial"/>
          <w:szCs w:val="20"/>
          <w:lang w:val="sl-SI"/>
        </w:rPr>
        <w:t xml:space="preserve"> v slovenskem morju niso pokazale večjih obremenitev z impulznim hrupom. Stalni hrup nastaja v slovenskem morju predvsem zaradi vožnje s plovili. Povprečne ravni hrupa so bile v poletnem času od127 do 139 dB, kar je v primerjavi z drugimi morji relativno visoka obremenitev s podvodnim hrupom. Taka raven lahko že neposredno vpliva na vedenjske značilnosti različnih morskih živali. Tudi raven ozadja, h kateremu domnevno prispevajo različni morski organizmi, večinoma pa oddaljene in močnejše ladje, je bila dokaj visoka, in sicer od 108 do 118 dB. Zaradi majhnega števila do zdaj izvedenih meritev še ni mogoče oceniti trendov niti prostorske porazdelitve podvodnega hrupa. </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Celotno slovensko obalo onesnažujejo </w:t>
      </w:r>
      <w:r w:rsidRPr="005771BD">
        <w:rPr>
          <w:rFonts w:eastAsia="Calibri" w:cs="Arial"/>
          <w:b/>
          <w:szCs w:val="20"/>
          <w:lang w:val="sl-SI"/>
        </w:rPr>
        <w:t>trdni odpadki</w:t>
      </w:r>
      <w:r w:rsidRPr="005771BD">
        <w:rPr>
          <w:rFonts w:eastAsia="Calibri" w:cs="Arial"/>
          <w:szCs w:val="20"/>
          <w:lang w:val="sl-SI"/>
        </w:rPr>
        <w:t xml:space="preserve"> s kopnega in iz morja. Po podatkih Službe varstva obalnega morja (SVOM) je glede na skupno težo zbranih odpadkov na dolžinsko enoto (km) najbolj onesnaženi predel Valdoltre v območju Ankarana. V morskem okolju je največ odpadkov iz plastičnih materialov, drugi odpadki so iz stekla in keramike, kovin, papirja, blaga in obdelanega lesa. </w:t>
      </w:r>
    </w:p>
    <w:p w:rsidR="00E40322" w:rsidRPr="005771BD" w:rsidRDefault="00E40322" w:rsidP="00E40322">
      <w:pPr>
        <w:spacing w:after="200" w:line="276" w:lineRule="auto"/>
        <w:jc w:val="both"/>
        <w:rPr>
          <w:rFonts w:eastAsia="Calibri" w:cs="Arial"/>
          <w:szCs w:val="20"/>
          <w:lang w:val="sl-SI"/>
        </w:rPr>
      </w:pPr>
      <w:r w:rsidRPr="005771BD">
        <w:rPr>
          <w:rFonts w:eastAsia="Calibri" w:cs="Arial"/>
          <w:b/>
          <w:szCs w:val="20"/>
          <w:lang w:val="sl-SI"/>
        </w:rPr>
        <w:t>Obremenitev morskih voda z onesnaževali</w:t>
      </w:r>
      <w:r w:rsidRPr="005771BD">
        <w:rPr>
          <w:rFonts w:eastAsia="Calibri" w:cs="Arial"/>
          <w:szCs w:val="20"/>
          <w:lang w:val="sl-SI"/>
        </w:rPr>
        <w:t xml:space="preserve"> je posledica industrijskih in komunalnih odpadnih voda, ki vsebujejo prednostno nevarne snovi (PNS, med katerimi so tudi organokositrove spojine, poliaromatski ogljikovodiki – PAH in nekatere kovine (kadmij, nikelj, svinec in živo srebro)), prednostne snovi (PS) in posebna onesnaževala (PO). Obrati, ki pri svojih delovnih procesih proizvajajo industrijsko odpadno vodo s posebnimi onesnaževali, so vzdolž celotnega obalnega pasu in tudi v zaledju rek Rižane, Badaševice in Drnice. Glede na razpoložljive podatke je od leta 2000 do leta 2010 opazen statistično značilni trend zmanjševanja emisij adsorbljivih organskih halogenov (AOX), klorida, sulfata, težkohlapnih lipofilnih snovi. Zmanjšana je tudi kemijska potreba po kisiku v industrijskih odpadnih vodah. Količine drugih posebnih onesnaževal se v opazovanem časovnem obdobju niso spreminjale. Med potencialno najbolj obremenjenimi zaradi onesnaževal so območja reke Rižane, Badaševice in Drnice, poleg industrijskih obratov tudi zaradi kmetijstva iz zaledja in poselitve, območje Koprskega zaliva zaradi vnosa onesnaževal v morje z rekami in izvajanja pomorskega prometa, območje med Žusterno in Piranom zaradi poselitve, hotelov, bolnišnic  ter območja marin zaradi izvajanja pomorskega prometa. </w:t>
      </w:r>
    </w:p>
    <w:p w:rsidR="00E40322" w:rsidRPr="005771BD" w:rsidRDefault="00E40322" w:rsidP="00E40322">
      <w:pPr>
        <w:spacing w:after="200" w:line="276" w:lineRule="auto"/>
        <w:jc w:val="both"/>
        <w:rPr>
          <w:rFonts w:eastAsia="Calibri" w:cs="Arial"/>
          <w:szCs w:val="20"/>
          <w:lang w:val="sl-SI"/>
        </w:rPr>
      </w:pPr>
      <w:r w:rsidRPr="005771BD">
        <w:rPr>
          <w:rFonts w:eastAsia="Calibri" w:cs="Arial"/>
          <w:bCs/>
          <w:szCs w:val="20"/>
          <w:lang w:val="sl-SI"/>
        </w:rPr>
        <w:t xml:space="preserve">Zaradi pomorskega prometa je tudi nevarnost večjega onesnaženja morja in obale na območju celotnega severnega Jadrana. Koncentracije onesnaževal v morju so pod mejnimi vrednostmi, z izjemo tributilkositrovih spojin (TBT), iz česar lahko sklepamo, da </w:t>
      </w:r>
      <w:r w:rsidRPr="005771BD">
        <w:rPr>
          <w:rFonts w:eastAsia="Calibri" w:cs="Arial"/>
          <w:szCs w:val="20"/>
          <w:lang w:val="sl-SI"/>
        </w:rPr>
        <w:t>se TBT kljub prepovedi še vedno uporablja in da še vedno prihaja do novih vnosov v morje. Koncentracije organokositrovih spojin v sedimentu so najvišje v marinah in njihovi neposredni okolic, v teritorialnem morju pa znatno padajo.  Stanje glede prisotnosti onesnaževal v morju je zaradi prekomernih koncentracij TBT ocenjeno kot slabo. Novejše analize kažejo naraščajoči trend živega srebra v sedimentu in slabo stanje na območju Debelega rtiča zaradi živega srebra v bioti.</w:t>
      </w:r>
    </w:p>
    <w:p w:rsidR="007C37DF"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Reke, ki se izlivajo v severni Jadran, prinašajo s seboj veliko </w:t>
      </w:r>
      <w:r w:rsidRPr="005771BD">
        <w:rPr>
          <w:rFonts w:eastAsia="Calibri" w:cs="Arial"/>
          <w:b/>
          <w:szCs w:val="20"/>
          <w:lang w:val="sl-SI"/>
        </w:rPr>
        <w:t>organskih in anorganskih hranilnih snovi</w:t>
      </w:r>
      <w:r w:rsidRPr="005771BD">
        <w:rPr>
          <w:rFonts w:eastAsia="Calibri" w:cs="Arial"/>
          <w:szCs w:val="20"/>
          <w:lang w:val="sl-SI"/>
        </w:rPr>
        <w:t xml:space="preserve">. V zadnjih letih je opazno zmanjševanje evtrofikacije Tržaškega zaliva kot tudi celotnega severno-jadranskega bazena. To povezujemo z zmanjšanjem vnosa hranil predvsem zaradi omejitev rabe fosfatov v detergentih, izgradnje KČN in tudi zaradi zmanjšanja rečnih pritokov. Na območju slovenskega morja, obale in zaledja se izvajajo različne aktivnosti, ki so vir vnosa hranilnih snovi v morje (komunalne in industrijske odpadne vode, marikultura). Med najbolj obremenjenimi so območja reke Rižane in Badaševice, kamor se odvaja odpadna voda iz KČN, vnašajo snovi iz razpršenih virov iz kmetijstva in odpadne industrijske vode iz industrijskih obratov, ter območji Koprskega in Piranskega zaliva, kamor se izliva reka Rižana, odvaja odpadno komunalno vodo (op. Koprski zaliv) in izvaja marikultura (op. Piranski zaliv, Strunjanski zaliv, območje Debeli rtič). Poleg navedenih virov vnosa prispevajo k vnosu hranilnih snovi v vode pomemben delež tudi večje reke zunaj meja (npr. Soča in Pad). Trendi ne kažejo poslabšanja razmer v morskem okolju zaradi antropogenih dejavnikov, prav tako koncentracije hranilnih snovi ne presegajo mejnih vrednosti, zato je stanje ocenjeno kot dobro. </w:t>
      </w:r>
    </w:p>
    <w:p w:rsidR="00E40322" w:rsidRPr="005771BD" w:rsidRDefault="007C37DF" w:rsidP="00E40322">
      <w:pPr>
        <w:spacing w:after="200" w:line="276" w:lineRule="auto"/>
        <w:jc w:val="both"/>
        <w:rPr>
          <w:rFonts w:eastAsia="Calibri" w:cs="Arial"/>
          <w:szCs w:val="20"/>
          <w:lang w:val="sl-SI"/>
        </w:rPr>
      </w:pPr>
      <w:r w:rsidRPr="005771BD">
        <w:rPr>
          <w:rFonts w:eastAsia="Calibri" w:cs="Arial"/>
          <w:szCs w:val="20"/>
          <w:lang w:val="sl-SI"/>
        </w:rPr>
        <w:t xml:space="preserve">Med </w:t>
      </w:r>
      <w:r w:rsidRPr="005771BD">
        <w:rPr>
          <w:rFonts w:eastAsia="Calibri" w:cs="Arial"/>
          <w:b/>
          <w:szCs w:val="20"/>
          <w:lang w:val="sl-SI"/>
        </w:rPr>
        <w:t>biološke obremenitve</w:t>
      </w:r>
      <w:r w:rsidRPr="005771BD">
        <w:rPr>
          <w:rFonts w:eastAsia="Calibri" w:cs="Arial"/>
          <w:szCs w:val="20"/>
          <w:lang w:val="sl-SI"/>
        </w:rPr>
        <w:t xml:space="preserve"> prištevamo vnos mikrobnih patogenov, prisotnost tujerodnih vrst in ribolovni napor. O vnosu mikrobnih patogenov sklepamo na podlagi podatkov o mikrobiološkem onesnaženju kopalnih voda, prisotnosti patogenih vrst na območjih gojenja morskih organizmov in poročil o morebitni kontaminaciji morske hrane. Rezultati analiz kopalnih voda v letih 2004–2010 kažejo, da stalnega onesnaženja kopalnih voda ni zaznati.</w:t>
      </w:r>
    </w:p>
    <w:p w:rsidR="00E40322" w:rsidRPr="005771BD" w:rsidRDefault="00E40322" w:rsidP="00E40322">
      <w:pPr>
        <w:spacing w:after="200" w:line="276" w:lineRule="auto"/>
        <w:jc w:val="both"/>
        <w:rPr>
          <w:rFonts w:eastAsia="Calibri" w:cs="Arial"/>
          <w:szCs w:val="20"/>
          <w:lang w:val="sl-SI"/>
        </w:rPr>
      </w:pPr>
      <w:r w:rsidRPr="007F272F">
        <w:rPr>
          <w:rFonts w:eastAsia="Calibri" w:cs="Arial"/>
          <w:noProof/>
          <w:szCs w:val="20"/>
          <w:lang w:val="sl-SI" w:eastAsia="sl-SI"/>
        </w:rPr>
        <w:drawing>
          <wp:inline distT="0" distB="0" distL="0" distR="0" wp14:anchorId="10401489" wp14:editId="05608817">
            <wp:extent cx="4840014" cy="3419577"/>
            <wp:effectExtent l="0" t="0" r="0" b="9525"/>
            <wp:docPr id="67"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119" cstate="print"/>
                    <a:srcRect/>
                    <a:stretch>
                      <a:fillRect/>
                    </a:stretch>
                  </pic:blipFill>
                  <pic:spPr bwMode="auto">
                    <a:xfrm>
                      <a:off x="0" y="0"/>
                      <a:ext cx="4850600" cy="3427056"/>
                    </a:xfrm>
                    <a:prstGeom prst="rect">
                      <a:avLst/>
                    </a:prstGeom>
                    <a:solidFill>
                      <a:srgbClr val="FFFFFF"/>
                    </a:solidFill>
                    <a:ln w="9525">
                      <a:noFill/>
                      <a:miter lim="800000"/>
                      <a:headEnd/>
                      <a:tailEnd/>
                    </a:ln>
                  </pic:spPr>
                </pic:pic>
              </a:graphicData>
            </a:graphic>
          </wp:inline>
        </w:drawing>
      </w:r>
    </w:p>
    <w:p w:rsidR="00E40322" w:rsidRPr="00607481" w:rsidRDefault="00E40322" w:rsidP="00E40322">
      <w:pPr>
        <w:spacing w:after="200" w:line="276" w:lineRule="auto"/>
        <w:jc w:val="both"/>
        <w:rPr>
          <w:rFonts w:eastAsia="Calibri" w:cs="Arial"/>
          <w:b/>
          <w:bCs/>
          <w:i/>
          <w:szCs w:val="20"/>
          <w:lang w:val="sl-SI"/>
        </w:rPr>
      </w:pPr>
      <w:bookmarkStart w:id="11" w:name="_Ref456254384"/>
      <w:bookmarkStart w:id="12" w:name="_Toc461708307"/>
      <w:bookmarkStart w:id="13" w:name="_Toc353268514"/>
      <w:r w:rsidRPr="00607481">
        <w:rPr>
          <w:rFonts w:eastAsia="Calibri" w:cs="Arial"/>
          <w:bCs/>
          <w:i/>
          <w:szCs w:val="20"/>
          <w:lang w:val="sl-SI"/>
        </w:rPr>
        <w:t xml:space="preserve">Slika </w:t>
      </w:r>
      <w:bookmarkEnd w:id="11"/>
      <w:r w:rsidR="007C37DF" w:rsidRPr="00607481">
        <w:rPr>
          <w:rFonts w:eastAsia="Calibri" w:cs="Arial"/>
          <w:bCs/>
          <w:i/>
          <w:szCs w:val="20"/>
          <w:lang w:val="sl-SI"/>
        </w:rPr>
        <w:t>7</w:t>
      </w:r>
      <w:r w:rsidRPr="00607481">
        <w:rPr>
          <w:rFonts w:eastAsia="Calibri" w:cs="Arial"/>
          <w:bCs/>
          <w:i/>
          <w:szCs w:val="20"/>
          <w:lang w:val="sl-SI"/>
        </w:rPr>
        <w:t>.10: Vnosi rek v severni Jadran (z dolžino puščice so prikazana razmerja vnosov količine vode (odtok) ter količine nitratov in fosfatov v primerjavi s količinami reke Pad)</w:t>
      </w:r>
      <w:bookmarkEnd w:id="12"/>
      <w:r w:rsidRPr="00607481">
        <w:rPr>
          <w:rFonts w:eastAsia="Calibri" w:cs="Arial"/>
          <w:bCs/>
          <w:i/>
          <w:szCs w:val="20"/>
          <w:lang w:val="sl-SI"/>
        </w:rPr>
        <w:t xml:space="preserve"> </w:t>
      </w:r>
      <w:bookmarkEnd w:id="13"/>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Vnos patogenih mikroorganizmov je povezan z vnosi fekalno onesnaženih voda iz točkovnih virov, predvsem komunalnih čistilnih naprav, mikrobiološko onesnaženje iz razpršenih virov nastaja zaradi spiranja onesnaženja s kmetijskih območij. Najbolj je z mikrobiološkim onesnaženjem obremenjeno območje notranjega dela Koprskega zaliva, kamor se izlivajo komunalne odpadne vode koprske čistilne naprave, komunalno in industrijsko obremenjeni pritoki rek Rižane in Badaševice ter območje v okolici podvodnega izpusta iz komunalne čistilne naprave Piran. Iz rezultatov dolgoletne serije fekalnih koliformnih bakterij kot kazalnika vnosa onesnaženih voda v ustja rek in kopališč vzdolž obale Republike Slovenije izhaja, da se vnosi ne zmanjšujejo in so fekalno obremenjena območja v bližini izpustov komunalnih voda. Z oddaljenostjo od vira onesnaženja se število mikroorganizmov, ki so kazalniki onesnaženosti, hitro zmanjšuje. Stanja glede na mikrobiološko onesnaženje izven območij kopalnih voda ni mogoče oceniti zaradi pomanjkanja podatkov. </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V slovenskem morju je bilo ugotovljenih najmanj 16 vrst </w:t>
      </w:r>
      <w:r w:rsidRPr="005771BD">
        <w:rPr>
          <w:rFonts w:eastAsia="Calibri" w:cs="Arial"/>
          <w:b/>
          <w:szCs w:val="20"/>
          <w:lang w:val="sl-SI"/>
        </w:rPr>
        <w:t>tujerodnih rastlin in živali</w:t>
      </w:r>
      <w:r w:rsidRPr="005771BD">
        <w:rPr>
          <w:rFonts w:eastAsia="Calibri" w:cs="Arial"/>
          <w:szCs w:val="20"/>
          <w:lang w:val="sl-SI"/>
        </w:rPr>
        <w:t xml:space="preserve">, vendar je to število verjetno podcenjeno, saj viri poročajo o 180 tujerodnih vrstah v podregiji  </w:t>
      </w:r>
      <w:r w:rsidRPr="005771BD">
        <w:rPr>
          <w:rFonts w:eastAsia="Calibri" w:cs="Arial"/>
          <w:i/>
          <w:szCs w:val="20"/>
          <w:lang w:val="sl-SI"/>
        </w:rPr>
        <w:t>Jadransko morje</w:t>
      </w:r>
      <w:r w:rsidRPr="005771BD">
        <w:rPr>
          <w:rFonts w:eastAsia="Calibri" w:cs="Arial"/>
          <w:szCs w:val="20"/>
          <w:lang w:val="sl-SI"/>
        </w:rPr>
        <w:t xml:space="preserve"> in 931 tujerodnih vrstah na ravni Sredozemlja. Na vnos tujerodnih vrst najbolj vplivata pomorstvo z balastnimi vodami in marikultura. Pomemben dejavnik tujerodnih organizmov v Sredozemlju je tudi Sueški prekop, prek katerega lahko tujerodni organizmi prehajajo v Sredozemsko morje. Stanje slovenskega morja glede tujerodnih vrst je ocenjeno kot dobro.  </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Zaloge rib so obnovljivi vir, kar pomeni, da se te zaloge lahko ohranjajo te s primernim izkoriščanjem. Večina ribolovnih vrst slovenskega morskega ribištva je selivskih in so razširjene prek meja ribolovnega morja Republike Slovenije. Slovenski ribiči lovijo skupne staleže Jadranskega in Sredozemskega morja, ki jih poleg slovenskih ribičev izkoriščajo tudi ribiči drugih držav. Na območju severnega dela Jadranskega morja je bilo ugotovljeno, da je stalež sardel v celoti izkoriščen, stalež sardona pa zmerno izkoriščen. Nadalje je ugotovljeno, da je ulov slovenskih gospodarskih ribičev  minimalen, če ga primerjamo z ribolovom sosednjih držav (tj. Italije in Hrvaške), saj na primer za male pelagične vrste predstavlja manj kot 1% celotnega ulova teh vrst v severnem Jadranu. Slovenija je že bistveno zmanjšala svoj letni iztovor z okrog 8.000 ton (leta 1983) na 250 ton (leto 2014). To je posledica dejstva, da se staleži ribolovnih virov z leti zmanjšujejo. Po podatkih o staležu rib v Sredozemskem morju je več kot polovica staleža zunaj varnih bioloških meja zaradi prekomernega ulova. </w:t>
      </w:r>
    </w:p>
    <w:p w:rsidR="00E40322" w:rsidRPr="005771BD" w:rsidRDefault="007C37DF" w:rsidP="00E40322">
      <w:pPr>
        <w:spacing w:after="200" w:line="276" w:lineRule="auto"/>
        <w:jc w:val="both"/>
        <w:rPr>
          <w:rFonts w:eastAsia="Calibri" w:cs="Arial"/>
          <w:b/>
          <w:szCs w:val="20"/>
          <w:lang w:val="sl-SI"/>
        </w:rPr>
      </w:pPr>
      <w:r>
        <w:rPr>
          <w:rFonts w:eastAsia="Calibri" w:cs="Arial"/>
          <w:b/>
          <w:szCs w:val="20"/>
          <w:lang w:val="sl-SI"/>
        </w:rPr>
        <w:t>7</w:t>
      </w:r>
      <w:r w:rsidR="00E40322" w:rsidRPr="005771BD">
        <w:rPr>
          <w:rFonts w:eastAsia="Calibri" w:cs="Arial"/>
          <w:b/>
          <w:szCs w:val="20"/>
          <w:lang w:val="sl-SI"/>
        </w:rPr>
        <w:t>.4.</w:t>
      </w:r>
      <w:r w:rsidR="001323F1">
        <w:rPr>
          <w:rFonts w:eastAsia="Calibri" w:cs="Arial"/>
          <w:b/>
          <w:szCs w:val="20"/>
          <w:lang w:val="sl-SI"/>
        </w:rPr>
        <w:t>3</w:t>
      </w:r>
      <w:r w:rsidR="00E40322" w:rsidRPr="005771BD">
        <w:rPr>
          <w:rFonts w:eastAsia="Calibri" w:cs="Arial"/>
          <w:b/>
          <w:szCs w:val="20"/>
          <w:lang w:val="sl-SI"/>
        </w:rPr>
        <w:t xml:space="preserve"> Stanje morskih voda</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Stanje morskih voda se v skladu z Direktivo </w:t>
      </w:r>
      <w:r w:rsidRPr="00CA4ED4">
        <w:rPr>
          <w:rFonts w:eastAsia="Calibri" w:cs="Arial"/>
          <w:bCs/>
          <w:szCs w:val="20"/>
          <w:lang w:val="sl-SI"/>
        </w:rPr>
        <w:t xml:space="preserve">2008/56/ES Evropskega parlamenta in Sveta o določitvi okvira za ukrepe Skupnosti na področju politike morskega okolja (morska direktiva) oceni na podlagi 11 </w:t>
      </w:r>
      <w:r w:rsidRPr="005771BD">
        <w:rPr>
          <w:rFonts w:eastAsia="Calibri" w:cs="Arial"/>
          <w:szCs w:val="20"/>
          <w:lang w:val="sl-SI"/>
        </w:rPr>
        <w:t>deskriptorjev stanja morskega okolja: biotska raznovrstost (D1), tujerodne vrste, ki so posledica človekovih dejavnosti (D2), populacija vseh vrst rib in lupinarjev, ki se izkoriščajo v komercialne namene (D3), deli prehranjevalne verige (D4), evtrofikacija, ki jo povzroči človek (D5), neoporečnost mo</w:t>
      </w:r>
      <w:r>
        <w:rPr>
          <w:rFonts w:eastAsia="Calibri" w:cs="Arial"/>
          <w:szCs w:val="20"/>
          <w:lang w:val="sl-SI"/>
        </w:rPr>
        <w:t>r</w:t>
      </w:r>
      <w:r w:rsidRPr="005771BD">
        <w:rPr>
          <w:rFonts w:eastAsia="Calibri" w:cs="Arial"/>
          <w:szCs w:val="20"/>
          <w:lang w:val="sl-SI"/>
        </w:rPr>
        <w:t xml:space="preserve">skega dna (D6), trajna sprememba hidrografskih razmer (D7), koncentracija onesnaževal (D8), onesnaževala v ribah in drugi morski hrani, namenjeni za prehrano ljudi (D9), lastnosti in količine morskih odpadkov (D10) ter uvedba energije, vključno s podvodnim hrupom (D11). </w:t>
      </w:r>
    </w:p>
    <w:p w:rsidR="00E40322" w:rsidRPr="005771BD" w:rsidRDefault="00E40322" w:rsidP="00E40322">
      <w:pPr>
        <w:spacing w:line="276" w:lineRule="auto"/>
        <w:jc w:val="both"/>
        <w:rPr>
          <w:rFonts w:eastAsia="Calibri" w:cs="Arial"/>
          <w:szCs w:val="20"/>
          <w:lang w:val="sl-SI"/>
        </w:rPr>
      </w:pPr>
      <w:r w:rsidRPr="005771BD">
        <w:rPr>
          <w:rFonts w:eastAsia="Calibri" w:cs="Arial"/>
          <w:szCs w:val="20"/>
          <w:lang w:val="sl-SI"/>
        </w:rPr>
        <w:t>Na podlagi podatkov in prvega vrednotenja stanja morskega okolja je:</w:t>
      </w:r>
    </w:p>
    <w:p w:rsidR="00E40322" w:rsidRPr="005771BD" w:rsidRDefault="00E40322" w:rsidP="007C37DF">
      <w:pPr>
        <w:numPr>
          <w:ilvl w:val="0"/>
          <w:numId w:val="81"/>
        </w:numPr>
        <w:spacing w:before="60" w:line="276" w:lineRule="auto"/>
        <w:ind w:left="425" w:hanging="425"/>
        <w:jc w:val="both"/>
        <w:rPr>
          <w:rFonts w:eastAsia="Calibri" w:cs="Arial"/>
          <w:szCs w:val="20"/>
          <w:lang w:val="sl-SI"/>
        </w:rPr>
      </w:pPr>
      <w:r w:rsidRPr="005771BD">
        <w:rPr>
          <w:rFonts w:eastAsia="Calibri" w:cs="Arial"/>
          <w:szCs w:val="20"/>
          <w:lang w:val="sl-SI"/>
        </w:rPr>
        <w:t xml:space="preserve">za raven vrst kot del </w:t>
      </w:r>
      <w:r>
        <w:rPr>
          <w:rFonts w:eastAsia="Calibri" w:cs="Arial"/>
          <w:szCs w:val="20"/>
          <w:lang w:val="sl-SI"/>
        </w:rPr>
        <w:t>kazalca</w:t>
      </w:r>
      <w:r w:rsidRPr="005771BD">
        <w:rPr>
          <w:rFonts w:eastAsia="Calibri" w:cs="Arial"/>
          <w:szCs w:val="20"/>
          <w:lang w:val="sl-SI"/>
        </w:rPr>
        <w:t xml:space="preserve"> </w:t>
      </w:r>
      <w:r w:rsidRPr="005771BD">
        <w:rPr>
          <w:rFonts w:eastAsia="Calibri" w:cs="Arial"/>
          <w:b/>
          <w:szCs w:val="20"/>
          <w:lang w:val="sl-SI"/>
        </w:rPr>
        <w:t>biotska raznovrstnost (D1)</w:t>
      </w:r>
      <w:r w:rsidRPr="005771BD">
        <w:rPr>
          <w:rFonts w:eastAsia="Calibri" w:cs="Arial"/>
          <w:szCs w:val="20"/>
          <w:lang w:val="sl-SI"/>
        </w:rPr>
        <w:t xml:space="preserve"> ocenjeno stanje morskega okolja kot dobro, vendar je stopnja zanesljivosti ocene nizka,</w:t>
      </w:r>
    </w:p>
    <w:p w:rsidR="00E40322" w:rsidRPr="005771BD" w:rsidRDefault="00E40322" w:rsidP="007C37DF">
      <w:pPr>
        <w:numPr>
          <w:ilvl w:val="0"/>
          <w:numId w:val="81"/>
        </w:numPr>
        <w:spacing w:before="60" w:line="276" w:lineRule="auto"/>
        <w:ind w:left="425" w:hanging="425"/>
        <w:jc w:val="both"/>
        <w:rPr>
          <w:rFonts w:eastAsia="Calibri" w:cs="Arial"/>
          <w:szCs w:val="20"/>
          <w:lang w:val="sl-SI"/>
        </w:rPr>
      </w:pPr>
      <w:r w:rsidRPr="005771BD">
        <w:rPr>
          <w:rFonts w:eastAsia="Calibri" w:cs="Arial"/>
          <w:szCs w:val="20"/>
          <w:lang w:val="sl-SI"/>
        </w:rPr>
        <w:t xml:space="preserve">glede stanja </w:t>
      </w:r>
      <w:r w:rsidRPr="005771BD">
        <w:rPr>
          <w:rFonts w:eastAsia="Calibri" w:cs="Arial"/>
          <w:b/>
          <w:szCs w:val="20"/>
          <w:lang w:val="sl-SI"/>
        </w:rPr>
        <w:t xml:space="preserve">tujerodnih vrst (D2) </w:t>
      </w:r>
      <w:r w:rsidRPr="005771BD">
        <w:rPr>
          <w:rFonts w:eastAsia="Calibri" w:cs="Arial"/>
          <w:szCs w:val="20"/>
          <w:lang w:val="sl-SI"/>
        </w:rPr>
        <w:t>stanje morskega okolja ocenjeno kot dobro in stabilno, saj so te prisotne v številu in razsežnosti, ki ne ogrožata avtohtonih vrst, ne spreminjata habitatov in ne slabita genetsko avtohtone populacije,</w:t>
      </w:r>
    </w:p>
    <w:p w:rsidR="00E40322" w:rsidRPr="005771BD" w:rsidRDefault="00E40322" w:rsidP="007C37DF">
      <w:pPr>
        <w:numPr>
          <w:ilvl w:val="0"/>
          <w:numId w:val="81"/>
        </w:numPr>
        <w:spacing w:before="60" w:line="276" w:lineRule="auto"/>
        <w:ind w:left="425" w:hanging="425"/>
        <w:jc w:val="both"/>
        <w:rPr>
          <w:rFonts w:eastAsia="Calibri" w:cs="Arial"/>
          <w:szCs w:val="20"/>
          <w:lang w:val="sl-SI"/>
        </w:rPr>
      </w:pPr>
      <w:r w:rsidRPr="005771BD">
        <w:rPr>
          <w:rFonts w:eastAsia="Calibri" w:cs="Arial"/>
          <w:szCs w:val="20"/>
          <w:lang w:val="sl-SI"/>
        </w:rPr>
        <w:t xml:space="preserve">glede staleža gospodarsko pomembnih vrst </w:t>
      </w:r>
      <w:r w:rsidRPr="005771BD">
        <w:rPr>
          <w:rFonts w:eastAsia="Calibri" w:cs="Arial"/>
          <w:b/>
          <w:szCs w:val="20"/>
          <w:lang w:val="sl-SI"/>
        </w:rPr>
        <w:t>(D3)</w:t>
      </w:r>
      <w:r w:rsidRPr="005771BD">
        <w:rPr>
          <w:rFonts w:eastAsia="Calibri" w:cs="Arial"/>
          <w:szCs w:val="20"/>
          <w:lang w:val="sl-SI"/>
        </w:rPr>
        <w:t xml:space="preserve"> stanje morskega okolja ocenjeno kot slabo, saj je stalež morskega lista v prelovu, stalež sardele in sardona pa v celoti izkoriščen,</w:t>
      </w:r>
    </w:p>
    <w:p w:rsidR="00E40322" w:rsidRPr="005771BD" w:rsidRDefault="00E40322" w:rsidP="007C37DF">
      <w:pPr>
        <w:numPr>
          <w:ilvl w:val="0"/>
          <w:numId w:val="81"/>
        </w:numPr>
        <w:spacing w:before="60" w:line="276" w:lineRule="auto"/>
        <w:ind w:left="425" w:hanging="425"/>
        <w:jc w:val="both"/>
        <w:rPr>
          <w:rFonts w:eastAsia="Calibri" w:cs="Arial"/>
          <w:szCs w:val="20"/>
          <w:lang w:val="sl-SI"/>
        </w:rPr>
      </w:pPr>
      <w:r w:rsidRPr="005771BD">
        <w:rPr>
          <w:rFonts w:eastAsia="Calibri" w:cs="Arial"/>
          <w:szCs w:val="20"/>
          <w:lang w:val="sl-SI"/>
        </w:rPr>
        <w:t xml:space="preserve">stanje za skupine, ki se hitro odzivajo na spremembe v sistemu in hitro obnavljajo </w:t>
      </w:r>
      <w:r w:rsidRPr="005771BD">
        <w:rPr>
          <w:rFonts w:eastAsia="Calibri" w:cs="Arial"/>
          <w:b/>
          <w:szCs w:val="20"/>
          <w:lang w:val="sl-SI"/>
        </w:rPr>
        <w:t>(D4)</w:t>
      </w:r>
      <w:r w:rsidRPr="005771BD">
        <w:rPr>
          <w:rFonts w:eastAsia="Calibri" w:cs="Arial"/>
          <w:szCs w:val="20"/>
          <w:lang w:val="sl-SI"/>
        </w:rPr>
        <w:t xml:space="preserve">, za dve funkcionalni skupini, pri čemer je za eno (klobučnjaške meduze) ocenjeno kot slabo, za drugo (zooplankton) pa kot dobro, </w:t>
      </w:r>
    </w:p>
    <w:p w:rsidR="00E40322" w:rsidRPr="005771BD" w:rsidRDefault="00E40322" w:rsidP="007C37DF">
      <w:pPr>
        <w:numPr>
          <w:ilvl w:val="0"/>
          <w:numId w:val="81"/>
        </w:numPr>
        <w:spacing w:before="60" w:line="276" w:lineRule="auto"/>
        <w:ind w:left="425" w:hanging="425"/>
        <w:jc w:val="both"/>
        <w:rPr>
          <w:rFonts w:eastAsia="Calibri" w:cs="Arial"/>
          <w:bCs/>
          <w:szCs w:val="20"/>
          <w:lang w:val="sl-SI"/>
        </w:rPr>
      </w:pPr>
      <w:r w:rsidRPr="005771BD">
        <w:rPr>
          <w:rFonts w:eastAsia="Calibri" w:cs="Arial"/>
          <w:szCs w:val="20"/>
          <w:lang w:val="sl-SI"/>
        </w:rPr>
        <w:t xml:space="preserve">glede stopnje </w:t>
      </w:r>
      <w:r w:rsidRPr="005771BD">
        <w:rPr>
          <w:rFonts w:eastAsia="Calibri" w:cs="Arial"/>
          <w:b/>
          <w:szCs w:val="20"/>
          <w:lang w:val="sl-SI"/>
        </w:rPr>
        <w:t>evtrofikacije (D5)</w:t>
      </w:r>
      <w:r w:rsidRPr="005771BD">
        <w:rPr>
          <w:rFonts w:eastAsia="Calibri" w:cs="Arial"/>
          <w:szCs w:val="20"/>
          <w:lang w:val="sl-SI"/>
        </w:rPr>
        <w:t xml:space="preserve"> stanje dobro, čeprav vrstna sestava fitoplanktona, makroalg in morskih cvetnic ponekod kažejo na prekomerno obremenitev obalnega pasu morja s hranili, </w:t>
      </w:r>
    </w:p>
    <w:p w:rsidR="00E40322" w:rsidRPr="005771BD" w:rsidRDefault="00E40322" w:rsidP="007C37DF">
      <w:pPr>
        <w:numPr>
          <w:ilvl w:val="0"/>
          <w:numId w:val="81"/>
        </w:numPr>
        <w:spacing w:before="60" w:line="276" w:lineRule="auto"/>
        <w:ind w:left="425" w:hanging="425"/>
        <w:jc w:val="both"/>
        <w:rPr>
          <w:rFonts w:eastAsia="Calibri" w:cs="Arial"/>
          <w:bCs/>
          <w:szCs w:val="20"/>
          <w:lang w:val="sl-SI"/>
        </w:rPr>
      </w:pPr>
      <w:r w:rsidRPr="005771BD">
        <w:rPr>
          <w:rFonts w:eastAsia="Calibri" w:cs="Arial"/>
          <w:szCs w:val="20"/>
          <w:lang w:val="sl-SI"/>
        </w:rPr>
        <w:t xml:space="preserve">glede </w:t>
      </w:r>
      <w:r w:rsidRPr="005771BD">
        <w:rPr>
          <w:rFonts w:eastAsia="Calibri" w:cs="Arial"/>
          <w:b/>
          <w:szCs w:val="20"/>
          <w:lang w:val="sl-SI"/>
        </w:rPr>
        <w:t xml:space="preserve">poškodb morskega dna (D6) </w:t>
      </w:r>
      <w:r w:rsidRPr="005771BD">
        <w:rPr>
          <w:rFonts w:eastAsia="Calibri" w:cs="Arial"/>
          <w:szCs w:val="20"/>
          <w:lang w:val="sl-SI"/>
        </w:rPr>
        <w:t>ugotovljeno, da obseg poškodb morskega dna zaradi človekovih dejavnosti v slovenskem morju ni zanemarljiv in je stanje slabo. Kljub temu pa je bilo tudi ugotovljeno, da je stanje bentoških skupnosti (kot so raznolikost in bogastvo vrst ter delež oportunističnih in občutljivih vrst) dobro, vendar ocena velja le za del obalnega pasu (sedimentno dno infralitorala),</w:t>
      </w:r>
    </w:p>
    <w:p w:rsidR="00E40322" w:rsidRPr="005771BD" w:rsidRDefault="00E40322" w:rsidP="007C37DF">
      <w:pPr>
        <w:numPr>
          <w:ilvl w:val="0"/>
          <w:numId w:val="81"/>
        </w:numPr>
        <w:spacing w:before="60" w:line="276" w:lineRule="auto"/>
        <w:ind w:left="425" w:hanging="425"/>
        <w:jc w:val="both"/>
        <w:rPr>
          <w:rFonts w:eastAsia="Calibri" w:cs="Arial"/>
          <w:szCs w:val="20"/>
          <w:lang w:val="sl-SI"/>
        </w:rPr>
      </w:pPr>
      <w:r w:rsidRPr="005771BD">
        <w:rPr>
          <w:rFonts w:eastAsia="Calibri" w:cs="Arial"/>
          <w:szCs w:val="20"/>
          <w:lang w:val="sl-SI"/>
        </w:rPr>
        <w:t xml:space="preserve">glede </w:t>
      </w:r>
      <w:r w:rsidRPr="005771BD">
        <w:rPr>
          <w:rFonts w:eastAsia="Calibri" w:cs="Arial"/>
          <w:b/>
          <w:szCs w:val="20"/>
          <w:lang w:val="sl-SI"/>
        </w:rPr>
        <w:t>sprememb hidrografskih pogojev (D7)</w:t>
      </w:r>
      <w:r w:rsidRPr="005771BD">
        <w:rPr>
          <w:rFonts w:eastAsia="Calibri" w:cs="Arial"/>
          <w:szCs w:val="20"/>
          <w:lang w:val="sl-SI"/>
        </w:rPr>
        <w:t xml:space="preserve"> ocenjeno stanje morskega okolja kot dobro.  Edino večje območje, kjer je prišlo do trajnih sprememb večjih razsežnosti, je Koprski zaliv, kjer so bile zaznane večje in trajne spremembe habitatov, </w:t>
      </w:r>
    </w:p>
    <w:p w:rsidR="00E40322" w:rsidRPr="005771BD" w:rsidRDefault="00E40322" w:rsidP="007C37DF">
      <w:pPr>
        <w:numPr>
          <w:ilvl w:val="0"/>
          <w:numId w:val="81"/>
        </w:numPr>
        <w:spacing w:before="60" w:line="276" w:lineRule="auto"/>
        <w:ind w:left="425" w:hanging="425"/>
        <w:jc w:val="both"/>
        <w:rPr>
          <w:rFonts w:eastAsia="Calibri" w:cs="Arial"/>
          <w:szCs w:val="20"/>
          <w:lang w:val="sl-SI"/>
        </w:rPr>
      </w:pPr>
      <w:r w:rsidRPr="005771BD">
        <w:rPr>
          <w:rFonts w:eastAsia="Calibri" w:cs="Arial"/>
          <w:szCs w:val="20"/>
          <w:lang w:val="sl-SI"/>
        </w:rPr>
        <w:t xml:space="preserve">glede </w:t>
      </w:r>
      <w:r w:rsidRPr="005771BD">
        <w:rPr>
          <w:rFonts w:eastAsia="Calibri" w:cs="Arial"/>
          <w:b/>
          <w:szCs w:val="20"/>
          <w:lang w:val="sl-SI"/>
        </w:rPr>
        <w:t>prisotnosti onesnaževal v morskem okolju (D8)</w:t>
      </w:r>
      <w:r w:rsidRPr="005771BD">
        <w:rPr>
          <w:rFonts w:eastAsia="Calibri" w:cs="Arial"/>
          <w:szCs w:val="20"/>
          <w:lang w:val="sl-SI"/>
        </w:rPr>
        <w:t xml:space="preserve"> ocenjeno stanje morskega okolja kot slabo, saj so bile izmerjene prekomerne koncentracije tributilkositrovih spojin (TBT) in ugotovljeno naraščanje živega srebra v sedimentu. Koncentracije drugih onesnaževal (poliaromatski ogljikovodiki, kovine ipd.) so pod vrednostmi (standardi kakovosti), ki bi lahko negativno vplivale na organizme,</w:t>
      </w:r>
    </w:p>
    <w:p w:rsidR="00E40322" w:rsidRPr="005771BD" w:rsidRDefault="00E40322" w:rsidP="007C37DF">
      <w:pPr>
        <w:numPr>
          <w:ilvl w:val="0"/>
          <w:numId w:val="81"/>
        </w:numPr>
        <w:spacing w:before="60" w:line="276" w:lineRule="auto"/>
        <w:ind w:left="425" w:hanging="425"/>
        <w:jc w:val="both"/>
        <w:rPr>
          <w:rFonts w:eastAsia="Calibri" w:cs="Arial"/>
          <w:szCs w:val="20"/>
          <w:lang w:val="sl-SI"/>
        </w:rPr>
      </w:pPr>
      <w:r w:rsidRPr="005771BD">
        <w:rPr>
          <w:rFonts w:eastAsia="Calibri" w:cs="Arial"/>
          <w:szCs w:val="20"/>
          <w:lang w:val="sl-SI"/>
        </w:rPr>
        <w:t xml:space="preserve">glede </w:t>
      </w:r>
      <w:r w:rsidRPr="005771BD">
        <w:rPr>
          <w:rFonts w:eastAsia="Calibri" w:cs="Arial"/>
          <w:b/>
          <w:szCs w:val="20"/>
          <w:lang w:val="sl-SI"/>
        </w:rPr>
        <w:t>prisotnosti onesnaževal v ribah in drugi morski hrani (D9)</w:t>
      </w:r>
      <w:r w:rsidRPr="005771BD">
        <w:rPr>
          <w:rFonts w:eastAsia="Calibri" w:cs="Arial"/>
          <w:szCs w:val="20"/>
          <w:lang w:val="sl-SI"/>
        </w:rPr>
        <w:t xml:space="preserve"> je ocenjeno stanje morskega okolja kot dobro, saj onesnaževala ne presegajo vrednosti koncentracij onesnaževal (zanesljivost ocene je nizka), </w:t>
      </w:r>
    </w:p>
    <w:p w:rsidR="00E40322" w:rsidRPr="005771BD" w:rsidRDefault="00E40322" w:rsidP="007C37DF">
      <w:pPr>
        <w:numPr>
          <w:ilvl w:val="0"/>
          <w:numId w:val="81"/>
        </w:numPr>
        <w:spacing w:before="60" w:line="276" w:lineRule="auto"/>
        <w:ind w:left="425" w:hanging="425"/>
        <w:jc w:val="both"/>
        <w:rPr>
          <w:rFonts w:eastAsia="Calibri" w:cs="Arial"/>
          <w:szCs w:val="20"/>
          <w:lang w:val="sl-SI"/>
        </w:rPr>
      </w:pPr>
      <w:r w:rsidRPr="005771BD">
        <w:rPr>
          <w:rFonts w:eastAsia="Calibri" w:cs="Arial"/>
          <w:szCs w:val="20"/>
          <w:lang w:val="sl-SI"/>
        </w:rPr>
        <w:t xml:space="preserve">glede na </w:t>
      </w:r>
      <w:r w:rsidRPr="005771BD">
        <w:rPr>
          <w:rFonts w:eastAsia="Calibri" w:cs="Arial"/>
          <w:b/>
          <w:szCs w:val="20"/>
          <w:lang w:val="sl-SI"/>
        </w:rPr>
        <w:t>prisotnost morskih odpadkov (D10)</w:t>
      </w:r>
      <w:r w:rsidRPr="005771BD">
        <w:rPr>
          <w:rFonts w:eastAsia="Calibri" w:cs="Arial"/>
          <w:szCs w:val="20"/>
          <w:lang w:val="sl-SI"/>
        </w:rPr>
        <w:t xml:space="preserve"> zaznana preobremenjenost okolja zaradi obsega odpadkov na obali in v morskem okolju, a tudi trend zmanjševanja odpadkov na obali. Zaradi značilnosti severnega Jadranskega morja in tudi slovenskega morja (plitvo, polzaprto območje, počasna izmenjava vode) pa so pomembni viri vnosa odpadkov v morsko okolje tudi vodotoki, in sicer tudi na zaradi čezmejnega obremenjevanja (reke Pad, Adiža, Livenza in Soča). Prepoznane človekove dejavnosti, ki pomembno vplivajo na vnos odpadkov, so turizem, ribištvo in marikultura,</w:t>
      </w:r>
    </w:p>
    <w:p w:rsidR="00E40322" w:rsidRPr="005771BD" w:rsidRDefault="00E40322" w:rsidP="007C37DF">
      <w:pPr>
        <w:numPr>
          <w:ilvl w:val="0"/>
          <w:numId w:val="81"/>
        </w:numPr>
        <w:spacing w:before="60" w:line="276" w:lineRule="auto"/>
        <w:ind w:left="425" w:hanging="425"/>
        <w:jc w:val="both"/>
        <w:rPr>
          <w:rFonts w:eastAsia="Calibri" w:cs="Arial"/>
          <w:szCs w:val="20"/>
          <w:lang w:val="sl-SI"/>
        </w:rPr>
      </w:pPr>
      <w:r w:rsidRPr="005771BD">
        <w:rPr>
          <w:rFonts w:eastAsia="Calibri" w:cs="Arial"/>
          <w:szCs w:val="20"/>
          <w:lang w:val="sl-SI"/>
        </w:rPr>
        <w:t xml:space="preserve">glede </w:t>
      </w:r>
      <w:r w:rsidRPr="005771BD">
        <w:rPr>
          <w:rFonts w:eastAsia="Calibri" w:cs="Arial"/>
          <w:b/>
          <w:szCs w:val="20"/>
          <w:lang w:val="sl-SI"/>
        </w:rPr>
        <w:t xml:space="preserve">podvodnega hrupa (D11) </w:t>
      </w:r>
      <w:r w:rsidRPr="005771BD">
        <w:rPr>
          <w:rFonts w:eastAsia="Calibri" w:cs="Arial"/>
          <w:szCs w:val="20"/>
          <w:lang w:val="sl-SI"/>
        </w:rPr>
        <w:t>ocenjeno, da so ravni</w:t>
      </w:r>
      <w:r w:rsidRPr="005771BD">
        <w:rPr>
          <w:rFonts w:eastAsia="Calibri" w:cs="Arial"/>
          <w:b/>
          <w:szCs w:val="20"/>
          <w:lang w:val="sl-SI"/>
        </w:rPr>
        <w:t xml:space="preserve"> </w:t>
      </w:r>
      <w:r w:rsidRPr="003D06A9">
        <w:rPr>
          <w:rFonts w:eastAsia="Calibri" w:cs="Arial"/>
          <w:szCs w:val="20"/>
          <w:lang w:val="sl-SI"/>
        </w:rPr>
        <w:t xml:space="preserve">stalnega </w:t>
      </w:r>
      <w:r w:rsidRPr="005771BD">
        <w:rPr>
          <w:rFonts w:eastAsia="Calibri" w:cs="Arial"/>
          <w:szCs w:val="20"/>
          <w:lang w:val="sl-SI"/>
        </w:rPr>
        <w:t>podvodnega hrupa dokaj visoke in da neposredno vplivajo na vedenjske značilnosti morskih organizmov. Prepoznane človekove dejavnosti, ki pomembno vplivajo na obremenjevanje morskega okolja s stalnim podvodnim hrupom v slovenskem morju, so pomorski promet, turizem ter pristanišča in marine, medtem ko so glavni viri obremenitev morskega okolja z impulznim hrupom v slovenskem morju predvsem sonarji in gradbeni posegi v obalnih vodah (npr. zabijanje pilotov za temeljenje obalnih konstrukcij).</w:t>
      </w:r>
    </w:p>
    <w:p w:rsidR="00E40322" w:rsidRPr="005771BD" w:rsidRDefault="00E40322" w:rsidP="00E40322">
      <w:pPr>
        <w:spacing w:after="200" w:line="276" w:lineRule="auto"/>
        <w:jc w:val="both"/>
        <w:rPr>
          <w:rFonts w:eastAsia="Calibri" w:cs="Arial"/>
          <w:szCs w:val="20"/>
          <w:lang w:val="sl-SI"/>
        </w:rPr>
      </w:pPr>
    </w:p>
    <w:p w:rsidR="00E40322" w:rsidRPr="005771BD" w:rsidRDefault="00E40322" w:rsidP="00E40322">
      <w:pPr>
        <w:spacing w:after="200" w:line="276" w:lineRule="auto"/>
        <w:jc w:val="both"/>
        <w:rPr>
          <w:rFonts w:eastAsia="Calibri" w:cs="Arial"/>
          <w:szCs w:val="20"/>
          <w:lang w:val="sl-SI"/>
        </w:rPr>
      </w:pPr>
      <w:r w:rsidRPr="007F272F">
        <w:rPr>
          <w:rFonts w:eastAsia="Calibri" w:cs="Arial"/>
          <w:noProof/>
          <w:szCs w:val="20"/>
          <w:lang w:val="sl-SI" w:eastAsia="sl-SI"/>
        </w:rPr>
        <w:drawing>
          <wp:inline distT="0" distB="0" distL="0" distR="0" wp14:anchorId="12266E55" wp14:editId="67637F4E">
            <wp:extent cx="4713889" cy="3333967"/>
            <wp:effectExtent l="0" t="0" r="0" b="0"/>
            <wp:docPr id="79" name="Slika 79" descr="D:\10Aktivni projekti 2016\B 1503\PU NUMO za javno obravnavo\Priloge\NUMO-Slike\Slika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10Aktivni projekti 2016\B 1503\PU NUMO za javno obravnavo\Priloge\NUMO-Slike\Slika 28.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714135" cy="3334141"/>
                    </a:xfrm>
                    <a:prstGeom prst="rect">
                      <a:avLst/>
                    </a:prstGeom>
                    <a:noFill/>
                    <a:ln>
                      <a:noFill/>
                    </a:ln>
                  </pic:spPr>
                </pic:pic>
              </a:graphicData>
            </a:graphic>
          </wp:inline>
        </w:drawing>
      </w:r>
    </w:p>
    <w:p w:rsidR="00E40322" w:rsidRPr="005771BD" w:rsidRDefault="00E40322" w:rsidP="00E40322">
      <w:pPr>
        <w:spacing w:after="200" w:line="276" w:lineRule="auto"/>
        <w:jc w:val="both"/>
        <w:rPr>
          <w:rFonts w:eastAsia="Calibri" w:cs="Arial"/>
          <w:bCs/>
          <w:i/>
          <w:szCs w:val="20"/>
          <w:lang w:val="sl-SI"/>
        </w:rPr>
      </w:pPr>
      <w:bookmarkStart w:id="14" w:name="_Ref449008995"/>
      <w:bookmarkStart w:id="15" w:name="_Toc461708308"/>
      <w:r w:rsidRPr="005771BD">
        <w:rPr>
          <w:rFonts w:eastAsia="Calibri" w:cs="Arial"/>
          <w:bCs/>
          <w:i/>
          <w:szCs w:val="20"/>
          <w:lang w:val="sl-SI"/>
        </w:rPr>
        <w:t>Slika</w:t>
      </w:r>
      <w:bookmarkEnd w:id="14"/>
      <w:r w:rsidRPr="005771BD">
        <w:rPr>
          <w:rFonts w:eastAsia="Calibri" w:cs="Arial"/>
          <w:bCs/>
          <w:i/>
          <w:szCs w:val="20"/>
          <w:lang w:val="sl-SI"/>
        </w:rPr>
        <w:t xml:space="preserve"> </w:t>
      </w:r>
      <w:r w:rsidR="007C37DF">
        <w:rPr>
          <w:rFonts w:eastAsia="Calibri" w:cs="Arial"/>
          <w:bCs/>
          <w:i/>
          <w:szCs w:val="20"/>
          <w:lang w:val="sl-SI"/>
        </w:rPr>
        <w:t>7</w:t>
      </w:r>
      <w:r w:rsidRPr="005771BD">
        <w:rPr>
          <w:rFonts w:eastAsia="Calibri" w:cs="Arial"/>
          <w:bCs/>
          <w:i/>
          <w:szCs w:val="20"/>
          <w:lang w:val="sl-SI"/>
        </w:rPr>
        <w:t xml:space="preserve">.11: </w:t>
      </w:r>
      <w:bookmarkStart w:id="16" w:name="_Toc353268519"/>
      <w:r w:rsidRPr="005771BD">
        <w:rPr>
          <w:rFonts w:eastAsia="Calibri" w:cs="Arial"/>
          <w:bCs/>
          <w:i/>
          <w:szCs w:val="20"/>
          <w:lang w:val="sl-SI"/>
        </w:rPr>
        <w:t>Ocena stanja na podlagi koncentracij hranilnih snovi v vodnem stolpcu</w:t>
      </w:r>
      <w:bookmarkEnd w:id="15"/>
      <w:r w:rsidRPr="005771BD">
        <w:rPr>
          <w:rFonts w:eastAsia="Calibri" w:cs="Arial"/>
          <w:bCs/>
          <w:i/>
          <w:szCs w:val="20"/>
          <w:lang w:val="sl-SI"/>
        </w:rPr>
        <w:t xml:space="preserve"> </w:t>
      </w:r>
      <w:bookmarkEnd w:id="16"/>
    </w:p>
    <w:p w:rsidR="00E40322" w:rsidRPr="001323F1" w:rsidRDefault="007C37DF" w:rsidP="00E40322">
      <w:pPr>
        <w:spacing w:after="200" w:line="276" w:lineRule="auto"/>
        <w:jc w:val="both"/>
        <w:rPr>
          <w:rFonts w:eastAsia="Calibri" w:cs="Arial"/>
          <w:b/>
          <w:szCs w:val="20"/>
          <w:u w:val="single"/>
          <w:lang w:val="sl-SI"/>
        </w:rPr>
      </w:pPr>
      <w:r w:rsidRPr="001323F1">
        <w:rPr>
          <w:rFonts w:eastAsia="Calibri" w:cs="Arial"/>
          <w:b/>
          <w:szCs w:val="20"/>
          <w:u w:val="single"/>
          <w:lang w:val="sl-SI"/>
        </w:rPr>
        <w:t>7</w:t>
      </w:r>
      <w:r w:rsidR="00E40322" w:rsidRPr="001323F1">
        <w:rPr>
          <w:rFonts w:eastAsia="Calibri" w:cs="Arial"/>
          <w:b/>
          <w:szCs w:val="20"/>
          <w:u w:val="single"/>
          <w:lang w:val="sl-SI"/>
        </w:rPr>
        <w:t xml:space="preserve">.5 Stanje voda, pomembnih za življenje sladkovodnih vrst rib, in stanje kopalnih voda </w:t>
      </w:r>
    </w:p>
    <w:p w:rsidR="00E40322" w:rsidRPr="005771BD" w:rsidRDefault="00E40322" w:rsidP="00E40322">
      <w:pPr>
        <w:spacing w:after="200" w:line="276" w:lineRule="auto"/>
        <w:jc w:val="both"/>
        <w:rPr>
          <w:rFonts w:eastAsia="Calibri" w:cs="Arial"/>
          <w:szCs w:val="20"/>
          <w:lang w:val="sl-SI"/>
        </w:rPr>
      </w:pPr>
      <w:r w:rsidRPr="005771BD">
        <w:rPr>
          <w:rFonts w:eastAsia="Calibri" w:cs="Arial"/>
          <w:b/>
          <w:szCs w:val="20"/>
          <w:lang w:val="sl-SI"/>
        </w:rPr>
        <w:t>Kakovost voda za življenje sladkovodnih vrst rib</w:t>
      </w:r>
      <w:r w:rsidRPr="005771BD">
        <w:rPr>
          <w:rFonts w:eastAsia="Calibri" w:cs="Arial"/>
          <w:szCs w:val="20"/>
          <w:lang w:val="sl-SI"/>
        </w:rPr>
        <w:t xml:space="preserve"> je bila v letu 2014 ustrezna na 21 odsekih od skupno 22 odsekov površinskih voda (kazalec [</w:t>
      </w:r>
      <w:hyperlink r:id="rId121" w:history="1">
        <w:r w:rsidRPr="005771BD">
          <w:rPr>
            <w:rStyle w:val="Hiperpovezava"/>
            <w:rFonts w:eastAsia="Calibri" w:cs="Arial"/>
            <w:szCs w:val="20"/>
            <w:lang w:val="sl-SI"/>
          </w:rPr>
          <w:t>VD13</w:t>
        </w:r>
      </w:hyperlink>
      <w:r w:rsidRPr="005771BD">
        <w:rPr>
          <w:rFonts w:eastAsia="Calibri" w:cs="Arial"/>
          <w:szCs w:val="20"/>
          <w:u w:val="single"/>
          <w:lang w:val="sl-SI"/>
        </w:rPr>
        <w:t>]</w:t>
      </w:r>
      <w:r w:rsidRPr="005771BD">
        <w:rPr>
          <w:rFonts w:eastAsia="Calibri" w:cs="Arial"/>
          <w:szCs w:val="20"/>
          <w:lang w:val="sl-SI"/>
        </w:rPr>
        <w:t xml:space="preserve">). V salmonidnih vodah je v letu 2014 kakovost vode ustrezala mejnim vrednostim na vseh 13 odsekih. Najboljša kakovost vode je bila ugotovljena na salmonidnem odseku Soče od izvira do izliva Tolminke. </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Na odsekih ciprinidnih voda so bile meritve izvedene na devetih merilnih mestih, kakovost vode pa ni ustrezala mejni vrednosti amonijaka na odseku Mure od cestnega mostu Petanjci do izliva Ščavnice zaradi previsoke vsebnosti amonijaka v vodi, izmerjenega v juliju 2014. Mejna vrednost amonijaka za ciprinidne vode je 0,025 mg NH</w:t>
      </w:r>
      <w:r w:rsidRPr="005771BD">
        <w:rPr>
          <w:rFonts w:eastAsia="Calibri" w:cs="Arial"/>
          <w:szCs w:val="20"/>
          <w:vertAlign w:val="subscript"/>
          <w:lang w:val="sl-SI"/>
        </w:rPr>
        <w:t>3</w:t>
      </w:r>
      <w:r w:rsidRPr="005771BD">
        <w:rPr>
          <w:rFonts w:eastAsia="Calibri" w:cs="Arial"/>
          <w:szCs w:val="20"/>
          <w:lang w:val="sl-SI"/>
        </w:rPr>
        <w:t>/l, izmerjena pa je bila vsebnost 0,043 mg NH</w:t>
      </w:r>
      <w:r w:rsidRPr="005771BD">
        <w:rPr>
          <w:rFonts w:eastAsia="Calibri" w:cs="Arial"/>
          <w:szCs w:val="20"/>
          <w:vertAlign w:val="subscript"/>
          <w:lang w:val="sl-SI"/>
        </w:rPr>
        <w:t>3</w:t>
      </w:r>
      <w:r w:rsidRPr="005771BD">
        <w:rPr>
          <w:rFonts w:eastAsia="Calibri" w:cs="Arial"/>
          <w:szCs w:val="20"/>
          <w:lang w:val="sl-SI"/>
        </w:rPr>
        <w:t xml:space="preserve">/l. Najboljša kakovost vode med ciprinidnimi odseki, kjer so vsi parametri ustrezali tudi njihovim priporočenim vrednostim, je bila določena na Kolpi od izliva Lahinje do državne meje Božakovo, na Krki od izliva Bršlinskega potoka do izliva v Savo, na Nadiži od državne meje do državne meje ter na Dragonji od Škrlin do mejnega prehoda Dragonja. </w:t>
      </w:r>
    </w:p>
    <w:p w:rsidR="00E40322" w:rsidRPr="005771BD" w:rsidRDefault="00E40322" w:rsidP="007C37DF">
      <w:pPr>
        <w:spacing w:after="360" w:line="276" w:lineRule="auto"/>
        <w:jc w:val="both"/>
        <w:rPr>
          <w:rFonts w:eastAsia="Calibri" w:cs="Arial"/>
          <w:szCs w:val="20"/>
          <w:lang w:val="sl-SI"/>
        </w:rPr>
      </w:pPr>
      <w:r w:rsidRPr="005771BD">
        <w:rPr>
          <w:rFonts w:eastAsia="Calibri" w:cs="Arial"/>
          <w:b/>
          <w:szCs w:val="20"/>
          <w:lang w:val="sl-SI"/>
        </w:rPr>
        <w:t xml:space="preserve">Kakovost kopalnih voda </w:t>
      </w:r>
      <w:r w:rsidRPr="005771BD">
        <w:rPr>
          <w:rFonts w:eastAsia="Calibri" w:cs="Arial"/>
          <w:szCs w:val="20"/>
          <w:lang w:val="sl-SI"/>
        </w:rPr>
        <w:t>je že nekaj let ustrezna na vseh lokacijah, ki so namenjene kopanju, in je primerljiva tudi s kakovostjo kopalnih voda po Evropi (kazalec [</w:t>
      </w:r>
      <w:hyperlink r:id="rId122" w:history="1">
        <w:r w:rsidRPr="005771BD">
          <w:rPr>
            <w:rStyle w:val="Hiperpovezava"/>
            <w:rFonts w:eastAsia="Calibri" w:cs="Arial"/>
            <w:szCs w:val="20"/>
            <w:lang w:val="sl-SI"/>
          </w:rPr>
          <w:t>VD09</w:t>
        </w:r>
      </w:hyperlink>
      <w:r w:rsidRPr="005771BD">
        <w:rPr>
          <w:rFonts w:eastAsia="Calibri" w:cs="Arial"/>
          <w:szCs w:val="20"/>
          <w:u w:val="single"/>
          <w:lang w:val="sl-SI"/>
        </w:rPr>
        <w:t>]</w:t>
      </w:r>
      <w:r w:rsidRPr="005771BD">
        <w:rPr>
          <w:rFonts w:eastAsia="Calibri" w:cs="Arial"/>
          <w:szCs w:val="20"/>
          <w:lang w:val="sl-SI"/>
        </w:rPr>
        <w:t xml:space="preserve">). To potrjujejo tudi rezultati za leto 2015, saj so vse kopalne vode v Sloveniji ustrezne, večinoma </w:t>
      </w:r>
      <w:r w:rsidRPr="005771BD">
        <w:rPr>
          <w:rFonts w:eastAsia="Calibri" w:cs="Arial"/>
          <w:b/>
          <w:szCs w:val="20"/>
          <w:lang w:val="sl-SI"/>
        </w:rPr>
        <w:t>odlične in dobre</w:t>
      </w:r>
      <w:r w:rsidRPr="005771BD">
        <w:rPr>
          <w:rFonts w:eastAsia="Calibri" w:cs="Arial"/>
          <w:szCs w:val="20"/>
          <w:lang w:val="sl-SI"/>
        </w:rPr>
        <w:t xml:space="preserve"> (96 % vseh kopalnih voda), zadostni le dve (kopalno območje Idrijca v Bači pri Modreju in kopalno območje Soča v Kanalu), medtem ko slabih oziroma neustreznih ne beležimo. Kakovost kopalnih voda se v Sloveniji spremlja na 21 lokacijah na morju, 19 na rekah (na Krki, Kolpi, Soči, Idrijci in Nadiži) in 8 na jezerih (na Blejskem in Bohinjskem jezeru ter Šobčevem bajerju). </w:t>
      </w:r>
    </w:p>
    <w:p w:rsidR="00E40322" w:rsidRPr="005771BD" w:rsidRDefault="007C37DF" w:rsidP="00E40322">
      <w:pPr>
        <w:spacing w:after="200" w:line="276" w:lineRule="auto"/>
        <w:jc w:val="both"/>
        <w:rPr>
          <w:rFonts w:eastAsia="Calibri" w:cs="Arial"/>
          <w:b/>
          <w:bCs/>
          <w:szCs w:val="20"/>
          <w:u w:val="single"/>
          <w:lang w:val="sl-SI"/>
        </w:rPr>
      </w:pPr>
      <w:r>
        <w:rPr>
          <w:rFonts w:eastAsia="Calibri" w:cs="Arial"/>
          <w:b/>
          <w:bCs/>
          <w:szCs w:val="20"/>
          <w:u w:val="single"/>
          <w:lang w:val="sl-SI"/>
        </w:rPr>
        <w:t>7</w:t>
      </w:r>
      <w:r w:rsidR="00E40322" w:rsidRPr="005771BD">
        <w:rPr>
          <w:rFonts w:eastAsia="Calibri" w:cs="Arial"/>
          <w:b/>
          <w:bCs/>
          <w:szCs w:val="20"/>
          <w:u w:val="single"/>
          <w:lang w:val="sl-SI"/>
        </w:rPr>
        <w:t>.6  Obvladovanje obremenjevanja voda</w:t>
      </w:r>
    </w:p>
    <w:p w:rsidR="00E40322" w:rsidRPr="005771BD" w:rsidRDefault="007C37DF" w:rsidP="00E40322">
      <w:pPr>
        <w:spacing w:after="200" w:line="276" w:lineRule="auto"/>
        <w:jc w:val="both"/>
        <w:rPr>
          <w:rFonts w:eastAsia="Calibri" w:cs="Arial"/>
          <w:b/>
          <w:szCs w:val="20"/>
          <w:lang w:val="sl-SI"/>
        </w:rPr>
      </w:pPr>
      <w:r>
        <w:rPr>
          <w:rFonts w:eastAsia="Calibri" w:cs="Arial"/>
          <w:b/>
          <w:szCs w:val="20"/>
          <w:lang w:val="sl-SI"/>
        </w:rPr>
        <w:t>7</w:t>
      </w:r>
      <w:r w:rsidR="00E40322" w:rsidRPr="005771BD">
        <w:rPr>
          <w:rFonts w:eastAsia="Calibri" w:cs="Arial"/>
          <w:b/>
          <w:szCs w:val="20"/>
          <w:lang w:val="sl-SI"/>
        </w:rPr>
        <w:t>.6.1  Zakonodajni okvir</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Stanje voda in vodnega okolja (varstvo in rabo voda ter vodnega in obvodnega prostora, urejanje voda in varstvo od voda odvisnih ekosistemov)</w:t>
      </w:r>
      <w:r w:rsidRPr="005771BD" w:rsidDel="00FC24E6">
        <w:rPr>
          <w:rFonts w:eastAsia="Calibri" w:cs="Arial"/>
          <w:szCs w:val="20"/>
          <w:lang w:val="sl-SI"/>
        </w:rPr>
        <w:t xml:space="preserve"> </w:t>
      </w:r>
      <w:r w:rsidRPr="005771BD">
        <w:rPr>
          <w:rFonts w:eastAsia="Calibri" w:cs="Arial"/>
          <w:szCs w:val="20"/>
          <w:lang w:val="sl-SI"/>
        </w:rPr>
        <w:t xml:space="preserve">urejajo trije zakoni: Zakon o varstvu okolja, Zakon o vodah in Zakon o ohranjanju narave ter številni podzakonski akti. Zakoni določajo osnovna načela in cilje, teritorialne podlage ter načine in postopke za upravljanje voda s ciljem doseganja dobrega stanja voda. </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Na podlagi </w:t>
      </w:r>
      <w:r w:rsidRPr="005771BD">
        <w:rPr>
          <w:rFonts w:eastAsia="Calibri" w:cs="Arial"/>
          <w:szCs w:val="20"/>
          <w:u w:val="single"/>
          <w:lang w:val="sl-SI"/>
        </w:rPr>
        <w:t>predpisov na področju varstva okolja</w:t>
      </w:r>
      <w:r w:rsidRPr="005771BD">
        <w:rPr>
          <w:rFonts w:eastAsia="Calibri" w:cs="Arial"/>
          <w:szCs w:val="20"/>
          <w:lang w:val="sl-SI"/>
        </w:rPr>
        <w:t xml:space="preserve"> se izvajajo ukrepi v zvezi z odvajanjem in čiščenjem komunalne in padavinske odpadne vode, ravnanjem z blatom iz komunalnih čistilnih naprav, ukrepi v zvezi s preprečevanjem in zmanjšanjem onesnaževanja iz naprav, ki povzročajo emisije v zrak, vode ali tla, ukrepi za zmanjšanje in preprečitev onesnaževanja voda, ki ga povzročajo nitrati iz kmetijskih virov,  ter ukrepi v zvezi s preprečevanjem in zmanjšanjem </w:t>
      </w:r>
      <w:bookmarkStart w:id="17" w:name="_Toc457554302"/>
      <w:r w:rsidRPr="005771BD">
        <w:rPr>
          <w:rFonts w:eastAsia="Calibri" w:cs="Arial"/>
          <w:szCs w:val="20"/>
          <w:lang w:val="sl-SI"/>
        </w:rPr>
        <w:t xml:space="preserve">onesnaževanja s fitofarmacevtskimi sredstvi. Izvajajo se tudi ukrepi iz kmetijske politike za zmanjševanje onesnaževanja voda s hranili in sredstvi za varstvo rastlin. </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Na podlagi zakona</w:t>
      </w:r>
      <w:r w:rsidRPr="005771BD">
        <w:rPr>
          <w:rFonts w:eastAsia="Calibri" w:cs="Arial"/>
          <w:szCs w:val="20"/>
          <w:u w:val="single"/>
          <w:lang w:val="sl-SI"/>
        </w:rPr>
        <w:t>, ki ureja vode</w:t>
      </w:r>
      <w:r w:rsidRPr="005771BD">
        <w:rPr>
          <w:rFonts w:eastAsia="Calibri" w:cs="Arial"/>
          <w:szCs w:val="20"/>
          <w:lang w:val="sl-SI"/>
        </w:rPr>
        <w:t>, so določene omejitve, prepovedi in pogoji, ki se nanašajo na rabo vode v povezavi s podelitvijo in izvajanjem vodne pravice, na upravljanje voda ter omejitve in pogoje odvzema naplavin. Izvajajo se tudi ukrepi v zvezi z ohranjanjem in uravnavanjem vodnih količin ter zagotavljanjem njihove ustrezne količinske, časovne in prostorske razporeditve. Pri tem gre za ukrepe upravljavcev in koncesionarjev za posebno rabo vode pri proizvodnji električne energije v malih in velikih hidroelektrarnah ter za ukrepe obvezne državne gospodarske javne službe urejanja voda, ki vključuje tudi ukrepe vzdrževanja vodnih in priobalnih zemljišč.</w:t>
      </w:r>
      <w:bookmarkStart w:id="18" w:name="_Toc457554308"/>
      <w:bookmarkEnd w:id="17"/>
      <w:r w:rsidRPr="005771BD">
        <w:rPr>
          <w:rFonts w:eastAsia="Calibri" w:cs="Arial"/>
          <w:szCs w:val="20"/>
          <w:lang w:val="sl-SI"/>
        </w:rPr>
        <w:t xml:space="preserve"> </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Na podlagi zakona, ki ureja </w:t>
      </w:r>
      <w:r w:rsidRPr="005771BD">
        <w:rPr>
          <w:rFonts w:eastAsia="Calibri" w:cs="Arial"/>
          <w:szCs w:val="20"/>
          <w:u w:val="single"/>
          <w:lang w:val="sl-SI"/>
        </w:rPr>
        <w:t>ohranjanje narave,</w:t>
      </w:r>
      <w:r w:rsidRPr="005771BD">
        <w:rPr>
          <w:rFonts w:eastAsia="Calibri" w:cs="Arial"/>
          <w:szCs w:val="20"/>
          <w:lang w:val="sl-SI"/>
        </w:rPr>
        <w:t xml:space="preserve"> se izvajajo ukrepi za preprečevanje in zmanjševanje vnosa tujerodnih vodnih vrst</w:t>
      </w:r>
      <w:bookmarkEnd w:id="18"/>
      <w:r w:rsidRPr="005771BD">
        <w:rPr>
          <w:rFonts w:eastAsia="Calibri" w:cs="Arial"/>
          <w:szCs w:val="20"/>
          <w:lang w:val="sl-SI"/>
        </w:rPr>
        <w:t>. Ti ukrepi obsegajo omejevanje ali prepoved uporabe tujerodnih vrst za gojenje in prepoved vlaganja tujerodnih vrst v ribiške okoliše za potrebe ribolova, izvajanje preventivnih ukrepov za preprečitev namernega in nenamernega vnosa, neposredno odstranjevanje tujerodnih vodnih vrst, zlasti invazivnih, ter pogoje za vzrejo, vlaganje rib in način ribolova.</w:t>
      </w:r>
      <w:bookmarkStart w:id="19" w:name="_Toc457554332"/>
      <w:r w:rsidRPr="005771BD">
        <w:rPr>
          <w:rFonts w:eastAsia="Calibri" w:cs="Arial"/>
          <w:szCs w:val="20"/>
          <w:lang w:val="sl-SI"/>
        </w:rPr>
        <w:t xml:space="preserve"> V tem zakonu je urejeno tudi  zagotavljanje ugodnega stanja vrst in habitatnih tipov v odvisnosti od vode na območjih Natura 2000</w:t>
      </w:r>
      <w:bookmarkEnd w:id="19"/>
      <w:r w:rsidRPr="005771BD">
        <w:rPr>
          <w:rFonts w:eastAsia="Calibri" w:cs="Arial"/>
          <w:szCs w:val="20"/>
          <w:lang w:val="sl-SI"/>
        </w:rPr>
        <w:t>. Ustrezni ukrepi so za ta namen vključeni v načrte upravljanja voda na podlagi zahtev iz naravovarstvenih smernic. Izvajajo se ukrepi v zvezi z zagotavljanjem prehodnosti vodnih organizmov na vodotokih.</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Na področju voda inšpekcijski nadzor zagotavljajo inšpekcijske službe v skladu z zakoni, ki urejajo vode, varstvo okolja, ohranjanje narave, graditev objektov, in pomorskim zakonikom. </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Uvajanje učinkovite in trajnostne rabe vode se izvaja z različnimi instrumenti, na primer sistemom dajatev za obremenjevanje voda, z ukrepi cenovne politike za gospodarno rabo vode, z ukrepi  iz Programa razvoja podeželja 2014–2020, izvajanjem aktivnosti za zmanjšanje izgub v vodovodnih omrežjih itd.</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Vzpostavljen je torej celovit sistem mehanizmov in ukrepov za preprečevanje in zmanjševanje obremenjevanja okolja ali izpostavljenosti ljudi, v okviru katerega so upoštevane vsebine sodobne evropske zakonodaje na področju voda. Ta sistem temelji na celoviti in trajnostni obravnavi problematike voda z upoštevanjem naravnih danosti,  človekovih obremenitev in ugotovljenega stanja na podlagi predpisanega monitoringa voda in vodnih ekosistemov. Ugotovljeno stanje je podlaga za pripravo in izvajanje celovitih programov ukrepov za izboljšanje stanja, katerih namen je predvsem odprava onesnaženja s prepovedanimi snovmi tako iz industrije kakor tudi kmetijstva, varstvo virov pitne vode glede količin in kakovosti, gospodarna in trajnostna raba voda, poleg tega pa tudi izboljšanje ekološkega stanja voda. </w:t>
      </w:r>
    </w:p>
    <w:p w:rsidR="00E40322" w:rsidRPr="005771BD" w:rsidRDefault="00E40322" w:rsidP="007C37DF">
      <w:pPr>
        <w:spacing w:after="360" w:line="276" w:lineRule="auto"/>
        <w:jc w:val="both"/>
        <w:rPr>
          <w:rFonts w:eastAsia="Calibri" w:cs="Arial"/>
          <w:szCs w:val="20"/>
          <w:lang w:val="sl-SI"/>
        </w:rPr>
      </w:pPr>
      <w:r w:rsidRPr="005771BD">
        <w:rPr>
          <w:rFonts w:eastAsia="Calibri" w:cs="Arial"/>
          <w:szCs w:val="20"/>
          <w:lang w:val="sl-SI"/>
        </w:rPr>
        <w:t xml:space="preserve">Poleg predpisov so za uspešno upravljanje voda ključni tudi v nadaljevanju navedeni strateški in programski dokumenti. </w:t>
      </w:r>
    </w:p>
    <w:p w:rsidR="00E40322" w:rsidRPr="005771BD" w:rsidRDefault="007C37DF" w:rsidP="00E40322">
      <w:pPr>
        <w:spacing w:after="200" w:line="276" w:lineRule="auto"/>
        <w:jc w:val="both"/>
        <w:rPr>
          <w:rFonts w:eastAsia="Calibri" w:cs="Arial"/>
          <w:b/>
          <w:szCs w:val="20"/>
          <w:lang w:val="sl-SI"/>
        </w:rPr>
      </w:pPr>
      <w:r>
        <w:rPr>
          <w:rFonts w:eastAsia="Calibri" w:cs="Arial"/>
          <w:b/>
          <w:szCs w:val="20"/>
          <w:lang w:val="sl-SI"/>
        </w:rPr>
        <w:t>7</w:t>
      </w:r>
      <w:r w:rsidR="00E40322" w:rsidRPr="005771BD">
        <w:rPr>
          <w:rFonts w:eastAsia="Calibri" w:cs="Arial"/>
          <w:b/>
          <w:szCs w:val="20"/>
          <w:lang w:val="sl-SI"/>
        </w:rPr>
        <w:t>.6.2 Upravljanje voda in načrti upravljanja</w:t>
      </w:r>
      <w:r w:rsidR="00E40322">
        <w:rPr>
          <w:rFonts w:eastAsia="Calibri" w:cs="Arial"/>
          <w:b/>
          <w:szCs w:val="20"/>
          <w:lang w:val="sl-SI"/>
        </w:rPr>
        <w:t xml:space="preserve"> voda</w:t>
      </w:r>
    </w:p>
    <w:p w:rsidR="00E40322" w:rsidRPr="005771BD" w:rsidRDefault="00E40322" w:rsidP="00E40322">
      <w:pPr>
        <w:spacing w:after="200" w:line="276" w:lineRule="auto"/>
        <w:jc w:val="both"/>
        <w:rPr>
          <w:rFonts w:eastAsia="Calibri" w:cs="Arial"/>
          <w:iCs/>
          <w:szCs w:val="20"/>
          <w:lang w:val="sl-SI"/>
        </w:rPr>
      </w:pPr>
      <w:r w:rsidRPr="005771BD">
        <w:rPr>
          <w:rFonts w:eastAsia="Calibri" w:cs="Arial"/>
          <w:szCs w:val="20"/>
          <w:lang w:val="sl-SI"/>
        </w:rPr>
        <w:t xml:space="preserve">Predpisi, ki urejajo vode, določajo obveznost priprave posodobljenih </w:t>
      </w:r>
      <w:r w:rsidRPr="005771BD">
        <w:rPr>
          <w:rFonts w:eastAsia="Calibri" w:cs="Arial"/>
          <w:b/>
          <w:szCs w:val="20"/>
          <w:lang w:val="sl-SI"/>
        </w:rPr>
        <w:t xml:space="preserve">načrtov upravljanja voda (NUV) </w:t>
      </w:r>
      <w:r w:rsidRPr="005771BD">
        <w:rPr>
          <w:rFonts w:eastAsia="Calibri" w:cs="Arial"/>
          <w:szCs w:val="20"/>
          <w:lang w:val="sl-SI"/>
        </w:rPr>
        <w:t xml:space="preserve">na vodnih območjih Donave in Jadranskega morja vsakih šest let. Z letom 2016 se začenja tretji cikel oziroma tretje načrtovalsko obdobje na področju upravljanja voda z revizijo posameznih vsebin načrta upravljanja voda predhodnega obdobja. Načrtovalski proces vključuje tudi pripravo programa ukrepov za doseganje ciljev načrta upravljanja voda s končnim rokom za doseganje ciljev do konca leta 2027. </w:t>
      </w:r>
      <w:r w:rsidRPr="005771BD">
        <w:rPr>
          <w:rFonts w:eastAsia="Calibri" w:cs="Arial"/>
          <w:iCs/>
          <w:szCs w:val="20"/>
          <w:lang w:val="sl-SI"/>
        </w:rPr>
        <w:t xml:space="preserve">Načrt upravljanja voda je ključni programski dokument na področju upravljanja voda v Republiki Sloveniji. Skupaj s sprejetim programom upravljanja voda določa aktivnosti za doseganje ciljev na področju voda. Poglavitni namen načrtov upravljanja voda je doseganje dobrega kemijskega in ekološkega stanja površinskih voda, dobrega kemijskega in količinskega stanja podzemnih voda, preprečevanje nadaljnjega slabšanja stanja vodnih ekosistemov, spodbujanje trajnostne rabe vode ter zagotavljanje večjega varstva voda in izboljševanje vodnega okolja. V okviru priprave načrtov upravljanja voda se izvedejo pregled stanja vodnega okolja, pregled in analiza obremenitev in vplivov na vodno okolje (raba, onesnaževanje) ter pripravi stroškovno učinkovit program ukrepov za doseganje ciljev na področju voda. V programu ukrepov upravljanja voda se na podlagi t. i. temeljnih ukrepov, ki se že izvajajo, določijo še ukrepi za izboljšano izvajanje temeljnih ukrepov in dopolnilni ukrepi za izboljšanje stanja vodnih teles površinskih in podzemnih voda, za katera je ocenjeno, da do konca leta 2021 ne bodo dosegla predpisanih ciljev. </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Za varstvo pred škodljivim delovanjem voda se bodo izvajali protipoplavnimi ukrepi, določeni v </w:t>
      </w:r>
      <w:r w:rsidRPr="005771BD">
        <w:rPr>
          <w:rFonts w:eastAsia="Calibri" w:cs="Arial"/>
          <w:b/>
          <w:szCs w:val="20"/>
          <w:lang w:val="sl-SI"/>
        </w:rPr>
        <w:t>načrtu zmanjševanja poplavne ogroženosti (NZPO)</w:t>
      </w:r>
      <w:r w:rsidRPr="005771BD">
        <w:rPr>
          <w:rFonts w:eastAsia="Calibri" w:cs="Arial"/>
          <w:szCs w:val="20"/>
          <w:lang w:val="sl-SI"/>
        </w:rPr>
        <w:t xml:space="preserve"> (v času priprave tega poročila je pripravljen predlog načrta) na 17 porečjih in povodjih, na katerih je 61 območij pomembnega vpliva poplav. Varstvo pred škodljivim delovanjem voda se zagotavlja z gradbenimi (na primer gradnjo vodne infrastrukture za zagotavljanje poplavne varnosti) in negradbenimi ukrepi (na primer izvajanjem obvezne državne gospodarske javne službe urejanja voda), ki obsegajo tudi ukrepe za sanacijo posledic škodljivega delovanja voda. </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Trajnostna raba morja bo celovito urejena z </w:t>
      </w:r>
      <w:r w:rsidRPr="005771BD">
        <w:rPr>
          <w:rFonts w:eastAsia="Calibri" w:cs="Arial"/>
          <w:b/>
          <w:szCs w:val="20"/>
          <w:lang w:val="sl-SI"/>
        </w:rPr>
        <w:t xml:space="preserve">načrtom upravljanja z morskim okoljem </w:t>
      </w:r>
      <w:r w:rsidRPr="005771BD">
        <w:rPr>
          <w:rFonts w:eastAsia="Calibri" w:cs="Arial"/>
          <w:szCs w:val="20"/>
          <w:lang w:val="sl-SI"/>
        </w:rPr>
        <w:t xml:space="preserve">(NUMO) (v času priprave tega poročila je pripravljen predlog načrta). </w:t>
      </w:r>
    </w:p>
    <w:p w:rsidR="00E40322" w:rsidRPr="005771BD" w:rsidRDefault="00E40322" w:rsidP="007C37DF">
      <w:pPr>
        <w:spacing w:after="360" w:line="276" w:lineRule="auto"/>
        <w:jc w:val="both"/>
        <w:rPr>
          <w:rFonts w:eastAsia="Calibri" w:cs="Arial"/>
          <w:szCs w:val="20"/>
          <w:lang w:val="sl-SI"/>
        </w:rPr>
      </w:pPr>
      <w:r w:rsidRPr="005771BD">
        <w:rPr>
          <w:rFonts w:eastAsia="Calibri" w:cs="Arial"/>
          <w:szCs w:val="20"/>
          <w:lang w:val="sl-SI"/>
        </w:rPr>
        <w:t xml:space="preserve">Izvajanje </w:t>
      </w:r>
      <w:r w:rsidRPr="005771BD">
        <w:rPr>
          <w:rFonts w:eastAsia="Calibri" w:cs="Arial"/>
          <w:b/>
          <w:szCs w:val="20"/>
          <w:lang w:val="sl-SI"/>
        </w:rPr>
        <w:t>obveznih državnih gospodarskih javnih služb na področju urejanja voda</w:t>
      </w:r>
      <w:r w:rsidRPr="005771BD">
        <w:rPr>
          <w:rFonts w:eastAsia="Calibri" w:cs="Arial"/>
          <w:szCs w:val="20"/>
          <w:lang w:val="sl-SI"/>
        </w:rPr>
        <w:t xml:space="preserve"> določa Uredba o načinu izvajanja obveznih državnih gospodarskih javnih služb na področju urejanja voda in o koncesijah teh javnih služb (Uradni list RS, št. </w:t>
      </w:r>
      <w:hyperlink r:id="rId123" w:tgtFrame="_blank" w:tooltip="Uredba o načinu izvajanja obveznih državnih gospodarskih javnih služb na področju urejanja voda in o koncesijah teh javnih služb" w:history="1">
        <w:r w:rsidRPr="005771BD">
          <w:rPr>
            <w:rStyle w:val="Hiperpovezava"/>
            <w:rFonts w:eastAsia="Calibri" w:cs="Arial"/>
            <w:szCs w:val="20"/>
            <w:lang w:val="sl-SI"/>
          </w:rPr>
          <w:t>109/10</w:t>
        </w:r>
      </w:hyperlink>
      <w:r w:rsidRPr="005771BD">
        <w:rPr>
          <w:rFonts w:eastAsia="Calibri" w:cs="Arial"/>
          <w:szCs w:val="20"/>
          <w:lang w:val="sl-SI"/>
        </w:rPr>
        <w:t xml:space="preserve">, </w:t>
      </w:r>
      <w:hyperlink r:id="rId124" w:tgtFrame="_blank" w:tooltip="Uredba o spremembi Uredbe o načinu izvajanja obveznih državnih gospodarskih javnih služb na področju urejanja voda in o koncesijah teh javnih služb" w:history="1">
        <w:r w:rsidRPr="005771BD">
          <w:rPr>
            <w:rStyle w:val="Hiperpovezava"/>
            <w:rFonts w:eastAsia="Calibri" w:cs="Arial"/>
            <w:szCs w:val="20"/>
            <w:lang w:val="sl-SI"/>
          </w:rPr>
          <w:t>98/11</w:t>
        </w:r>
      </w:hyperlink>
      <w:r w:rsidRPr="005771BD">
        <w:rPr>
          <w:rFonts w:eastAsia="Calibri" w:cs="Arial"/>
          <w:szCs w:val="20"/>
          <w:lang w:val="sl-SI"/>
        </w:rPr>
        <w:t xml:space="preserve">, </w:t>
      </w:r>
      <w:hyperlink r:id="rId125" w:tgtFrame="_blank" w:tooltip="Uredba o spremembi Uredbe o načinu izvajanja obveznih državnih gospodarskih javnih služb na področju urejanja voda in o koncesijah teh javnih služb" w:history="1">
        <w:r w:rsidRPr="005771BD">
          <w:rPr>
            <w:rStyle w:val="Hiperpovezava"/>
            <w:rFonts w:eastAsia="Calibri" w:cs="Arial"/>
            <w:szCs w:val="20"/>
            <w:lang w:val="sl-SI"/>
          </w:rPr>
          <w:t>102/12</w:t>
        </w:r>
      </w:hyperlink>
      <w:r w:rsidRPr="005771BD">
        <w:rPr>
          <w:rFonts w:eastAsia="Calibri" w:cs="Arial"/>
          <w:szCs w:val="20"/>
          <w:lang w:val="sl-SI"/>
        </w:rPr>
        <w:t xml:space="preserve"> in </w:t>
      </w:r>
      <w:hyperlink r:id="rId126" w:tgtFrame="_blank" w:tooltip="Uredba o spremembi Uredbe o načinu izvajanja obveznih državnih gospodarskih javnih služb na področju urejanja voda in o koncesijah teh javnih služb" w:history="1">
        <w:r w:rsidRPr="005771BD">
          <w:rPr>
            <w:rStyle w:val="Hiperpovezava"/>
            <w:rFonts w:eastAsia="Calibri" w:cs="Arial"/>
            <w:szCs w:val="20"/>
            <w:lang w:val="sl-SI"/>
          </w:rPr>
          <w:t>89/14</w:t>
        </w:r>
      </w:hyperlink>
      <w:r w:rsidRPr="005771BD">
        <w:rPr>
          <w:rFonts w:eastAsia="Calibri" w:cs="Arial"/>
          <w:szCs w:val="20"/>
          <w:lang w:val="sl-SI"/>
        </w:rPr>
        <w:t xml:space="preserve">). Javna služba se izvaja na osmih območjih (območja zgornje Save, srednje Save,spodnje Save, Savinje, porečja Drave, porečja Mure, povodja Soče in povodja jadranskih rek z morjem). Vrste in obseg nalog obveznih državnih gospodarskih javnih služb urejanja voda podrobneje določa Pravilnik o vrstah in obsegu nalog obveznih državnih gospodarskih javnih služb urejanja voda (Uradni list RS, št. </w:t>
      </w:r>
      <w:hyperlink r:id="rId127" w:tgtFrame="_blank" w:tooltip="Pravilnik o vrstah in obsegu nalog obveznih državnih gospodarskih javnih služb urejanja voda" w:history="1">
        <w:r w:rsidRPr="005771BD">
          <w:rPr>
            <w:rStyle w:val="Hiperpovezava"/>
            <w:rFonts w:eastAsia="Calibri" w:cs="Arial"/>
            <w:szCs w:val="20"/>
            <w:lang w:val="sl-SI"/>
          </w:rPr>
          <w:t>57/06</w:t>
        </w:r>
      </w:hyperlink>
      <w:r w:rsidRPr="005771BD">
        <w:rPr>
          <w:rFonts w:eastAsia="Calibri" w:cs="Arial"/>
          <w:szCs w:val="20"/>
          <w:lang w:val="sl-SI"/>
        </w:rPr>
        <w:t xml:space="preserve"> in </w:t>
      </w:r>
      <w:hyperlink r:id="rId128" w:tgtFrame="_blank" w:tooltip="Pravilnik o spremembah in dopolnitvah Pravilnika o vrstah in obsegu nalog obveznih državnih gospodarskih javnih služb urejanja voda" w:history="1">
        <w:r w:rsidRPr="005771BD">
          <w:rPr>
            <w:rStyle w:val="Hiperpovezava"/>
            <w:rFonts w:eastAsia="Calibri" w:cs="Arial"/>
            <w:szCs w:val="20"/>
            <w:lang w:val="sl-SI"/>
          </w:rPr>
          <w:t>60/16</w:t>
        </w:r>
      </w:hyperlink>
      <w:r w:rsidRPr="005771BD">
        <w:rPr>
          <w:rFonts w:eastAsia="Calibri" w:cs="Arial"/>
          <w:szCs w:val="20"/>
          <w:lang w:val="sl-SI"/>
        </w:rPr>
        <w:t xml:space="preserve">). Naloge državnih gospodarskih javnih služb na področju urejanja voda se nanašajo na </w:t>
      </w:r>
      <w:r w:rsidRPr="005771BD">
        <w:rPr>
          <w:rFonts w:eastAsia="Calibri" w:cs="Arial"/>
          <w:b/>
          <w:szCs w:val="20"/>
          <w:lang w:val="sl-SI"/>
        </w:rPr>
        <w:t>obratovanje vodne infrastrukture</w:t>
      </w:r>
      <w:r w:rsidRPr="005771BD">
        <w:rPr>
          <w:rFonts w:eastAsia="Calibri" w:cs="Arial"/>
          <w:szCs w:val="20"/>
          <w:lang w:val="sl-SI"/>
        </w:rPr>
        <w:t xml:space="preserve"> (zadrževanje in uravnavanje odtoka in dotoka voda in pri tem uravnavanje zapornic, prelivov, zasunov, vtočnih in iztočnih objektov ter naprav, prevajanje vodnih količin po transportnih cevovodih, rovih, kanalih in podobno, ravnanje z napravami in sistemi za umetno bogatenje ali napajanje vodnih teles ter strokovne in druge podobne naloge), </w:t>
      </w:r>
      <w:r w:rsidRPr="005771BD">
        <w:rPr>
          <w:rFonts w:eastAsia="Calibri" w:cs="Arial"/>
          <w:b/>
          <w:szCs w:val="20"/>
          <w:lang w:val="sl-SI"/>
        </w:rPr>
        <w:t>vzdrževanje vodne infrastrukture</w:t>
      </w:r>
      <w:r w:rsidRPr="005771BD">
        <w:rPr>
          <w:rFonts w:eastAsia="Calibri" w:cs="Arial"/>
          <w:szCs w:val="20"/>
          <w:lang w:val="sl-SI"/>
        </w:rPr>
        <w:t xml:space="preserve"> (izvajanje rednih vzdrževalnih in investicijskih vzdrževalnih del v skladu s predpisi o graditvi objektov), </w:t>
      </w:r>
      <w:r w:rsidRPr="005771BD">
        <w:rPr>
          <w:rFonts w:eastAsia="Calibri" w:cs="Arial"/>
          <w:b/>
          <w:szCs w:val="20"/>
          <w:lang w:val="sl-SI"/>
        </w:rPr>
        <w:t>spremljanje stanja vodne infrastrukture</w:t>
      </w:r>
      <w:r w:rsidRPr="005771BD">
        <w:rPr>
          <w:rFonts w:eastAsia="Calibri" w:cs="Arial"/>
          <w:szCs w:val="20"/>
          <w:lang w:val="sl-SI"/>
        </w:rPr>
        <w:t xml:space="preserve"> (redno kontrolno opazovanje in evidentiranje stanja vodne infrastrukture, izvajanje kontrolnih testov in meritev naprav ter opreme v skladu s tehničnimi standardi, beleženje izrednih hidroloških stanj na objektih vodne infrastrukture ali drugih objektih v neposredni bližini in beleženje pomembnih sprememb, poškodb in drugih znakov vpliva hidroloških ali morfoloških stanj vodnega režima na vodno infrastrukturo).</w:t>
      </w:r>
    </w:p>
    <w:p w:rsidR="00E40322" w:rsidRPr="005771BD" w:rsidRDefault="007C37DF" w:rsidP="00E40322">
      <w:pPr>
        <w:spacing w:after="200" w:line="276" w:lineRule="auto"/>
        <w:jc w:val="both"/>
        <w:rPr>
          <w:rFonts w:eastAsia="Calibri" w:cs="Arial"/>
          <w:b/>
          <w:iCs/>
          <w:szCs w:val="20"/>
          <w:lang w:val="sl-SI"/>
        </w:rPr>
      </w:pPr>
      <w:r>
        <w:rPr>
          <w:rFonts w:eastAsia="Calibri" w:cs="Arial"/>
          <w:b/>
          <w:iCs/>
          <w:szCs w:val="20"/>
          <w:lang w:val="sl-SI"/>
        </w:rPr>
        <w:t>7</w:t>
      </w:r>
      <w:r w:rsidR="00E40322" w:rsidRPr="005771BD">
        <w:rPr>
          <w:rFonts w:eastAsia="Calibri" w:cs="Arial"/>
          <w:b/>
          <w:iCs/>
          <w:szCs w:val="20"/>
          <w:lang w:val="sl-SI"/>
        </w:rPr>
        <w:t>.</w:t>
      </w:r>
      <w:r w:rsidR="001323F1">
        <w:rPr>
          <w:rFonts w:eastAsia="Calibri" w:cs="Arial"/>
          <w:b/>
          <w:iCs/>
          <w:szCs w:val="20"/>
          <w:lang w:val="sl-SI"/>
        </w:rPr>
        <w:t>6</w:t>
      </w:r>
      <w:r w:rsidR="00E40322" w:rsidRPr="005771BD">
        <w:rPr>
          <w:rFonts w:eastAsia="Calibri" w:cs="Arial"/>
          <w:b/>
          <w:iCs/>
          <w:szCs w:val="20"/>
          <w:lang w:val="sl-SI"/>
        </w:rPr>
        <w:t>.3 Območja s posebnim varstvenim režimom</w:t>
      </w:r>
    </w:p>
    <w:p w:rsidR="00E40322" w:rsidRDefault="00E40322" w:rsidP="00E40322">
      <w:pPr>
        <w:spacing w:after="200" w:line="276" w:lineRule="auto"/>
        <w:jc w:val="both"/>
        <w:rPr>
          <w:rFonts w:eastAsia="Calibri" w:cs="Arial"/>
          <w:iCs/>
          <w:szCs w:val="20"/>
          <w:lang w:val="sl-SI"/>
        </w:rPr>
      </w:pPr>
      <w:r w:rsidRPr="005771BD">
        <w:rPr>
          <w:rFonts w:eastAsia="Calibri" w:cs="Arial"/>
          <w:iCs/>
          <w:szCs w:val="20"/>
          <w:lang w:val="sl-SI"/>
        </w:rPr>
        <w:t>Poseben mehanizem varstva voda so</w:t>
      </w:r>
      <w:r w:rsidRPr="005771BD">
        <w:rPr>
          <w:rFonts w:eastAsia="Calibri" w:cs="Arial"/>
          <w:b/>
          <w:iCs/>
          <w:szCs w:val="20"/>
          <w:lang w:val="sl-SI"/>
        </w:rPr>
        <w:t xml:space="preserve"> vodovarstvena območja. </w:t>
      </w:r>
      <w:r w:rsidRPr="005771BD">
        <w:rPr>
          <w:rFonts w:eastAsia="Calibri" w:cs="Arial"/>
          <w:iCs/>
          <w:szCs w:val="20"/>
          <w:lang w:val="sl-SI"/>
        </w:rPr>
        <w:t>Ta območja</w:t>
      </w:r>
      <w:r w:rsidRPr="005771BD">
        <w:rPr>
          <w:rFonts w:eastAsia="Calibri" w:cs="Arial"/>
          <w:b/>
          <w:iCs/>
          <w:szCs w:val="20"/>
          <w:lang w:val="sl-SI"/>
        </w:rPr>
        <w:t xml:space="preserve"> </w:t>
      </w:r>
      <w:r w:rsidRPr="005771BD">
        <w:rPr>
          <w:rFonts w:eastAsia="Calibri" w:cs="Arial"/>
          <w:iCs/>
          <w:szCs w:val="20"/>
          <w:lang w:val="sl-SI"/>
        </w:rPr>
        <w:t>so zavarovana z občinskimi odloki in uredbami Vlade Republike Slovenije (kazalec stanja okolja [</w:t>
      </w:r>
      <w:hyperlink r:id="rId129" w:history="1">
        <w:r w:rsidRPr="005771BD">
          <w:rPr>
            <w:rStyle w:val="Hiperpovezava"/>
            <w:rFonts w:eastAsia="Calibri" w:cs="Arial"/>
            <w:iCs/>
            <w:szCs w:val="20"/>
            <w:lang w:val="sl-SI"/>
          </w:rPr>
          <w:t>VD16</w:t>
        </w:r>
      </w:hyperlink>
      <w:r w:rsidRPr="005771BD">
        <w:rPr>
          <w:rFonts w:eastAsia="Calibri" w:cs="Arial"/>
          <w:iCs/>
          <w:szCs w:val="20"/>
          <w:u w:val="single"/>
          <w:lang w:val="sl-SI"/>
        </w:rPr>
        <w:t>]</w:t>
      </w:r>
      <w:r w:rsidRPr="005771BD">
        <w:rPr>
          <w:rFonts w:eastAsia="Calibri" w:cs="Arial"/>
          <w:iCs/>
          <w:szCs w:val="20"/>
          <w:lang w:val="sl-SI"/>
        </w:rPr>
        <w:t xml:space="preserve">). Vodovarstvena območja (VVO) določa 12 vladnih uredb, v uporabi pa je tudi približno 300 občinskih odlokov, ki se uporabljajo do sprejema vladnih uredb. VVO so določena z namenom, da se vodno telo, ki se uporablja ali je namenjeno za javno oskrbo s pitno vodo, zavaruje pred onesnaževanjem ali drugimi vrstami obremenjevanja, ki bi lahko vplivali na zdravstveno ustreznost voda ali njeno količino. </w:t>
      </w:r>
    </w:p>
    <w:p w:rsidR="00421EBA" w:rsidRPr="005771BD" w:rsidRDefault="00421EBA" w:rsidP="00421EBA">
      <w:pPr>
        <w:spacing w:after="360" w:line="276" w:lineRule="auto"/>
        <w:jc w:val="both"/>
        <w:rPr>
          <w:rFonts w:eastAsia="Calibri" w:cs="Arial"/>
          <w:i/>
          <w:iCs/>
          <w:szCs w:val="20"/>
          <w:lang w:val="sl-SI"/>
        </w:rPr>
      </w:pPr>
      <w:r w:rsidRPr="005771BD">
        <w:rPr>
          <w:rFonts w:eastAsia="Calibri" w:cs="Arial"/>
          <w:iCs/>
          <w:szCs w:val="20"/>
          <w:lang w:val="sl-SI"/>
        </w:rPr>
        <w:t>Zaščitni ukrepi, prepovedi in omejitve veljajo za gradnjo objektov in ravnanje s kmetijskimi in drugimi zemljišči in so na posameznem vodovarstvenem območju različno strogi. Vodovarstvena območja obsegajo okoli 347.000 hektarov ali 17 % ozemlja Republike Slovenije, od tega za dobrih 8.000 hektarov velja najstrožji režim varovanja.</w:t>
      </w:r>
    </w:p>
    <w:p w:rsidR="00421EBA" w:rsidRPr="005771BD" w:rsidRDefault="00421EBA" w:rsidP="00421EBA">
      <w:pPr>
        <w:spacing w:after="200" w:line="276" w:lineRule="auto"/>
        <w:jc w:val="both"/>
        <w:rPr>
          <w:rFonts w:eastAsia="Calibri" w:cs="Arial"/>
          <w:b/>
          <w:iCs/>
          <w:szCs w:val="20"/>
          <w:lang w:val="sl-SI"/>
        </w:rPr>
      </w:pPr>
      <w:r>
        <w:rPr>
          <w:rFonts w:eastAsia="Calibri" w:cs="Arial"/>
          <w:b/>
          <w:iCs/>
          <w:szCs w:val="20"/>
          <w:lang w:val="sl-SI"/>
        </w:rPr>
        <w:t>7</w:t>
      </w:r>
      <w:r w:rsidRPr="005771BD">
        <w:rPr>
          <w:rFonts w:eastAsia="Calibri" w:cs="Arial"/>
          <w:b/>
          <w:iCs/>
          <w:szCs w:val="20"/>
          <w:lang w:val="sl-SI"/>
        </w:rPr>
        <w:t>.6.4 Vključevanje upravljanja voda v druge sektorske politike</w:t>
      </w:r>
    </w:p>
    <w:p w:rsidR="00421EBA" w:rsidRPr="005771BD" w:rsidRDefault="00421EBA" w:rsidP="00421EBA">
      <w:pPr>
        <w:spacing w:after="200" w:line="276" w:lineRule="auto"/>
        <w:jc w:val="both"/>
        <w:rPr>
          <w:rFonts w:eastAsia="Calibri" w:cs="Arial"/>
          <w:iCs/>
          <w:szCs w:val="20"/>
          <w:lang w:val="sl-SI"/>
        </w:rPr>
      </w:pPr>
      <w:r w:rsidRPr="005771BD">
        <w:rPr>
          <w:rFonts w:eastAsia="Calibri" w:cs="Arial"/>
          <w:iCs/>
          <w:szCs w:val="20"/>
          <w:lang w:val="sl-SI"/>
        </w:rPr>
        <w:t xml:space="preserve">Na področju varstva voda pred onesnaženjem je eden ključnih izvedbenih aktov za doseganje ciljev iz nacionalnega programa varstva okolja </w:t>
      </w:r>
      <w:r w:rsidRPr="005771BD">
        <w:rPr>
          <w:rFonts w:eastAsia="Calibri" w:cs="Arial"/>
          <w:b/>
          <w:iCs/>
          <w:szCs w:val="20"/>
          <w:lang w:val="sl-SI"/>
        </w:rPr>
        <w:t xml:space="preserve">operativni  program  odvajanja  in  čiščenja  komunalne odpadne  vode. </w:t>
      </w:r>
      <w:r w:rsidRPr="005771BD">
        <w:rPr>
          <w:rFonts w:eastAsia="Calibri" w:cs="Arial"/>
          <w:iCs/>
          <w:szCs w:val="20"/>
          <w:lang w:val="sl-SI"/>
        </w:rPr>
        <w:t>Ta program ureja</w:t>
      </w:r>
      <w:r w:rsidRPr="005771BD">
        <w:rPr>
          <w:rFonts w:eastAsia="Calibri" w:cs="Arial"/>
          <w:b/>
          <w:iCs/>
          <w:szCs w:val="20"/>
          <w:lang w:val="sl-SI"/>
        </w:rPr>
        <w:t xml:space="preserve"> </w:t>
      </w:r>
      <w:r w:rsidRPr="005771BD">
        <w:rPr>
          <w:rFonts w:eastAsia="Calibri" w:cs="Arial"/>
          <w:iCs/>
          <w:szCs w:val="20"/>
          <w:lang w:val="sl-SI"/>
        </w:rPr>
        <w:t xml:space="preserve">varstvo površinskih in podzemnih  voda  na  območju  Republike  Slovenije  pred  onesnaževanjem  okolja,  vnosom  dušika  ter  fosforja  in  pred  mikrobiološkim  onesnaženjem, do katerega bi lahko prišlo zaradi odvajanja  komunalne  odpadne  vode. S programom so  določena  območja  poselitve,  za  katera  je  v  predpisanih  rokih  obvezno  zagotoviti  odvajanje  komunalne  odpadne  vode  v  javno  kanalizacijo  in  ustrezno  čiščenje  na  komunalni  čistilni  napravi. </w:t>
      </w:r>
    </w:p>
    <w:p w:rsidR="00421EBA" w:rsidRPr="005771BD" w:rsidRDefault="00421EBA" w:rsidP="00E40322">
      <w:pPr>
        <w:spacing w:after="200" w:line="276" w:lineRule="auto"/>
        <w:jc w:val="both"/>
        <w:rPr>
          <w:rFonts w:eastAsia="Calibri" w:cs="Arial"/>
          <w:iCs/>
          <w:szCs w:val="20"/>
          <w:lang w:val="sl-SI"/>
        </w:rPr>
      </w:pPr>
    </w:p>
    <w:p w:rsidR="00E40322" w:rsidRPr="005771BD" w:rsidRDefault="00E40322" w:rsidP="00E40322">
      <w:pPr>
        <w:spacing w:after="200" w:line="276" w:lineRule="auto"/>
        <w:jc w:val="both"/>
        <w:rPr>
          <w:rFonts w:eastAsia="Calibri" w:cs="Arial"/>
          <w:b/>
          <w:iCs/>
          <w:szCs w:val="20"/>
          <w:lang w:val="sl-SI"/>
        </w:rPr>
      </w:pPr>
      <w:r w:rsidRPr="007F272F">
        <w:rPr>
          <w:rFonts w:eastAsia="Calibri" w:cs="Arial"/>
          <w:b/>
          <w:iCs/>
          <w:noProof/>
          <w:szCs w:val="20"/>
          <w:lang w:val="sl-SI" w:eastAsia="sl-SI"/>
        </w:rPr>
        <w:drawing>
          <wp:inline distT="0" distB="0" distL="0" distR="0" wp14:anchorId="6F17B7AA" wp14:editId="7BEDD6E9">
            <wp:extent cx="4810125" cy="3123938"/>
            <wp:effectExtent l="0" t="0" r="0" b="635"/>
            <wp:docPr id="80" name="Slika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810125" cy="3123938"/>
                    </a:xfrm>
                    <a:prstGeom prst="rect">
                      <a:avLst/>
                    </a:prstGeom>
                    <a:noFill/>
                  </pic:spPr>
                </pic:pic>
              </a:graphicData>
            </a:graphic>
          </wp:inline>
        </w:drawing>
      </w:r>
    </w:p>
    <w:p w:rsidR="00E40322" w:rsidRPr="005771BD" w:rsidRDefault="00607481" w:rsidP="007C37DF">
      <w:pPr>
        <w:spacing w:line="276" w:lineRule="auto"/>
        <w:jc w:val="both"/>
        <w:rPr>
          <w:rFonts w:eastAsia="Calibri" w:cs="Arial"/>
          <w:i/>
          <w:iCs/>
          <w:szCs w:val="20"/>
          <w:lang w:val="sl-SI"/>
        </w:rPr>
      </w:pPr>
      <w:r>
        <w:rPr>
          <w:rFonts w:eastAsia="Calibri" w:cs="Arial"/>
          <w:i/>
          <w:iCs/>
          <w:szCs w:val="20"/>
          <w:lang w:val="sl-SI"/>
        </w:rPr>
        <w:t>Slika 7</w:t>
      </w:r>
      <w:r w:rsidR="00E40322" w:rsidRPr="005771BD">
        <w:rPr>
          <w:rFonts w:eastAsia="Calibri" w:cs="Arial"/>
          <w:i/>
          <w:iCs/>
          <w:szCs w:val="20"/>
          <w:lang w:val="sl-SI"/>
        </w:rPr>
        <w:t xml:space="preserve">.12 Vodovarstvena območja v letu 2016 </w:t>
      </w:r>
    </w:p>
    <w:p w:rsidR="00E40322" w:rsidRPr="005771BD" w:rsidRDefault="00E40322" w:rsidP="00E40322">
      <w:pPr>
        <w:spacing w:after="200" w:line="276" w:lineRule="auto"/>
        <w:jc w:val="both"/>
        <w:rPr>
          <w:rFonts w:eastAsia="Calibri" w:cs="Arial"/>
          <w:i/>
          <w:iCs/>
          <w:szCs w:val="20"/>
          <w:lang w:val="sl-SI"/>
        </w:rPr>
      </w:pPr>
      <w:r w:rsidRPr="005771BD">
        <w:rPr>
          <w:rFonts w:eastAsia="Calibri" w:cs="Arial"/>
          <w:i/>
          <w:iCs/>
          <w:szCs w:val="20"/>
          <w:lang w:val="sl-SI"/>
        </w:rPr>
        <w:t>Vir: ARSO, Kazalci okolja, oktober 2016</w:t>
      </w:r>
    </w:p>
    <w:p w:rsidR="00E40322" w:rsidRPr="005771BD" w:rsidRDefault="00E40322" w:rsidP="00E40322">
      <w:pPr>
        <w:spacing w:after="200" w:line="276" w:lineRule="auto"/>
        <w:jc w:val="both"/>
        <w:rPr>
          <w:rFonts w:eastAsia="Calibri" w:cs="Arial"/>
          <w:szCs w:val="20"/>
          <w:lang w:val="sl-SI"/>
        </w:rPr>
      </w:pPr>
      <w:r w:rsidRPr="005771BD">
        <w:rPr>
          <w:rFonts w:eastAsia="Calibri" w:cs="Arial"/>
          <w:b/>
          <w:szCs w:val="20"/>
          <w:lang w:val="sl-SI"/>
        </w:rPr>
        <w:t>Operativni program oskrbe s pitno vodo</w:t>
      </w:r>
      <w:r w:rsidRPr="005771BD">
        <w:rPr>
          <w:rFonts w:eastAsia="Calibri" w:cs="Arial"/>
          <w:szCs w:val="20"/>
          <w:lang w:val="sl-SI"/>
        </w:rPr>
        <w:t xml:space="preserve"> je eden temeljnih dokumentov za načrtovanje oskrbe prebivalstva s pitno vodo. Program</w:t>
      </w:r>
      <w:r w:rsidRPr="005771BD">
        <w:rPr>
          <w:rFonts w:eastAsia="Calibri" w:cs="Arial"/>
          <w:iCs/>
          <w:szCs w:val="20"/>
          <w:lang w:val="sl-SI"/>
        </w:rPr>
        <w:t xml:space="preserve"> vsebuje cilje, ukrepe, roke, oceno stroškov in nosilce za varstvo zajetij za pitno vodo pred onesnaženjem. Obravnava tudi vsebine glede spremljanja kakovosti podzemne vode oziroma površinske vode za oskrbo s pitno vodo, predvideno zmanjšanje vodnih izgub v javnih vodovodih, zagotavljanje rezervnih zajetij za pitno vodo, doseganje standardov opremljenosti, varnost oskrbe s pitno vodo na območjih javnih vodovodov, povečevanje učinkovitosti in gospodarnosti izvajanja javnih služb in spodbujanje varčne rabe pitne vode, analizo stanja opremljenosti območij javnih vodovodov, finančno analizo izvajanja operativnega programa oskrbe s pitno vodo, analizo stanja zajetij pitne vode, analizo stanja lastne oskrbe s pitno vodo in analizo učinkovitosti in gospodarnosti izvajanja javnih služb.</w:t>
      </w:r>
      <w:r w:rsidRPr="005771BD">
        <w:rPr>
          <w:rFonts w:eastAsia="Calibri" w:cs="Arial"/>
          <w:szCs w:val="20"/>
          <w:lang w:val="sl-SI"/>
        </w:rPr>
        <w:t xml:space="preserve"> </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Zakon o varstvu okolja določa </w:t>
      </w:r>
      <w:r w:rsidRPr="005771BD">
        <w:rPr>
          <w:rFonts w:eastAsia="Calibri" w:cs="Arial"/>
          <w:b/>
          <w:szCs w:val="20"/>
          <w:lang w:val="sl-SI"/>
        </w:rPr>
        <w:t xml:space="preserve">oskrbo s pitno vodo kot obvezno občinsko gospodarsko javno službo </w:t>
      </w:r>
      <w:r w:rsidRPr="005771BD">
        <w:rPr>
          <w:rFonts w:eastAsia="Calibri" w:cs="Arial"/>
          <w:szCs w:val="20"/>
          <w:lang w:val="sl-SI"/>
        </w:rPr>
        <w:t xml:space="preserve">varstva okolja. Iz seznama izvajalcev javnih služb oskrbe s pitno vodo (IJSVO, 2014) je razvidno, da je oskrbo s pitno vodo kot obvezno občinsko gospodarsko javno službo varstva okolja v letu 2014 </w:t>
      </w:r>
      <w:r w:rsidRPr="005771BD">
        <w:rPr>
          <w:rFonts w:eastAsia="Calibri" w:cs="Arial"/>
          <w:b/>
          <w:szCs w:val="20"/>
          <w:lang w:val="sl-SI"/>
        </w:rPr>
        <w:t>izvajal 101 izvajalec</w:t>
      </w:r>
      <w:r w:rsidRPr="005771BD">
        <w:rPr>
          <w:rFonts w:eastAsia="Calibri" w:cs="Arial"/>
          <w:szCs w:val="20"/>
          <w:lang w:val="sl-SI"/>
        </w:rPr>
        <w:t>. Najpogostejša oblika zagotavljanja javne službe so javna podjetja in</w:t>
      </w:r>
      <w:r>
        <w:rPr>
          <w:rFonts w:eastAsia="Calibri" w:cs="Arial"/>
          <w:szCs w:val="20"/>
          <w:lang w:val="sl-SI"/>
        </w:rPr>
        <w:t xml:space="preserve"> </w:t>
      </w:r>
      <w:r w:rsidRPr="005771BD">
        <w:rPr>
          <w:rFonts w:eastAsia="Calibri" w:cs="Arial"/>
          <w:szCs w:val="20"/>
          <w:lang w:val="sl-SI"/>
        </w:rPr>
        <w:t>režijski obrati, nekatere lokalne skupnosti pa so izvajanje javne službe oskrbe s pitno vodo predale koncesionarjem. Uredba o oskrbi s pitno vodo določa vrste nalog, ki se izvajajo v okviru storitev obvezne občinske gospodarske javne službe oskrbe s pitno vodo, in nekatere pogoje za oskrbo s pitno vodo, ki se izvaja kot javna služba, ter za lastno oskrbo s pitno vodo. Uredba o oskrbi s pitno vodo določa standarde komunalne opremljenosti, ki morajo biti izpolnjeni za izvajanje javne službe, ukrepe za opravljanje javne službe (vsebino operativnega programa varstva okolja, ki se nanaša na oskrbo s pitno vodo, ter obveznosti občin in izvajalcev javnih služb pri opravljanju javne službe) ter načine in pogoje oskrbe s pitno vodo, ki morajo biti izpolnjeni pri opravljanju storitev javne službe. Uredba o metodologiji za oblikovanje cen storitev obveznih občinskih gospodarskih javnih služb varstva okolja (Uradni list RS, št. 87/12, 109/12) določa metodologijo za oblikovanje cen storitev oskrbe s pitno vodo. Izvajalec javne službe oskrbe s pitno vodo je upravljavec sistema za oskrbo s pitno vodo. Upravljavec mora zagotavljati skladnost in zdravstveno ustreznost pitne vode. Skladnost mora biti zagotovljena na pipah oziroma mestih, kjer se voda uporablja kot pitna voda (na mestih, kjer se voda uporablja v proizvodnji in prometu živil, na mestu, kjer se voda pakira ali v primeru oskrbe s pitno vodo s cisternami na mestu iztoka iz cisterne).</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Izvajanje </w:t>
      </w:r>
      <w:r w:rsidRPr="005771BD">
        <w:rPr>
          <w:rFonts w:eastAsia="Calibri" w:cs="Arial"/>
          <w:b/>
          <w:bCs/>
          <w:szCs w:val="20"/>
          <w:lang w:val="sl-SI"/>
        </w:rPr>
        <w:t xml:space="preserve">obvezne občinske gospodarske javne službe odvajanja in čiščenja komunalne in padavinske odpadne vode </w:t>
      </w:r>
      <w:r w:rsidRPr="005771BD">
        <w:rPr>
          <w:rFonts w:eastAsia="Calibri" w:cs="Arial"/>
          <w:szCs w:val="20"/>
          <w:lang w:val="sl-SI"/>
        </w:rPr>
        <w:t xml:space="preserve">določa Uredba o odvajanju in čiščenju komunalne odpadne vode (Uradni list RS, št. </w:t>
      </w:r>
      <w:hyperlink r:id="rId131" w:history="1">
        <w:r w:rsidRPr="005771BD">
          <w:rPr>
            <w:rStyle w:val="Hiperpovezava"/>
            <w:rFonts w:eastAsia="Calibri" w:cs="Arial"/>
            <w:szCs w:val="20"/>
            <w:lang w:val="sl-SI"/>
          </w:rPr>
          <w:t>98/15</w:t>
        </w:r>
      </w:hyperlink>
      <w:r w:rsidRPr="005771BD">
        <w:rPr>
          <w:rFonts w:eastAsia="Calibri" w:cs="Arial"/>
          <w:szCs w:val="20"/>
          <w:lang w:val="sl-SI"/>
        </w:rPr>
        <w:t xml:space="preserve">). Ta uredba določa naloge, ki se izvajajo v okviru javne službe, oskrbovalne standarde in tehnične, vzdrževalne, organizacijske ter druge ukrepe in normative za izvajanje javne službe. Na podlagi občinskega predpisa mora občina zagotoviti javno službo na območju celotne občine. Naloge javne službe, ki so obvezne storitve, so odvajanje in čiščenje komunalne odpadne vode, ki se odvaja v javno kanalizacijo, redno vzdrževanje javne kanalizacije, prevzem in odvoz komunalne odpadne vode, ki se zbira v nepretočnih greznicah, v komunalno čistilno napravo ter njeno čiščenje. Naloga javne službe so tudi prevzem in odvoz blata iz malih komunalnih čistilnih naprav z zmogljivostjo, manjšo od 50 PE, in iz malih komunalnih čistilnih naprav, obdelava blata, pregledovanje malih komunalnih čistilnih naprav z zmogljivostjo, manjšo od 50 PE, odvajanje in čiščenje padavinske odpadne vode z javnih površin, streh in zasebnih utrjenih površin (pod določenimi pogoji), obveščanje uporabnikov javne službe, izdelava programa izvajanja javne službe, vodenje evidence o izvajanju javne službe, poročanje o izvajanju javne službe in priključevanje novih uporabnikov javne službe. Lokalne skupnosti so imele v letu 2015 določenih ali izbranih približno </w:t>
      </w:r>
      <w:r w:rsidRPr="005771BD">
        <w:rPr>
          <w:rFonts w:eastAsia="Calibri" w:cs="Arial"/>
          <w:b/>
          <w:szCs w:val="20"/>
          <w:lang w:val="sl-SI"/>
        </w:rPr>
        <w:t>115 izvajalcev</w:t>
      </w:r>
      <w:r w:rsidRPr="005771BD">
        <w:rPr>
          <w:rFonts w:eastAsia="Calibri" w:cs="Arial"/>
          <w:szCs w:val="20"/>
          <w:lang w:val="sl-SI"/>
        </w:rPr>
        <w:t xml:space="preserve"> javne službe odvajanja in čiščenja komunalne in padavinske odpadne vode.</w:t>
      </w:r>
    </w:p>
    <w:p w:rsidR="00E40322" w:rsidRPr="005771BD" w:rsidRDefault="00E40322" w:rsidP="007C37DF">
      <w:pPr>
        <w:spacing w:after="360" w:line="276" w:lineRule="auto"/>
        <w:jc w:val="both"/>
        <w:rPr>
          <w:rFonts w:eastAsia="Calibri" w:cs="Arial"/>
          <w:szCs w:val="20"/>
          <w:lang w:val="sl-SI"/>
        </w:rPr>
      </w:pPr>
      <w:r w:rsidRPr="005771BD">
        <w:rPr>
          <w:rFonts w:eastAsia="Calibri" w:cs="Arial"/>
          <w:szCs w:val="20"/>
          <w:lang w:val="sl-SI"/>
        </w:rPr>
        <w:t xml:space="preserve">Izvajanje </w:t>
      </w:r>
      <w:r w:rsidRPr="005771BD">
        <w:rPr>
          <w:rFonts w:eastAsia="Calibri" w:cs="Arial"/>
          <w:b/>
          <w:szCs w:val="20"/>
          <w:lang w:val="sl-SI"/>
        </w:rPr>
        <w:t>obveznih državnih gospodarskih javnih služb na področju urejanja voda</w:t>
      </w:r>
      <w:r w:rsidRPr="005771BD">
        <w:rPr>
          <w:rFonts w:eastAsia="Calibri" w:cs="Arial"/>
          <w:szCs w:val="20"/>
          <w:lang w:val="sl-SI"/>
        </w:rPr>
        <w:t xml:space="preserve"> določa Uredba o načinu izvajanja obveznih državnih gospodarskih javnih služb na področju urejanja voda in o koncesijah teh javnih služb (Uradni list RS, št. </w:t>
      </w:r>
      <w:hyperlink r:id="rId132" w:tgtFrame="_blank" w:tooltip="Uredba o načinu izvajanja obveznih državnih gospodarskih javnih služb na področju urejanja voda in o koncesijah teh javnih služb" w:history="1">
        <w:r w:rsidRPr="005771BD">
          <w:rPr>
            <w:rStyle w:val="Hiperpovezava"/>
            <w:rFonts w:eastAsia="Calibri" w:cs="Arial"/>
            <w:szCs w:val="20"/>
            <w:lang w:val="sl-SI"/>
          </w:rPr>
          <w:t>109/10</w:t>
        </w:r>
      </w:hyperlink>
      <w:r w:rsidRPr="005771BD">
        <w:rPr>
          <w:rFonts w:eastAsia="Calibri" w:cs="Arial"/>
          <w:szCs w:val="20"/>
          <w:lang w:val="sl-SI"/>
        </w:rPr>
        <w:t xml:space="preserve">, </w:t>
      </w:r>
      <w:hyperlink r:id="rId133" w:tgtFrame="_blank" w:tooltip="Uredba o spremembi Uredbe o načinu izvajanja obveznih državnih gospodarskih javnih služb na področju urejanja voda in o koncesijah teh javnih služb" w:history="1">
        <w:r w:rsidRPr="005771BD">
          <w:rPr>
            <w:rStyle w:val="Hiperpovezava"/>
            <w:rFonts w:eastAsia="Calibri" w:cs="Arial"/>
            <w:szCs w:val="20"/>
            <w:lang w:val="sl-SI"/>
          </w:rPr>
          <w:t>98/11</w:t>
        </w:r>
      </w:hyperlink>
      <w:r w:rsidRPr="005771BD">
        <w:rPr>
          <w:rFonts w:eastAsia="Calibri" w:cs="Arial"/>
          <w:szCs w:val="20"/>
          <w:lang w:val="sl-SI"/>
        </w:rPr>
        <w:t xml:space="preserve">, </w:t>
      </w:r>
      <w:hyperlink r:id="rId134" w:tgtFrame="_blank" w:tooltip="Uredba o spremembi Uredbe o načinu izvajanja obveznih državnih gospodarskih javnih služb na področju urejanja voda in o koncesijah teh javnih služb" w:history="1">
        <w:r w:rsidRPr="005771BD">
          <w:rPr>
            <w:rStyle w:val="Hiperpovezava"/>
            <w:rFonts w:eastAsia="Calibri" w:cs="Arial"/>
            <w:szCs w:val="20"/>
            <w:lang w:val="sl-SI"/>
          </w:rPr>
          <w:t>102/12</w:t>
        </w:r>
      </w:hyperlink>
      <w:r w:rsidRPr="005771BD">
        <w:rPr>
          <w:rFonts w:eastAsia="Calibri" w:cs="Arial"/>
          <w:szCs w:val="20"/>
          <w:lang w:val="sl-SI"/>
        </w:rPr>
        <w:t xml:space="preserve"> in </w:t>
      </w:r>
      <w:hyperlink r:id="rId135" w:tgtFrame="_blank" w:tooltip="Uredba o spremembi Uredbe o načinu izvajanja obveznih državnih gospodarskih javnih služb na področju urejanja voda in o koncesijah teh javnih služb" w:history="1">
        <w:r w:rsidRPr="005771BD">
          <w:rPr>
            <w:rStyle w:val="Hiperpovezava"/>
            <w:rFonts w:eastAsia="Calibri" w:cs="Arial"/>
            <w:szCs w:val="20"/>
            <w:lang w:val="sl-SI"/>
          </w:rPr>
          <w:t>89/14</w:t>
        </w:r>
      </w:hyperlink>
      <w:r w:rsidRPr="005771BD">
        <w:rPr>
          <w:rFonts w:eastAsia="Calibri" w:cs="Arial"/>
          <w:szCs w:val="20"/>
          <w:lang w:val="sl-SI"/>
        </w:rPr>
        <w:t xml:space="preserve">). Javna služba se izvaja na osmih območjih (območje zgornje Save, srednje Save, spodnje Save, Savinje, porečja Drave, porečja Mure, povodja Soče in povodja jadranskih rek z morjem). Vrste in obseg nalog obveznih državnih gospodarskih javnih služb urejanja voda podrobneje določa Pravilnik o vrstah in obsegu nalog obveznih državnih gospodarskih javnih služb urejanja voda (Uradni list RS, št. </w:t>
      </w:r>
      <w:hyperlink r:id="rId136" w:tgtFrame="_blank" w:tooltip="Pravilnik o vrstah in obsegu nalog obveznih državnih gospodarskih javnih služb urejanja voda" w:history="1">
        <w:r w:rsidRPr="005771BD">
          <w:rPr>
            <w:rStyle w:val="Hiperpovezava"/>
            <w:rFonts w:eastAsia="Calibri" w:cs="Arial"/>
            <w:szCs w:val="20"/>
            <w:lang w:val="sl-SI"/>
          </w:rPr>
          <w:t>57/06</w:t>
        </w:r>
      </w:hyperlink>
      <w:r w:rsidRPr="005771BD">
        <w:rPr>
          <w:rFonts w:eastAsia="Calibri" w:cs="Arial"/>
          <w:szCs w:val="20"/>
          <w:lang w:val="sl-SI"/>
        </w:rPr>
        <w:t xml:space="preserve"> in </w:t>
      </w:r>
      <w:hyperlink r:id="rId137" w:tgtFrame="_blank" w:tooltip="Pravilnik o spremembah in dopolnitvah Pravilnika o vrstah in obsegu nalog obveznih državnih gospodarskih javnih služb urejanja voda" w:history="1">
        <w:r w:rsidRPr="005771BD">
          <w:rPr>
            <w:rStyle w:val="Hiperpovezava"/>
            <w:rFonts w:eastAsia="Calibri" w:cs="Arial"/>
            <w:szCs w:val="20"/>
            <w:lang w:val="sl-SI"/>
          </w:rPr>
          <w:t>60/16</w:t>
        </w:r>
      </w:hyperlink>
      <w:r w:rsidRPr="005771BD">
        <w:rPr>
          <w:rFonts w:eastAsia="Calibri" w:cs="Arial"/>
          <w:szCs w:val="20"/>
          <w:lang w:val="sl-SI"/>
        </w:rPr>
        <w:t>).</w:t>
      </w:r>
    </w:p>
    <w:p w:rsidR="00E40322" w:rsidRPr="005771BD" w:rsidRDefault="007C37DF" w:rsidP="00E40322">
      <w:pPr>
        <w:spacing w:after="200" w:line="276" w:lineRule="auto"/>
        <w:jc w:val="both"/>
        <w:rPr>
          <w:rFonts w:eastAsia="Calibri" w:cs="Arial"/>
          <w:b/>
          <w:bCs/>
          <w:szCs w:val="20"/>
          <w:u w:val="single"/>
          <w:lang w:val="sl-SI"/>
        </w:rPr>
      </w:pPr>
      <w:r>
        <w:rPr>
          <w:rFonts w:eastAsia="Calibri" w:cs="Arial"/>
          <w:b/>
          <w:bCs/>
          <w:szCs w:val="20"/>
          <w:u w:val="single"/>
          <w:lang w:val="sl-SI"/>
        </w:rPr>
        <w:t>7</w:t>
      </w:r>
      <w:r w:rsidR="00E40322" w:rsidRPr="005771BD">
        <w:rPr>
          <w:rFonts w:eastAsia="Calibri" w:cs="Arial"/>
          <w:b/>
          <w:bCs/>
          <w:szCs w:val="20"/>
          <w:u w:val="single"/>
          <w:lang w:val="sl-SI"/>
        </w:rPr>
        <w:t>.7 Napotki za prihodnja ravnanja</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Varovanje voda je eden od temeljev varstva okolja, zato je treba varovanju vodnih virov v prihodnje nameniti bistveno več pozornosti kot doslej. V Sloveniji je bilo p</w:t>
      </w:r>
      <w:r w:rsidRPr="005771BD">
        <w:rPr>
          <w:rFonts w:eastAsia="Calibri" w:cs="Arial"/>
          <w:iCs/>
          <w:szCs w:val="20"/>
          <w:lang w:val="sl-SI"/>
        </w:rPr>
        <w:t xml:space="preserve">odročje upravljanja voda dlje časa zapostavljeno tako finančno kot kadrovsko. Zaradi tega je to področje v prihodnjih letih treba okrepiti in tako omogočiti izvedbo ukrepov za doseganje ciljev s področja voda, in sicer celovito izvajanje ukrepov iz načrtov upravljanja voda, načrta upravljanja z morskim okoljem in iz načrta za zmanjševanje poplavne ogroženosti. </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Voda pomembno vpliva na zdravje ljudi in izvajanje gospodarskih panog na področju kmetijstva, energetike, ribištva, industrije, turizma in na mnoge druge dejavnosti. Zaradi tega je treba zagotoviti </w:t>
      </w:r>
      <w:r w:rsidRPr="005771BD">
        <w:rPr>
          <w:rFonts w:eastAsia="Calibri" w:cs="Arial"/>
          <w:b/>
          <w:szCs w:val="20"/>
          <w:lang w:val="sl-SI"/>
        </w:rPr>
        <w:t>vključevanje ciljev vodne politike</w:t>
      </w:r>
      <w:r w:rsidRPr="005771BD">
        <w:rPr>
          <w:rFonts w:eastAsia="Calibri" w:cs="Arial"/>
          <w:szCs w:val="20"/>
          <w:lang w:val="sl-SI"/>
        </w:rPr>
        <w:t xml:space="preserve"> v politike na področjih teh dejavnosti, kot so na primer kmetijstvo, ribištvo, obnovljivi viri, energija, prometa, strukturni in kohezijski skladi ter obvladovanje nesreč. </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Več napora bo treba vložiti v prepoznavanje skupnih učinkov ukrepov politik z drugih področij, kot so na primer podnebne spremembe, mobilnost in promet, biotska raznovrstnost. Posebno pozornost bo treba nameniti razporejanju in porabi vode v gospodarskih sektorjih, trajnostnemu kmetijstvu ter povezavam med vodo, kmetijstvom, energijo in okoljem.</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Kmetijstvo in gozdarstvo skupaj zajemata velik del površine Slovenije in imata pomembno vlogo pri ohranjanju naravnih virov, zlasti vode in tal, pa tudi biotske raznovrstnosti in različnih kulturnih krajin. Zaradi tega je treba podpreti napore za </w:t>
      </w:r>
      <w:r w:rsidRPr="005771BD">
        <w:rPr>
          <w:rFonts w:eastAsia="Calibri" w:cs="Arial"/>
          <w:b/>
          <w:szCs w:val="20"/>
          <w:lang w:val="sl-SI"/>
        </w:rPr>
        <w:t>razvoj</w:t>
      </w:r>
      <w:r w:rsidRPr="005771BD">
        <w:rPr>
          <w:rFonts w:eastAsia="Calibri" w:cs="Arial"/>
          <w:szCs w:val="20"/>
          <w:lang w:val="sl-SI"/>
        </w:rPr>
        <w:t xml:space="preserve"> </w:t>
      </w:r>
      <w:r w:rsidRPr="005771BD">
        <w:rPr>
          <w:rFonts w:eastAsia="Calibri" w:cs="Arial"/>
          <w:b/>
          <w:szCs w:val="20"/>
          <w:lang w:val="sl-SI"/>
        </w:rPr>
        <w:t>okolju prijaznejše kmetijske politike</w:t>
      </w:r>
      <w:r w:rsidRPr="005771BD">
        <w:rPr>
          <w:rFonts w:eastAsia="Calibri" w:cs="Arial"/>
          <w:szCs w:val="20"/>
          <w:lang w:val="sl-SI"/>
        </w:rPr>
        <w:t xml:space="preserve">, spodbujati dobre kmetijske in gozdarske prakse, kot so povečevanje raznovrstnosti kmetijskih posevkov, zaščita trajnega travinja in pašnikov ter trajnostno kmetijsko gozdarstvo. Prav tako je treba spodbujati vzpostavitev in ohranjanje ekološko dragocenih kmetijskih in gozdnih območij. </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V okviru izvajanja Programa razvoja podeželja (PRP) 2014–2020 je treba podpirati tehnološke posodobitve velikih namakalnih sistemov, s katerimi bodo izgube vode v sistemu manjše in se bo </w:t>
      </w:r>
      <w:r w:rsidRPr="005771BD">
        <w:rPr>
          <w:rFonts w:eastAsia="Calibri" w:cs="Arial"/>
          <w:b/>
          <w:szCs w:val="20"/>
          <w:lang w:val="sl-SI"/>
        </w:rPr>
        <w:t>izboljšala gospodarnost namakanja</w:t>
      </w:r>
      <w:r w:rsidRPr="005771BD">
        <w:rPr>
          <w:rFonts w:eastAsia="Calibri" w:cs="Arial"/>
          <w:szCs w:val="20"/>
          <w:lang w:val="sl-SI"/>
        </w:rPr>
        <w:t xml:space="preserve"> v skladu s predpisi, pri načrtovanju investicijskih ukrepov pa je treba iskati najboljše rešitve za varstvo voda in ohranjanje biotske raznovrstnosti. Potrebna so tudi nadaljnja prizadevanja za upravljanje cikla hranil na način, ki bo stroškovno učinkovitejši, trajnosten in gospodarnejši z viri, ter </w:t>
      </w:r>
      <w:r w:rsidRPr="005771BD">
        <w:rPr>
          <w:rFonts w:eastAsia="Calibri" w:cs="Arial"/>
          <w:b/>
          <w:szCs w:val="20"/>
          <w:lang w:val="sl-SI"/>
        </w:rPr>
        <w:t>spodbujati izboljšanje učinkovitosti uporabe gnojil</w:t>
      </w:r>
      <w:r w:rsidRPr="005771BD">
        <w:rPr>
          <w:rFonts w:eastAsia="Calibri" w:cs="Arial"/>
          <w:szCs w:val="20"/>
          <w:lang w:val="sl-SI"/>
        </w:rPr>
        <w:t xml:space="preserve">. V zadnjih 20 letih se je vnos dušika in fosforja v okolje znatno zmanjšal, čezmerno sproščanje hranil pa še naprej vpliva na kakovost zraka in vode ter negativno vpliva na ekosisteme in tako povzroča znatne težave za človekovo zdravje. V hrani, krmi in okolju še vedno prihaja do preseženih mejnih vrednosti ostankov fitofarmacevtskih sredstev, zaradi česar je treba zagotoviti izvedbo temeljitejšega sistemskega pristopa k integriranemu varstvu rastlin pred škodljivimi organizmi in preusmeritvi kmetijskih gospodarstev iz dosedanje konvencionalne pridelave v sonaravne načine kmetovanja (npr. ekološko ali integrirano). Treba je </w:t>
      </w:r>
      <w:r w:rsidRPr="005771BD">
        <w:rPr>
          <w:rFonts w:eastAsia="Calibri" w:cs="Arial"/>
          <w:b/>
          <w:szCs w:val="20"/>
          <w:lang w:val="sl-SI"/>
        </w:rPr>
        <w:t>zagotoviti</w:t>
      </w:r>
      <w:r w:rsidRPr="005771BD">
        <w:rPr>
          <w:rFonts w:eastAsia="Calibri" w:cs="Arial"/>
          <w:szCs w:val="20"/>
          <w:lang w:val="sl-SI"/>
        </w:rPr>
        <w:t xml:space="preserve"> </w:t>
      </w:r>
      <w:r w:rsidRPr="005771BD">
        <w:rPr>
          <w:rFonts w:eastAsia="Calibri" w:cs="Arial"/>
          <w:b/>
          <w:szCs w:val="20"/>
          <w:lang w:val="sl-SI"/>
        </w:rPr>
        <w:t>zmanjšanje vnosa fitofarmacevtskih snovi</w:t>
      </w:r>
      <w:r w:rsidRPr="005771BD">
        <w:rPr>
          <w:rFonts w:eastAsia="Calibri" w:cs="Arial"/>
          <w:szCs w:val="20"/>
          <w:lang w:val="sl-SI"/>
        </w:rPr>
        <w:t xml:space="preserve"> v okolje in tako zmanjšati negativne vplive teh snovi na zdravje ljudi in stanje okolja.</w:t>
      </w:r>
    </w:p>
    <w:p w:rsidR="00E40322" w:rsidRPr="005771BD" w:rsidRDefault="00E40322" w:rsidP="00E40322">
      <w:pPr>
        <w:spacing w:after="200" w:line="276" w:lineRule="auto"/>
        <w:jc w:val="both"/>
        <w:rPr>
          <w:rFonts w:eastAsia="Calibri" w:cs="Arial"/>
          <w:szCs w:val="20"/>
          <w:lang w:val="sl-SI"/>
        </w:rPr>
      </w:pPr>
      <w:r w:rsidRPr="005771BD">
        <w:rPr>
          <w:rFonts w:eastAsia="Calibri" w:cs="Arial"/>
          <w:szCs w:val="20"/>
          <w:lang w:val="sl-SI"/>
        </w:rPr>
        <w:t xml:space="preserve">Tudi ukrepi prehoda na </w:t>
      </w:r>
      <w:r w:rsidRPr="005771BD">
        <w:rPr>
          <w:rFonts w:eastAsia="Calibri" w:cs="Arial"/>
          <w:b/>
          <w:szCs w:val="20"/>
          <w:lang w:val="sl-SI"/>
        </w:rPr>
        <w:t>krožno gospodarstvo</w:t>
      </w:r>
      <w:r w:rsidRPr="005771BD">
        <w:rPr>
          <w:rFonts w:eastAsia="Calibri" w:cs="Arial"/>
          <w:szCs w:val="20"/>
          <w:lang w:val="sl-SI"/>
        </w:rPr>
        <w:t xml:space="preserve"> bodo lahko pozitivno vplivali na upravljanje in stanje voda. </w:t>
      </w:r>
      <w:r w:rsidRPr="005771BD">
        <w:rPr>
          <w:rFonts w:eastAsia="Calibri" w:cs="Arial"/>
          <w:bCs/>
          <w:iCs/>
          <w:szCs w:val="20"/>
          <w:lang w:val="sl-SI"/>
        </w:rPr>
        <w:t xml:space="preserve">Voda je razvojni in strateški vir in je ključnega pomena za udejanjanje ciljev trajnostnega razvoja. </w:t>
      </w:r>
      <w:r w:rsidRPr="005771BD">
        <w:rPr>
          <w:rFonts w:eastAsia="Calibri" w:cs="Arial"/>
          <w:szCs w:val="20"/>
          <w:lang w:val="sl-SI"/>
        </w:rPr>
        <w:t xml:space="preserve">V prihodnje bo treba zagotoviti učinkovitejšo rabo virov v vodnem sektorju, kar bo prispevalo k zagotavljanju dobrega stanja voda. Sektorje, ki so največji porabniki vode, kot sta energetski sektor in kmetijstvo, je treba spodbujati, da gospodarno rabo vode določijo za svojo prednostno nalogo. Za zmanjšanje </w:t>
      </w:r>
      <w:r>
        <w:rPr>
          <w:rFonts w:eastAsia="Calibri" w:cs="Arial"/>
          <w:szCs w:val="20"/>
          <w:lang w:val="sl-SI"/>
        </w:rPr>
        <w:t>obremenjenosti</w:t>
      </w:r>
      <w:r w:rsidRPr="005771BD">
        <w:rPr>
          <w:rFonts w:eastAsia="Calibri" w:cs="Arial"/>
          <w:szCs w:val="20"/>
          <w:lang w:val="sl-SI"/>
        </w:rPr>
        <w:t xml:space="preserve"> vodn</w:t>
      </w:r>
      <w:r>
        <w:rPr>
          <w:rFonts w:eastAsia="Calibri" w:cs="Arial"/>
          <w:szCs w:val="20"/>
          <w:lang w:val="sl-SI"/>
        </w:rPr>
        <w:t>ega</w:t>
      </w:r>
      <w:r w:rsidRPr="005771BD">
        <w:rPr>
          <w:rFonts w:eastAsia="Calibri" w:cs="Arial"/>
          <w:szCs w:val="20"/>
          <w:lang w:val="sl-SI"/>
        </w:rPr>
        <w:t xml:space="preserve"> okolj</w:t>
      </w:r>
      <w:r>
        <w:rPr>
          <w:rFonts w:eastAsia="Calibri" w:cs="Arial"/>
          <w:szCs w:val="20"/>
          <w:lang w:val="sl-SI"/>
        </w:rPr>
        <w:t>a</w:t>
      </w:r>
      <w:r w:rsidRPr="005771BD">
        <w:rPr>
          <w:rFonts w:eastAsia="Calibri" w:cs="Arial"/>
          <w:szCs w:val="20"/>
          <w:lang w:val="sl-SI"/>
        </w:rPr>
        <w:t xml:space="preserve"> je treba spodbujati širjenje inovativnih tehnologij, sistemov in poslovnih modelov. Poleg ukrepov za učinkovito porabo vode je treba ukrepati tudi v smeri ponovne uporabe prečiščene odpadne vode, ki lahko prispeva k zmanjševanju obremenitev vodnih virov. Ponovna uporaba vode v kmetijstvu lahko prispeva tudi k recikliranju hranil z nadomestitvijo trdnih gnojil.</w:t>
      </w:r>
    </w:p>
    <w:p w:rsidR="00E40322" w:rsidRPr="005771BD" w:rsidRDefault="00E40322" w:rsidP="007C37DF">
      <w:pPr>
        <w:spacing w:after="360" w:line="276" w:lineRule="auto"/>
        <w:jc w:val="both"/>
        <w:rPr>
          <w:rFonts w:eastAsia="Calibri" w:cs="Arial"/>
          <w:szCs w:val="20"/>
          <w:lang w:val="sl-SI"/>
        </w:rPr>
      </w:pPr>
      <w:r w:rsidRPr="005771BD">
        <w:rPr>
          <w:rFonts w:eastAsia="Calibri" w:cs="Arial"/>
          <w:szCs w:val="20"/>
          <w:lang w:val="sl-SI"/>
        </w:rPr>
        <w:t xml:space="preserve">Glede na čezmejni vidik urejanja voda je treba okrepiti tudi </w:t>
      </w:r>
      <w:r w:rsidRPr="005771BD">
        <w:rPr>
          <w:rFonts w:eastAsia="Calibri" w:cs="Arial"/>
          <w:b/>
          <w:szCs w:val="20"/>
          <w:lang w:val="sl-SI"/>
        </w:rPr>
        <w:t>meddržavno sodelovanje</w:t>
      </w:r>
      <w:r w:rsidRPr="005771BD">
        <w:rPr>
          <w:rFonts w:eastAsia="Calibri" w:cs="Arial"/>
          <w:szCs w:val="20"/>
          <w:lang w:val="sl-SI"/>
        </w:rPr>
        <w:t xml:space="preserve"> ter dejavneje izvajati dvostranske in večstranske mednarodne pogodbe s področja upravljanja voda. Z boljšim čezmejnim sodelovanjem pri konkretnih projektih lahko ustvarimo tudi priložnosti za slovensko gospodarstvo.</w:t>
      </w:r>
    </w:p>
    <w:p w:rsidR="00E40322" w:rsidRPr="005771BD" w:rsidRDefault="007C37DF" w:rsidP="00E40322">
      <w:pPr>
        <w:spacing w:after="200" w:line="276" w:lineRule="auto"/>
        <w:jc w:val="both"/>
        <w:rPr>
          <w:rFonts w:eastAsia="Calibri" w:cs="Arial"/>
          <w:b/>
          <w:bCs/>
          <w:szCs w:val="20"/>
          <w:u w:val="single"/>
          <w:lang w:val="sl-SI"/>
        </w:rPr>
      </w:pPr>
      <w:r>
        <w:rPr>
          <w:rFonts w:eastAsia="Calibri" w:cs="Arial"/>
          <w:b/>
          <w:bCs/>
          <w:szCs w:val="20"/>
          <w:u w:val="single"/>
          <w:lang w:val="sl-SI"/>
        </w:rPr>
        <w:t>7</w:t>
      </w:r>
      <w:r w:rsidR="00E40322" w:rsidRPr="005771BD">
        <w:rPr>
          <w:rFonts w:eastAsia="Calibri" w:cs="Arial"/>
          <w:b/>
          <w:bCs/>
          <w:szCs w:val="20"/>
          <w:u w:val="single"/>
          <w:lang w:val="sl-SI"/>
        </w:rPr>
        <w:t xml:space="preserve">.8 Uporabljeni </w:t>
      </w:r>
      <w:r w:rsidR="00E40322" w:rsidRPr="00A27B62">
        <w:rPr>
          <w:rFonts w:eastAsia="Calibri" w:cs="Arial"/>
          <w:b/>
          <w:bCs/>
          <w:szCs w:val="20"/>
          <w:u w:val="single"/>
          <w:lang w:val="sl-SI"/>
        </w:rPr>
        <w:t>kazalci</w:t>
      </w:r>
      <w:r w:rsidR="00E40322" w:rsidRPr="005771BD">
        <w:rPr>
          <w:rFonts w:eastAsia="Calibri" w:cs="Arial"/>
          <w:b/>
          <w:bCs/>
          <w:szCs w:val="20"/>
          <w:u w:val="single"/>
          <w:lang w:val="sl-SI"/>
        </w:rPr>
        <w:t xml:space="preserve"> stanja okolja</w:t>
      </w:r>
    </w:p>
    <w:p w:rsidR="00E40322" w:rsidRPr="005771BD" w:rsidRDefault="00E40322" w:rsidP="00E40322">
      <w:pPr>
        <w:spacing w:line="276" w:lineRule="auto"/>
        <w:jc w:val="both"/>
        <w:rPr>
          <w:rFonts w:eastAsia="Calibri" w:cs="Arial"/>
          <w:szCs w:val="20"/>
          <w:lang w:val="sl-SI"/>
        </w:rPr>
      </w:pPr>
      <w:r w:rsidRPr="005771BD">
        <w:rPr>
          <w:rFonts w:eastAsia="Calibri" w:cs="Arial"/>
          <w:szCs w:val="20"/>
          <w:lang w:val="sl-SI"/>
        </w:rPr>
        <w:t>[VD01] –  Indeks izkoriščanja vode</w:t>
      </w:r>
    </w:p>
    <w:p w:rsidR="00E40322" w:rsidRPr="005771BD" w:rsidRDefault="00E40322" w:rsidP="00E40322">
      <w:pPr>
        <w:spacing w:line="276" w:lineRule="auto"/>
        <w:jc w:val="both"/>
        <w:rPr>
          <w:rFonts w:eastAsia="Calibri" w:cs="Arial"/>
          <w:szCs w:val="20"/>
          <w:lang w:val="sl-SI"/>
        </w:rPr>
      </w:pPr>
      <w:r w:rsidRPr="005771BD">
        <w:rPr>
          <w:rFonts w:eastAsia="Calibri" w:cs="Arial"/>
          <w:szCs w:val="20"/>
          <w:lang w:val="sl-SI"/>
        </w:rPr>
        <w:t>[VD02] –  Čiščenje odpadnih voda</w:t>
      </w:r>
    </w:p>
    <w:p w:rsidR="00E40322" w:rsidRPr="005771BD" w:rsidRDefault="00E40322" w:rsidP="00E40322">
      <w:pPr>
        <w:spacing w:line="276" w:lineRule="auto"/>
        <w:jc w:val="both"/>
        <w:rPr>
          <w:rFonts w:eastAsia="Calibri" w:cs="Arial"/>
          <w:szCs w:val="20"/>
          <w:lang w:val="sl-SI"/>
        </w:rPr>
      </w:pPr>
      <w:r w:rsidRPr="005771BD">
        <w:rPr>
          <w:rFonts w:eastAsia="Calibri" w:cs="Arial"/>
          <w:szCs w:val="20"/>
          <w:lang w:val="sl-SI"/>
        </w:rPr>
        <w:t>[VD03] – Letna rečna bilanca</w:t>
      </w:r>
    </w:p>
    <w:p w:rsidR="00E40322" w:rsidRPr="005771BD" w:rsidRDefault="00E40322" w:rsidP="00E40322">
      <w:pPr>
        <w:spacing w:line="276" w:lineRule="auto"/>
        <w:jc w:val="both"/>
        <w:rPr>
          <w:rFonts w:eastAsia="Calibri" w:cs="Arial"/>
          <w:szCs w:val="20"/>
          <w:lang w:val="sl-SI"/>
        </w:rPr>
      </w:pPr>
      <w:r w:rsidRPr="005771BD">
        <w:rPr>
          <w:rFonts w:eastAsia="Calibri" w:cs="Arial"/>
          <w:szCs w:val="20"/>
          <w:lang w:val="sl-SI"/>
        </w:rPr>
        <w:t>[VD05] – Nitrati v podzemni vodi</w:t>
      </w:r>
    </w:p>
    <w:p w:rsidR="00E40322" w:rsidRPr="005771BD" w:rsidRDefault="00E40322" w:rsidP="00E40322">
      <w:pPr>
        <w:spacing w:line="276" w:lineRule="auto"/>
        <w:jc w:val="both"/>
        <w:rPr>
          <w:rFonts w:eastAsia="Calibri" w:cs="Arial"/>
          <w:szCs w:val="20"/>
          <w:lang w:val="sl-SI"/>
        </w:rPr>
      </w:pPr>
      <w:r w:rsidRPr="005771BD">
        <w:rPr>
          <w:rFonts w:eastAsia="Calibri" w:cs="Arial"/>
          <w:szCs w:val="20"/>
          <w:lang w:val="sl-SI"/>
        </w:rPr>
        <w:t>[VD06] – Pesticidi v podzemni vodi</w:t>
      </w:r>
    </w:p>
    <w:p w:rsidR="00E40322" w:rsidRPr="005771BD" w:rsidRDefault="00E40322" w:rsidP="00E40322">
      <w:pPr>
        <w:spacing w:line="276" w:lineRule="auto"/>
        <w:jc w:val="both"/>
        <w:rPr>
          <w:rFonts w:eastAsia="Calibri" w:cs="Arial"/>
          <w:szCs w:val="20"/>
          <w:lang w:val="sl-SI"/>
        </w:rPr>
      </w:pPr>
      <w:r w:rsidRPr="005771BD">
        <w:rPr>
          <w:rFonts w:eastAsia="Calibri" w:cs="Arial"/>
          <w:szCs w:val="20"/>
          <w:lang w:val="sl-SI"/>
        </w:rPr>
        <w:t>[VD07] – Fosfor v jezerih</w:t>
      </w:r>
    </w:p>
    <w:p w:rsidR="00E40322" w:rsidRPr="005771BD" w:rsidRDefault="00E40322" w:rsidP="00E40322">
      <w:pPr>
        <w:spacing w:line="276" w:lineRule="auto"/>
        <w:jc w:val="both"/>
        <w:rPr>
          <w:rFonts w:eastAsia="Calibri" w:cs="Arial"/>
          <w:szCs w:val="20"/>
          <w:lang w:val="sl-SI"/>
        </w:rPr>
      </w:pPr>
      <w:r w:rsidRPr="005771BD">
        <w:rPr>
          <w:rFonts w:eastAsia="Calibri" w:cs="Arial"/>
          <w:szCs w:val="20"/>
          <w:lang w:val="sl-SI"/>
        </w:rPr>
        <w:t>[VD08] – Kakovost pitne vode</w:t>
      </w:r>
    </w:p>
    <w:p w:rsidR="00E40322" w:rsidRPr="005771BD" w:rsidRDefault="00E40322" w:rsidP="00E40322">
      <w:pPr>
        <w:spacing w:line="276" w:lineRule="auto"/>
        <w:jc w:val="both"/>
        <w:rPr>
          <w:rFonts w:eastAsia="Calibri" w:cs="Arial"/>
          <w:szCs w:val="20"/>
          <w:lang w:val="sl-SI"/>
        </w:rPr>
      </w:pPr>
      <w:r w:rsidRPr="005771BD">
        <w:rPr>
          <w:rFonts w:eastAsia="Calibri" w:cs="Arial"/>
          <w:szCs w:val="20"/>
          <w:lang w:val="sl-SI"/>
        </w:rPr>
        <w:t>[VD09] – Kakovost celinskih kopalnih voda</w:t>
      </w:r>
    </w:p>
    <w:p w:rsidR="00E40322" w:rsidRPr="005771BD" w:rsidRDefault="00E40322" w:rsidP="00E40322">
      <w:pPr>
        <w:spacing w:line="276" w:lineRule="auto"/>
        <w:jc w:val="both"/>
        <w:rPr>
          <w:rFonts w:eastAsia="Calibri" w:cs="Arial"/>
          <w:szCs w:val="20"/>
          <w:lang w:val="sl-SI"/>
        </w:rPr>
      </w:pPr>
      <w:r w:rsidRPr="005771BD">
        <w:rPr>
          <w:rFonts w:eastAsia="Calibri" w:cs="Arial"/>
          <w:szCs w:val="20"/>
          <w:lang w:val="sl-SI"/>
        </w:rPr>
        <w:t>[VD10] – Hranila in biokemijska potreba po kisiku v rekah</w:t>
      </w:r>
    </w:p>
    <w:p w:rsidR="00E40322" w:rsidRPr="005771BD" w:rsidRDefault="00E40322" w:rsidP="00E40322">
      <w:pPr>
        <w:spacing w:line="276" w:lineRule="auto"/>
        <w:jc w:val="both"/>
        <w:rPr>
          <w:rFonts w:eastAsia="Calibri" w:cs="Arial"/>
          <w:szCs w:val="20"/>
          <w:lang w:val="sl-SI"/>
        </w:rPr>
      </w:pPr>
      <w:r w:rsidRPr="005771BD">
        <w:rPr>
          <w:rFonts w:eastAsia="Calibri" w:cs="Arial"/>
          <w:szCs w:val="20"/>
          <w:lang w:val="sl-SI"/>
        </w:rPr>
        <w:t>[VD11] – Kakovost podzemne vode</w:t>
      </w:r>
    </w:p>
    <w:p w:rsidR="00E40322" w:rsidRPr="005771BD" w:rsidRDefault="00E40322" w:rsidP="00E40322">
      <w:pPr>
        <w:spacing w:line="276" w:lineRule="auto"/>
        <w:jc w:val="both"/>
        <w:rPr>
          <w:rFonts w:eastAsia="Calibri" w:cs="Arial"/>
          <w:szCs w:val="20"/>
          <w:lang w:val="sl-SI"/>
        </w:rPr>
      </w:pPr>
      <w:r w:rsidRPr="005771BD">
        <w:rPr>
          <w:rFonts w:eastAsia="Calibri" w:cs="Arial"/>
          <w:szCs w:val="20"/>
          <w:lang w:val="sl-SI"/>
        </w:rPr>
        <w:t>[VD12] – Kemijsko in ekološko stanje površinskih voda</w:t>
      </w:r>
    </w:p>
    <w:p w:rsidR="00E40322" w:rsidRPr="005771BD" w:rsidRDefault="00E40322" w:rsidP="00E40322">
      <w:pPr>
        <w:spacing w:line="276" w:lineRule="auto"/>
        <w:jc w:val="both"/>
        <w:rPr>
          <w:rFonts w:eastAsia="Calibri" w:cs="Arial"/>
          <w:szCs w:val="20"/>
          <w:lang w:val="sl-SI"/>
        </w:rPr>
      </w:pPr>
      <w:r w:rsidRPr="005771BD">
        <w:rPr>
          <w:rFonts w:eastAsia="Calibri" w:cs="Arial"/>
          <w:szCs w:val="20"/>
          <w:lang w:val="sl-SI"/>
        </w:rPr>
        <w:t>[VD13] – Kakovost voda za življenje sladkovodnih rib</w:t>
      </w:r>
    </w:p>
    <w:p w:rsidR="00E40322" w:rsidRPr="005771BD" w:rsidRDefault="00E40322" w:rsidP="00E40322">
      <w:pPr>
        <w:spacing w:line="276" w:lineRule="auto"/>
        <w:jc w:val="both"/>
        <w:rPr>
          <w:rFonts w:eastAsia="Calibri" w:cs="Arial"/>
          <w:szCs w:val="20"/>
          <w:lang w:val="sl-SI"/>
        </w:rPr>
      </w:pPr>
      <w:r w:rsidRPr="005771BD">
        <w:rPr>
          <w:rFonts w:eastAsia="Calibri" w:cs="Arial"/>
          <w:szCs w:val="20"/>
          <w:lang w:val="sl-SI"/>
        </w:rPr>
        <w:t>[VD14] – Vodne pravice</w:t>
      </w:r>
    </w:p>
    <w:p w:rsidR="00E40322" w:rsidRPr="005771BD" w:rsidRDefault="00E40322" w:rsidP="00E40322">
      <w:pPr>
        <w:spacing w:line="276" w:lineRule="auto"/>
        <w:jc w:val="both"/>
        <w:rPr>
          <w:rFonts w:eastAsia="Calibri" w:cs="Arial"/>
          <w:szCs w:val="20"/>
          <w:lang w:val="sl-SI"/>
        </w:rPr>
      </w:pPr>
      <w:r w:rsidRPr="005771BD">
        <w:rPr>
          <w:rFonts w:eastAsia="Calibri" w:cs="Arial"/>
          <w:szCs w:val="20"/>
          <w:lang w:val="sl-SI"/>
        </w:rPr>
        <w:t>[VD15] – Količinsko obnavljanje podzemne vode</w:t>
      </w:r>
    </w:p>
    <w:p w:rsidR="00E40322" w:rsidRPr="005771BD" w:rsidRDefault="00E40322" w:rsidP="00E40322">
      <w:pPr>
        <w:spacing w:line="276" w:lineRule="auto"/>
        <w:jc w:val="both"/>
        <w:rPr>
          <w:rFonts w:eastAsia="Calibri" w:cs="Arial"/>
          <w:szCs w:val="20"/>
          <w:lang w:val="sl-SI"/>
        </w:rPr>
      </w:pPr>
      <w:r w:rsidRPr="005771BD">
        <w:rPr>
          <w:rFonts w:eastAsia="Calibri" w:cs="Arial"/>
          <w:szCs w:val="20"/>
          <w:lang w:val="sl-SI"/>
        </w:rPr>
        <w:t>[VD16] – Vodovarstvena območja</w:t>
      </w:r>
    </w:p>
    <w:p w:rsidR="00E40322" w:rsidRPr="005771BD" w:rsidRDefault="00E40322" w:rsidP="00E40322">
      <w:pPr>
        <w:spacing w:line="276" w:lineRule="auto"/>
        <w:jc w:val="both"/>
        <w:rPr>
          <w:rFonts w:eastAsia="Calibri" w:cs="Arial"/>
          <w:szCs w:val="20"/>
          <w:lang w:val="sl-SI"/>
        </w:rPr>
      </w:pPr>
      <w:r w:rsidRPr="005771BD">
        <w:rPr>
          <w:rFonts w:eastAsia="Calibri" w:cs="Arial"/>
          <w:szCs w:val="20"/>
          <w:lang w:val="sl-SI"/>
        </w:rPr>
        <w:t>[MR01] - Onesnaževanje z ladij</w:t>
      </w:r>
    </w:p>
    <w:p w:rsidR="00E40322" w:rsidRPr="005771BD" w:rsidRDefault="00E40322" w:rsidP="00E40322">
      <w:pPr>
        <w:spacing w:line="276" w:lineRule="auto"/>
        <w:jc w:val="both"/>
        <w:rPr>
          <w:rFonts w:eastAsia="Calibri" w:cs="Arial"/>
          <w:szCs w:val="20"/>
          <w:lang w:val="sl-SI"/>
        </w:rPr>
      </w:pPr>
      <w:r w:rsidRPr="005771BD">
        <w:rPr>
          <w:rFonts w:eastAsia="Calibri" w:cs="Arial"/>
          <w:szCs w:val="20"/>
          <w:lang w:val="sl-SI"/>
        </w:rPr>
        <w:t>[MR02] – Višina morja</w:t>
      </w:r>
    </w:p>
    <w:p w:rsidR="00E40322" w:rsidRPr="005771BD" w:rsidRDefault="00E40322" w:rsidP="00E40322">
      <w:pPr>
        <w:spacing w:line="276" w:lineRule="auto"/>
        <w:jc w:val="both"/>
        <w:rPr>
          <w:rFonts w:eastAsia="Calibri" w:cs="Arial"/>
          <w:szCs w:val="20"/>
          <w:lang w:val="sl-SI"/>
        </w:rPr>
      </w:pPr>
      <w:r w:rsidRPr="005771BD">
        <w:rPr>
          <w:rFonts w:eastAsia="Calibri" w:cs="Arial"/>
          <w:szCs w:val="20"/>
          <w:lang w:val="sl-SI"/>
        </w:rPr>
        <w:t>[MR03] – Kisik v pridnenem sloju</w:t>
      </w:r>
    </w:p>
    <w:p w:rsidR="00E40322" w:rsidRPr="005771BD" w:rsidRDefault="00E40322" w:rsidP="00E40322">
      <w:pPr>
        <w:spacing w:line="276" w:lineRule="auto"/>
        <w:jc w:val="both"/>
        <w:rPr>
          <w:rFonts w:eastAsia="Calibri" w:cs="Arial"/>
          <w:szCs w:val="20"/>
          <w:lang w:val="sl-SI"/>
        </w:rPr>
      </w:pPr>
      <w:r w:rsidRPr="005771BD">
        <w:rPr>
          <w:rFonts w:eastAsia="Calibri" w:cs="Arial"/>
          <w:szCs w:val="20"/>
          <w:lang w:val="sl-SI"/>
        </w:rPr>
        <w:t xml:space="preserve">[MR04] – Klorofil v pridnenem sloju </w:t>
      </w:r>
    </w:p>
    <w:p w:rsidR="00E40322" w:rsidRPr="005771BD" w:rsidRDefault="00E40322" w:rsidP="00E40322">
      <w:pPr>
        <w:spacing w:line="276" w:lineRule="auto"/>
        <w:jc w:val="both"/>
        <w:rPr>
          <w:rFonts w:eastAsia="Calibri" w:cs="Arial"/>
          <w:szCs w:val="20"/>
          <w:lang w:val="sl-SI"/>
        </w:rPr>
      </w:pPr>
      <w:r w:rsidRPr="005771BD">
        <w:rPr>
          <w:rFonts w:eastAsia="Calibri" w:cs="Arial"/>
          <w:szCs w:val="20"/>
          <w:lang w:val="sl-SI"/>
        </w:rPr>
        <w:t>[MR05] – Kakovost kopalnih voda obalnega morja</w:t>
      </w:r>
    </w:p>
    <w:p w:rsidR="00E40322" w:rsidRPr="005771BD" w:rsidRDefault="00E40322" w:rsidP="00E40322">
      <w:pPr>
        <w:spacing w:line="276" w:lineRule="auto"/>
        <w:jc w:val="both"/>
        <w:rPr>
          <w:rFonts w:eastAsia="Calibri" w:cs="Arial"/>
          <w:szCs w:val="20"/>
          <w:lang w:val="sl-SI"/>
        </w:rPr>
      </w:pPr>
      <w:r w:rsidRPr="005771BD">
        <w:rPr>
          <w:rFonts w:eastAsia="Calibri" w:cs="Arial"/>
          <w:szCs w:val="20"/>
          <w:lang w:val="sl-SI"/>
        </w:rPr>
        <w:t>[MR06] – Kemijsko in ekološko stanje morja</w:t>
      </w:r>
    </w:p>
    <w:p w:rsidR="00E40322" w:rsidRPr="005771BD" w:rsidRDefault="00E40322" w:rsidP="00E40322">
      <w:pPr>
        <w:spacing w:line="276" w:lineRule="auto"/>
        <w:jc w:val="both"/>
        <w:rPr>
          <w:rFonts w:eastAsia="Calibri" w:cs="Arial"/>
          <w:szCs w:val="20"/>
          <w:lang w:val="sl-SI"/>
        </w:rPr>
      </w:pPr>
      <w:r w:rsidRPr="005771BD">
        <w:rPr>
          <w:rFonts w:eastAsia="Calibri" w:cs="Arial"/>
          <w:szCs w:val="20"/>
          <w:lang w:val="sl-SI"/>
        </w:rPr>
        <w:t>[KM01] – Poraba sredstev za varstvo rastlin</w:t>
      </w:r>
    </w:p>
    <w:p w:rsidR="00E40322" w:rsidRPr="005771BD" w:rsidRDefault="00E40322" w:rsidP="00E40322">
      <w:pPr>
        <w:spacing w:line="276" w:lineRule="auto"/>
        <w:jc w:val="both"/>
        <w:rPr>
          <w:rFonts w:eastAsia="Calibri" w:cs="Arial"/>
          <w:szCs w:val="20"/>
          <w:lang w:val="sl-SI"/>
        </w:rPr>
      </w:pPr>
      <w:r w:rsidRPr="005771BD">
        <w:rPr>
          <w:rFonts w:eastAsia="Calibri" w:cs="Arial"/>
          <w:szCs w:val="20"/>
          <w:lang w:val="sl-SI"/>
        </w:rPr>
        <w:t>[KM02] – Poraba mineralnih gnojil</w:t>
      </w:r>
    </w:p>
    <w:p w:rsidR="00E40322" w:rsidRPr="005771BD" w:rsidRDefault="00E40322" w:rsidP="00E40322">
      <w:pPr>
        <w:spacing w:line="276" w:lineRule="auto"/>
        <w:jc w:val="both"/>
        <w:rPr>
          <w:rFonts w:eastAsia="Calibri" w:cs="Arial"/>
          <w:szCs w:val="20"/>
          <w:lang w:val="sl-SI"/>
        </w:rPr>
      </w:pPr>
      <w:r w:rsidRPr="005771BD">
        <w:rPr>
          <w:rFonts w:eastAsia="Calibri" w:cs="Arial"/>
          <w:szCs w:val="20"/>
          <w:lang w:val="sl-SI"/>
        </w:rPr>
        <w:t>[KM04] – Intenzivnost kmetijstva</w:t>
      </w:r>
    </w:p>
    <w:p w:rsidR="00E40322" w:rsidRPr="005771BD" w:rsidRDefault="00E40322" w:rsidP="00E40322">
      <w:pPr>
        <w:spacing w:line="276" w:lineRule="auto"/>
        <w:jc w:val="both"/>
        <w:rPr>
          <w:rFonts w:eastAsia="Calibri" w:cs="Arial"/>
          <w:szCs w:val="20"/>
          <w:lang w:val="sl-SI"/>
        </w:rPr>
      </w:pPr>
      <w:r w:rsidRPr="005771BD">
        <w:rPr>
          <w:rFonts w:eastAsia="Calibri" w:cs="Arial"/>
          <w:szCs w:val="20"/>
          <w:lang w:val="sl-SI"/>
        </w:rPr>
        <w:t xml:space="preserve">[KM10] – Sprememba rabe zemljišč in kmetijstvo </w:t>
      </w:r>
    </w:p>
    <w:p w:rsidR="00E40322" w:rsidRPr="005771BD" w:rsidRDefault="00E40322" w:rsidP="00E40322">
      <w:pPr>
        <w:spacing w:line="276" w:lineRule="auto"/>
        <w:jc w:val="both"/>
        <w:rPr>
          <w:rFonts w:eastAsia="Calibri" w:cs="Arial"/>
          <w:szCs w:val="20"/>
          <w:lang w:val="sl-SI"/>
        </w:rPr>
      </w:pPr>
      <w:r w:rsidRPr="005771BD">
        <w:rPr>
          <w:rFonts w:eastAsia="Calibri" w:cs="Arial"/>
          <w:szCs w:val="20"/>
          <w:lang w:val="sl-SI"/>
        </w:rPr>
        <w:t>[KM18] – Nitrati v podzemni vodi in kmetijstvo</w:t>
      </w:r>
    </w:p>
    <w:p w:rsidR="00E40322" w:rsidRPr="005771BD" w:rsidRDefault="00E40322" w:rsidP="00E40322">
      <w:pPr>
        <w:spacing w:line="276" w:lineRule="auto"/>
        <w:jc w:val="both"/>
        <w:rPr>
          <w:rFonts w:eastAsia="Calibri" w:cs="Arial"/>
          <w:szCs w:val="20"/>
          <w:lang w:val="sl-SI"/>
        </w:rPr>
      </w:pPr>
      <w:r w:rsidRPr="005771BD">
        <w:rPr>
          <w:rFonts w:eastAsia="Calibri" w:cs="Arial"/>
          <w:szCs w:val="20"/>
          <w:lang w:val="sl-SI"/>
        </w:rPr>
        <w:t>[KM19] – Sredstva za varstvo rastlin in njihovi razgradni produkti v podzemni vodi</w:t>
      </w:r>
    </w:p>
    <w:p w:rsidR="00E40322" w:rsidRPr="005771BD" w:rsidRDefault="00E40322" w:rsidP="00E40322">
      <w:pPr>
        <w:spacing w:line="276" w:lineRule="auto"/>
        <w:jc w:val="both"/>
        <w:rPr>
          <w:rFonts w:eastAsia="Calibri" w:cs="Arial"/>
          <w:szCs w:val="20"/>
          <w:lang w:val="sl-SI"/>
        </w:rPr>
      </w:pPr>
      <w:r w:rsidRPr="005771BD">
        <w:rPr>
          <w:rFonts w:eastAsia="Calibri" w:cs="Arial"/>
          <w:szCs w:val="20"/>
          <w:lang w:val="sl-SI"/>
        </w:rPr>
        <w:t>[KM21] – Namakanje kmetijskih zemljišč</w:t>
      </w:r>
    </w:p>
    <w:p w:rsidR="00E40322" w:rsidRPr="005771BD" w:rsidRDefault="00E40322" w:rsidP="00E40322">
      <w:pPr>
        <w:spacing w:line="276" w:lineRule="auto"/>
        <w:jc w:val="both"/>
        <w:rPr>
          <w:rFonts w:eastAsia="Calibri" w:cs="Arial"/>
          <w:szCs w:val="20"/>
          <w:lang w:val="sl-SI"/>
        </w:rPr>
      </w:pPr>
      <w:r w:rsidRPr="005771BD">
        <w:rPr>
          <w:rFonts w:eastAsia="Calibri" w:cs="Arial"/>
          <w:szCs w:val="20"/>
          <w:lang w:val="sl-SI"/>
        </w:rPr>
        <w:t>[KM22] – Bilanca dušika v kmetijstvu</w:t>
      </w:r>
    </w:p>
    <w:p w:rsidR="00E40322" w:rsidRPr="005771BD" w:rsidRDefault="00E40322" w:rsidP="00E40322">
      <w:pPr>
        <w:spacing w:line="276" w:lineRule="auto"/>
        <w:jc w:val="both"/>
        <w:rPr>
          <w:rFonts w:eastAsia="Calibri" w:cs="Arial"/>
          <w:szCs w:val="20"/>
          <w:lang w:val="sl-SI"/>
        </w:rPr>
      </w:pPr>
      <w:r w:rsidRPr="005771BD">
        <w:rPr>
          <w:rFonts w:eastAsia="Calibri" w:cs="Arial"/>
          <w:szCs w:val="20"/>
          <w:lang w:val="sl-SI"/>
        </w:rPr>
        <w:t>[KM23] – Kmetijstvo na vodovarstvenih območjih</w:t>
      </w:r>
    </w:p>
    <w:p w:rsidR="00E40322" w:rsidRPr="005771BD" w:rsidRDefault="00E40322" w:rsidP="00E40322">
      <w:pPr>
        <w:spacing w:line="276" w:lineRule="auto"/>
        <w:jc w:val="both"/>
        <w:rPr>
          <w:rFonts w:eastAsia="Calibri" w:cs="Arial"/>
          <w:szCs w:val="20"/>
          <w:lang w:val="sl-SI"/>
        </w:rPr>
      </w:pPr>
      <w:r w:rsidRPr="005771BD">
        <w:rPr>
          <w:rFonts w:eastAsia="Calibri" w:cs="Arial"/>
          <w:szCs w:val="20"/>
          <w:lang w:val="sl-SI"/>
        </w:rPr>
        <w:t>[PS04] – Padavine in temperature</w:t>
      </w:r>
    </w:p>
    <w:p w:rsidR="00E40322" w:rsidRPr="005771BD" w:rsidRDefault="00E40322" w:rsidP="00E40322">
      <w:pPr>
        <w:spacing w:line="276" w:lineRule="auto"/>
        <w:jc w:val="both"/>
        <w:rPr>
          <w:rFonts w:eastAsia="Calibri" w:cs="Arial"/>
          <w:szCs w:val="20"/>
          <w:lang w:val="sl-SI"/>
        </w:rPr>
      </w:pPr>
      <w:r w:rsidRPr="005771BD">
        <w:rPr>
          <w:rFonts w:eastAsia="Calibri" w:cs="Arial"/>
          <w:szCs w:val="20"/>
          <w:lang w:val="sl-SI"/>
        </w:rPr>
        <w:t>[TP06] – Raba tal na vodovarstvenih območjih</w:t>
      </w:r>
    </w:p>
    <w:p w:rsidR="00E40322" w:rsidRPr="005771BD" w:rsidRDefault="00E40322" w:rsidP="00E40322">
      <w:pPr>
        <w:spacing w:line="276" w:lineRule="auto"/>
        <w:jc w:val="both"/>
        <w:rPr>
          <w:rFonts w:eastAsia="Calibri" w:cs="Arial"/>
          <w:szCs w:val="20"/>
          <w:lang w:val="sl-SI"/>
        </w:rPr>
      </w:pPr>
      <w:r w:rsidRPr="005771BD">
        <w:rPr>
          <w:rFonts w:eastAsia="Calibri" w:cs="Arial"/>
          <w:szCs w:val="20"/>
          <w:lang w:val="sl-SI"/>
        </w:rPr>
        <w:t>[ZD04] –  Hidrični izbruhi (epidemije)</w:t>
      </w:r>
    </w:p>
    <w:p w:rsidR="00E40322" w:rsidRPr="005771BD" w:rsidRDefault="00E40322" w:rsidP="00E40322">
      <w:pPr>
        <w:spacing w:line="276" w:lineRule="auto"/>
        <w:jc w:val="both"/>
        <w:rPr>
          <w:rFonts w:eastAsia="Calibri" w:cs="Arial"/>
          <w:szCs w:val="20"/>
          <w:lang w:val="sl-SI"/>
        </w:rPr>
      </w:pPr>
      <w:r w:rsidRPr="005771BD">
        <w:rPr>
          <w:rFonts w:eastAsia="Calibri" w:cs="Arial"/>
          <w:szCs w:val="20"/>
          <w:lang w:val="sl-SI"/>
        </w:rPr>
        <w:t>[ZD05] – Dostopnost do varne pitne vode</w:t>
      </w:r>
    </w:p>
    <w:p w:rsidR="00E40322" w:rsidRPr="005771BD" w:rsidRDefault="00E40322" w:rsidP="00421EBA">
      <w:pPr>
        <w:spacing w:after="360" w:line="276" w:lineRule="auto"/>
        <w:jc w:val="both"/>
        <w:rPr>
          <w:rFonts w:eastAsia="Calibri" w:cs="Arial"/>
          <w:szCs w:val="20"/>
          <w:lang w:val="sl-SI"/>
        </w:rPr>
      </w:pPr>
      <w:r w:rsidRPr="005771BD">
        <w:rPr>
          <w:rFonts w:eastAsia="Calibri" w:cs="Arial"/>
          <w:szCs w:val="20"/>
          <w:lang w:val="sl-SI"/>
        </w:rPr>
        <w:t>[NB10] – Delfini</w:t>
      </w:r>
    </w:p>
    <w:p w:rsidR="00E40322" w:rsidRPr="005771BD" w:rsidRDefault="007C37DF" w:rsidP="00E40322">
      <w:pPr>
        <w:spacing w:after="200" w:line="276" w:lineRule="auto"/>
        <w:jc w:val="both"/>
        <w:rPr>
          <w:rFonts w:eastAsia="Calibri" w:cs="Arial"/>
          <w:b/>
          <w:bCs/>
          <w:szCs w:val="20"/>
          <w:u w:val="single"/>
          <w:lang w:val="sl-SI"/>
        </w:rPr>
      </w:pPr>
      <w:r>
        <w:rPr>
          <w:rFonts w:eastAsia="Calibri" w:cs="Arial"/>
          <w:b/>
          <w:bCs/>
          <w:szCs w:val="20"/>
          <w:u w:val="single"/>
          <w:lang w:val="sl-SI"/>
        </w:rPr>
        <w:t>7</w:t>
      </w:r>
      <w:r w:rsidR="00E40322" w:rsidRPr="005771BD">
        <w:rPr>
          <w:rFonts w:eastAsia="Calibri" w:cs="Arial"/>
          <w:b/>
          <w:bCs/>
          <w:szCs w:val="20"/>
          <w:u w:val="single"/>
          <w:lang w:val="sl-SI"/>
        </w:rPr>
        <w:t>.9 Viri in literatura</w:t>
      </w:r>
    </w:p>
    <w:p w:rsidR="00E40322" w:rsidRPr="005771BD" w:rsidRDefault="00E40322" w:rsidP="00421EBA">
      <w:pPr>
        <w:spacing w:before="60" w:line="276" w:lineRule="auto"/>
        <w:jc w:val="both"/>
        <w:rPr>
          <w:rFonts w:eastAsia="Calibri" w:cs="Arial"/>
          <w:szCs w:val="20"/>
          <w:lang w:val="sl-SI"/>
        </w:rPr>
      </w:pPr>
      <w:r w:rsidRPr="005771BD">
        <w:rPr>
          <w:rFonts w:eastAsia="Calibri" w:cs="Arial"/>
          <w:szCs w:val="20"/>
          <w:lang w:val="sl-SI"/>
        </w:rPr>
        <w:t xml:space="preserve">Agencija RS za okolje, 2015, </w:t>
      </w:r>
      <w:r w:rsidRPr="005771BD">
        <w:rPr>
          <w:rFonts w:eastAsia="Calibri" w:cs="Arial"/>
          <w:i/>
          <w:szCs w:val="20"/>
          <w:lang w:val="sl-SI"/>
        </w:rPr>
        <w:t>Monitoring in ocena stanja voda na vodnem območju Donave</w:t>
      </w:r>
      <w:r w:rsidRPr="005771BD">
        <w:rPr>
          <w:rFonts w:eastAsia="Calibri" w:cs="Arial"/>
          <w:szCs w:val="20"/>
          <w:lang w:val="sl-SI"/>
        </w:rPr>
        <w:t>.</w:t>
      </w:r>
    </w:p>
    <w:p w:rsidR="00E40322" w:rsidRPr="005771BD" w:rsidRDefault="00E40322" w:rsidP="00421EBA">
      <w:pPr>
        <w:spacing w:before="60" w:line="276" w:lineRule="auto"/>
        <w:jc w:val="both"/>
        <w:rPr>
          <w:rFonts w:eastAsia="Calibri" w:cs="Arial"/>
          <w:i/>
          <w:szCs w:val="20"/>
          <w:lang w:val="sl-SI"/>
        </w:rPr>
      </w:pPr>
      <w:r w:rsidRPr="005771BD">
        <w:rPr>
          <w:rFonts w:eastAsia="Calibri" w:cs="Arial"/>
          <w:szCs w:val="20"/>
          <w:lang w:val="sl-SI"/>
        </w:rPr>
        <w:t xml:space="preserve">Agencija RS za okolje, 2015, </w:t>
      </w:r>
      <w:r w:rsidRPr="005771BD">
        <w:rPr>
          <w:rFonts w:eastAsia="Calibri" w:cs="Arial"/>
          <w:i/>
          <w:szCs w:val="20"/>
          <w:lang w:val="sl-SI"/>
        </w:rPr>
        <w:t xml:space="preserve">Monitoring in ocena stanja voda na vodnem območju Jadrana. </w:t>
      </w:r>
    </w:p>
    <w:p w:rsidR="00E40322" w:rsidRPr="005771BD" w:rsidRDefault="00E40322" w:rsidP="00421EBA">
      <w:pPr>
        <w:spacing w:before="60" w:line="276" w:lineRule="auto"/>
        <w:jc w:val="both"/>
        <w:rPr>
          <w:rFonts w:eastAsia="Calibri" w:cs="Arial"/>
          <w:szCs w:val="20"/>
          <w:lang w:val="sl-SI"/>
        </w:rPr>
      </w:pPr>
      <w:r w:rsidRPr="005771BD">
        <w:rPr>
          <w:rFonts w:eastAsia="Calibri" w:cs="Arial"/>
          <w:szCs w:val="20"/>
          <w:lang w:val="sl-SI"/>
        </w:rPr>
        <w:t xml:space="preserve">Agencija RS za okolje, 2015, </w:t>
      </w:r>
      <w:r w:rsidRPr="005771BD">
        <w:rPr>
          <w:rFonts w:eastAsia="Calibri" w:cs="Arial"/>
          <w:i/>
          <w:szCs w:val="20"/>
          <w:lang w:val="sl-SI"/>
        </w:rPr>
        <w:t>Količinsko stanje podzemnih voda v Sloveniji, Osnove za NUV 2015–2021.</w:t>
      </w:r>
      <w:r w:rsidRPr="005771BD">
        <w:rPr>
          <w:rFonts w:eastAsia="Calibri" w:cs="Arial"/>
          <w:szCs w:val="20"/>
          <w:lang w:val="sl-SI"/>
        </w:rPr>
        <w:t xml:space="preserve"> </w:t>
      </w:r>
    </w:p>
    <w:p w:rsidR="00E40322" w:rsidRPr="005771BD" w:rsidRDefault="00E40322" w:rsidP="00421EBA">
      <w:pPr>
        <w:spacing w:before="60" w:line="276" w:lineRule="auto"/>
        <w:jc w:val="both"/>
        <w:rPr>
          <w:rFonts w:eastAsia="Calibri" w:cs="Arial"/>
          <w:szCs w:val="20"/>
          <w:lang w:val="sl-SI"/>
        </w:rPr>
      </w:pPr>
      <w:r w:rsidRPr="005771BD">
        <w:rPr>
          <w:rFonts w:eastAsia="Calibri" w:cs="Arial"/>
          <w:szCs w:val="20"/>
          <w:lang w:val="sl-SI"/>
        </w:rPr>
        <w:t xml:space="preserve">Agencija RS za okolje, 2015, </w:t>
      </w:r>
      <w:r w:rsidRPr="005771BD">
        <w:rPr>
          <w:rFonts w:eastAsia="Calibri" w:cs="Arial"/>
          <w:i/>
          <w:szCs w:val="20"/>
          <w:lang w:val="sl-SI"/>
        </w:rPr>
        <w:t>Ocena kemijskega stanja podzemne vode v Sloveniji v letu 2014</w:t>
      </w:r>
      <w:r w:rsidRPr="005771BD">
        <w:rPr>
          <w:rFonts w:eastAsia="Calibri" w:cs="Arial"/>
          <w:szCs w:val="20"/>
          <w:lang w:val="sl-SI"/>
        </w:rPr>
        <w:t>.</w:t>
      </w:r>
    </w:p>
    <w:p w:rsidR="00E40322" w:rsidRPr="005771BD" w:rsidRDefault="00E40322" w:rsidP="00421EBA">
      <w:pPr>
        <w:spacing w:before="60" w:line="276" w:lineRule="auto"/>
        <w:jc w:val="both"/>
        <w:rPr>
          <w:rFonts w:eastAsia="Calibri" w:cs="Arial"/>
          <w:szCs w:val="20"/>
          <w:lang w:val="sl-SI"/>
        </w:rPr>
      </w:pPr>
      <w:r w:rsidRPr="005771BD">
        <w:rPr>
          <w:rFonts w:eastAsia="Calibri" w:cs="Arial"/>
          <w:szCs w:val="20"/>
          <w:lang w:val="sl-SI"/>
        </w:rPr>
        <w:t>Agencija RS za okolje, 2014, Ocena kemijskega in ekološkega stanja morja ter kakovosti vode v gojiščih školjk v Sloveniji v letu 2014.</w:t>
      </w:r>
    </w:p>
    <w:p w:rsidR="00E40322" w:rsidRPr="005771BD" w:rsidRDefault="00E40322" w:rsidP="00421EBA">
      <w:pPr>
        <w:spacing w:before="60" w:line="276" w:lineRule="auto"/>
        <w:jc w:val="both"/>
        <w:rPr>
          <w:rFonts w:eastAsia="Calibri" w:cs="Arial"/>
          <w:i/>
          <w:szCs w:val="20"/>
          <w:lang w:val="sl-SI"/>
        </w:rPr>
      </w:pPr>
      <w:r w:rsidRPr="005771BD">
        <w:rPr>
          <w:rFonts w:eastAsia="Calibri" w:cs="Arial"/>
          <w:szCs w:val="20"/>
          <w:lang w:val="sl-SI"/>
        </w:rPr>
        <w:t xml:space="preserve">Agencija RS za okolje, 2016, </w:t>
      </w:r>
      <w:r w:rsidRPr="005771BD">
        <w:rPr>
          <w:rFonts w:eastAsia="Calibri" w:cs="Arial"/>
          <w:i/>
          <w:szCs w:val="20"/>
          <w:lang w:val="sl-SI"/>
        </w:rPr>
        <w:t>Kakovost kopalnih voda na naravnih kopališčih in na kopalnih območjih v Sloveniji v letu 2015.</w:t>
      </w:r>
    </w:p>
    <w:p w:rsidR="00E40322" w:rsidRPr="005771BD" w:rsidRDefault="00E40322" w:rsidP="00421EBA">
      <w:pPr>
        <w:spacing w:before="60" w:line="276" w:lineRule="auto"/>
        <w:jc w:val="both"/>
        <w:rPr>
          <w:rFonts w:eastAsia="Calibri" w:cs="Arial"/>
          <w:i/>
          <w:szCs w:val="20"/>
          <w:lang w:val="sl-SI"/>
        </w:rPr>
      </w:pPr>
      <w:r w:rsidRPr="005771BD">
        <w:rPr>
          <w:rFonts w:eastAsia="Calibri" w:cs="Arial"/>
          <w:szCs w:val="20"/>
          <w:lang w:val="sl-SI"/>
        </w:rPr>
        <w:t xml:space="preserve">Agencija RS za okolje, 2015, </w:t>
      </w:r>
      <w:r w:rsidRPr="005771BD">
        <w:rPr>
          <w:rFonts w:eastAsia="Calibri" w:cs="Arial"/>
          <w:i/>
          <w:szCs w:val="20"/>
          <w:lang w:val="sl-SI"/>
        </w:rPr>
        <w:t>Kakovost voda za življenje sladkovodnih vrst rib v letu 2014.</w:t>
      </w:r>
    </w:p>
    <w:p w:rsidR="00E40322" w:rsidRPr="005771BD" w:rsidRDefault="00E40322" w:rsidP="00421EBA">
      <w:pPr>
        <w:spacing w:before="60" w:line="276" w:lineRule="auto"/>
        <w:jc w:val="both"/>
        <w:rPr>
          <w:rFonts w:eastAsia="Calibri" w:cs="Arial"/>
          <w:i/>
          <w:szCs w:val="20"/>
          <w:lang w:val="sl-SI"/>
        </w:rPr>
      </w:pPr>
      <w:r w:rsidRPr="005771BD">
        <w:rPr>
          <w:rFonts w:eastAsia="Calibri" w:cs="Arial"/>
          <w:szCs w:val="20"/>
          <w:lang w:val="sl-SI"/>
        </w:rPr>
        <w:t xml:space="preserve">Agencija RS za okolje, 2015, </w:t>
      </w:r>
      <w:r w:rsidRPr="005771BD">
        <w:rPr>
          <w:rFonts w:eastAsia="Calibri" w:cs="Arial"/>
          <w:i/>
          <w:szCs w:val="20"/>
          <w:lang w:val="sl-SI"/>
        </w:rPr>
        <w:t>Ocena stanja jezer v Sloveniji v letu 2014.</w:t>
      </w:r>
    </w:p>
    <w:p w:rsidR="00E40322" w:rsidRPr="005771BD" w:rsidRDefault="00E40322" w:rsidP="00421EBA">
      <w:pPr>
        <w:spacing w:before="60" w:line="276" w:lineRule="auto"/>
        <w:jc w:val="both"/>
        <w:rPr>
          <w:rFonts w:eastAsia="Calibri" w:cs="Arial"/>
          <w:szCs w:val="20"/>
          <w:lang w:val="sl-SI"/>
        </w:rPr>
      </w:pPr>
      <w:r w:rsidRPr="005771BD">
        <w:rPr>
          <w:rFonts w:eastAsia="Calibri" w:cs="Arial"/>
          <w:szCs w:val="20"/>
          <w:lang w:val="sl-SI"/>
        </w:rPr>
        <w:t xml:space="preserve">Vlada RS, </w:t>
      </w:r>
      <w:r w:rsidRPr="005771BD">
        <w:rPr>
          <w:rFonts w:eastAsia="Calibri" w:cs="Arial"/>
          <w:i/>
          <w:szCs w:val="20"/>
          <w:lang w:val="sl-SI"/>
        </w:rPr>
        <w:t>Načrt upravljanja voda za vodno območje Jadranskega morja za obdobje 2011–2015.</w:t>
      </w:r>
    </w:p>
    <w:p w:rsidR="00E40322" w:rsidRPr="005771BD" w:rsidRDefault="00E40322" w:rsidP="00421EBA">
      <w:pPr>
        <w:spacing w:before="60" w:line="276" w:lineRule="auto"/>
        <w:jc w:val="both"/>
        <w:rPr>
          <w:rFonts w:eastAsia="Calibri" w:cs="Arial"/>
          <w:szCs w:val="20"/>
          <w:lang w:val="sl-SI"/>
        </w:rPr>
      </w:pPr>
      <w:r w:rsidRPr="005771BD">
        <w:rPr>
          <w:rFonts w:eastAsia="Calibri" w:cs="Arial"/>
          <w:szCs w:val="20"/>
          <w:lang w:val="sl-SI"/>
        </w:rPr>
        <w:t xml:space="preserve">Vlada RS, </w:t>
      </w:r>
      <w:r w:rsidRPr="005771BD">
        <w:rPr>
          <w:rFonts w:eastAsia="Calibri" w:cs="Arial"/>
          <w:i/>
          <w:szCs w:val="20"/>
          <w:lang w:val="sl-SI"/>
        </w:rPr>
        <w:t>Načrt upravljanja voda za vodno območje Donave za obdobje 2011–2015.</w:t>
      </w:r>
    </w:p>
    <w:p w:rsidR="00E40322" w:rsidRPr="005771BD" w:rsidRDefault="00E40322" w:rsidP="00421EBA">
      <w:pPr>
        <w:spacing w:before="60" w:line="276" w:lineRule="auto"/>
        <w:jc w:val="both"/>
        <w:rPr>
          <w:rFonts w:eastAsia="Calibri" w:cs="Arial"/>
          <w:szCs w:val="20"/>
          <w:lang w:val="sl-SI"/>
        </w:rPr>
      </w:pPr>
      <w:r w:rsidRPr="005771BD">
        <w:rPr>
          <w:rFonts w:eastAsia="Calibri" w:cs="Arial"/>
          <w:szCs w:val="20"/>
          <w:lang w:val="sl-SI"/>
        </w:rPr>
        <w:t>Vlada RS</w:t>
      </w:r>
      <w:r w:rsidRPr="005771BD">
        <w:rPr>
          <w:rFonts w:eastAsia="Calibri" w:cs="Arial"/>
          <w:i/>
          <w:szCs w:val="20"/>
          <w:lang w:val="sl-SI"/>
        </w:rPr>
        <w:t>, Načrt upravljanja voda za vodno območje Jadranskega morja za obdobje 2016–2021.</w:t>
      </w:r>
    </w:p>
    <w:p w:rsidR="00E40322" w:rsidRPr="005771BD" w:rsidRDefault="00E40322" w:rsidP="00421EBA">
      <w:pPr>
        <w:spacing w:before="60" w:line="276" w:lineRule="auto"/>
        <w:jc w:val="both"/>
        <w:rPr>
          <w:rFonts w:eastAsia="Calibri" w:cs="Arial"/>
          <w:szCs w:val="20"/>
          <w:lang w:val="sl-SI"/>
        </w:rPr>
      </w:pPr>
      <w:r w:rsidRPr="005771BD">
        <w:rPr>
          <w:rFonts w:eastAsia="Calibri" w:cs="Arial"/>
          <w:szCs w:val="20"/>
          <w:lang w:val="sl-SI"/>
        </w:rPr>
        <w:t xml:space="preserve">Vlada RS, </w:t>
      </w:r>
      <w:r w:rsidRPr="005771BD">
        <w:rPr>
          <w:rFonts w:eastAsia="Calibri" w:cs="Arial"/>
          <w:i/>
          <w:szCs w:val="20"/>
          <w:lang w:val="sl-SI"/>
        </w:rPr>
        <w:t>Načrt upravljanja voda za vodno območje Donave za obdobje 2016–2021.</w:t>
      </w:r>
    </w:p>
    <w:p w:rsidR="00E40322" w:rsidRPr="005771BD" w:rsidRDefault="00E40322" w:rsidP="00421EBA">
      <w:pPr>
        <w:spacing w:before="60" w:line="276" w:lineRule="auto"/>
        <w:jc w:val="both"/>
        <w:rPr>
          <w:rFonts w:eastAsia="Calibri" w:cs="Arial"/>
          <w:szCs w:val="20"/>
          <w:lang w:val="sl-SI"/>
        </w:rPr>
      </w:pPr>
      <w:r w:rsidRPr="005771BD">
        <w:rPr>
          <w:rFonts w:eastAsia="Calibri" w:cs="Arial"/>
          <w:szCs w:val="20"/>
          <w:lang w:val="sl-SI"/>
        </w:rPr>
        <w:t xml:space="preserve">MOP, 2016, </w:t>
      </w:r>
      <w:r w:rsidRPr="005771BD">
        <w:rPr>
          <w:rFonts w:eastAsia="Calibri" w:cs="Arial"/>
          <w:i/>
          <w:szCs w:val="20"/>
          <w:lang w:val="sl-SI"/>
        </w:rPr>
        <w:t>Načrt upravljanja z morskim okoljem za obdobje 2016–2021 (osnutek).</w:t>
      </w:r>
    </w:p>
    <w:p w:rsidR="00E40322" w:rsidRPr="005771BD" w:rsidRDefault="00E40322" w:rsidP="00421EBA">
      <w:pPr>
        <w:spacing w:before="60" w:line="276" w:lineRule="auto"/>
        <w:jc w:val="both"/>
        <w:rPr>
          <w:rFonts w:eastAsia="Calibri" w:cs="Arial"/>
          <w:szCs w:val="20"/>
          <w:lang w:val="sl-SI"/>
        </w:rPr>
      </w:pPr>
      <w:r w:rsidRPr="005771BD">
        <w:rPr>
          <w:rFonts w:eastAsia="Calibri" w:cs="Arial"/>
          <w:szCs w:val="20"/>
          <w:lang w:val="sl-SI"/>
        </w:rPr>
        <w:t xml:space="preserve">Vlada RS, </w:t>
      </w:r>
      <w:r w:rsidRPr="005771BD">
        <w:rPr>
          <w:rFonts w:eastAsia="Calibri" w:cs="Arial"/>
          <w:i/>
          <w:szCs w:val="20"/>
          <w:lang w:val="sl-SI"/>
        </w:rPr>
        <w:t>Operativni program oskrbe s pitno vodo za obdobje od2016 do 2021.</w:t>
      </w:r>
    </w:p>
    <w:p w:rsidR="00E40322" w:rsidRPr="005771BD" w:rsidRDefault="00E40322" w:rsidP="00421EBA">
      <w:pPr>
        <w:spacing w:before="60" w:line="276" w:lineRule="auto"/>
        <w:jc w:val="both"/>
        <w:rPr>
          <w:rFonts w:eastAsia="Calibri" w:cs="Arial"/>
          <w:i/>
          <w:szCs w:val="20"/>
          <w:lang w:val="sl-SI"/>
        </w:rPr>
      </w:pPr>
      <w:r w:rsidRPr="005771BD">
        <w:rPr>
          <w:rFonts w:eastAsia="Calibri" w:cs="Arial"/>
          <w:szCs w:val="20"/>
          <w:lang w:val="sl-SI"/>
        </w:rPr>
        <w:t xml:space="preserve">MOP, </w:t>
      </w:r>
      <w:r w:rsidRPr="005771BD">
        <w:rPr>
          <w:rFonts w:eastAsia="Calibri" w:cs="Arial"/>
          <w:i/>
          <w:szCs w:val="20"/>
          <w:lang w:val="sl-SI"/>
        </w:rPr>
        <w:t>Operativni program odvajanja in čiščenja komunalne odpadne vode (novelacija za obdobje od leta 2005 do leta 2017).</w:t>
      </w:r>
    </w:p>
    <w:p w:rsidR="00A3208F" w:rsidRPr="005771BD" w:rsidRDefault="00E40322" w:rsidP="007C37DF">
      <w:pPr>
        <w:spacing w:after="360" w:line="276" w:lineRule="auto"/>
        <w:rPr>
          <w:rFonts w:eastAsia="Calibri" w:cs="Arial"/>
          <w:b/>
          <w:sz w:val="22"/>
          <w:szCs w:val="22"/>
          <w:lang w:val="sl-SI"/>
        </w:rPr>
      </w:pPr>
      <w:r>
        <w:rPr>
          <w:rFonts w:eastAsia="Calibri" w:cs="Arial"/>
          <w:b/>
          <w:sz w:val="22"/>
          <w:szCs w:val="22"/>
          <w:lang w:val="sl-SI"/>
        </w:rPr>
        <w:br w:type="column"/>
      </w:r>
      <w:r w:rsidR="007C37DF">
        <w:rPr>
          <w:rFonts w:eastAsia="Calibri" w:cs="Arial"/>
          <w:b/>
          <w:sz w:val="22"/>
          <w:szCs w:val="22"/>
          <w:lang w:val="sl-SI"/>
        </w:rPr>
        <w:t>8</w:t>
      </w:r>
      <w:r w:rsidR="00A3208F" w:rsidRPr="005771BD">
        <w:rPr>
          <w:rFonts w:eastAsia="Calibri" w:cs="Arial"/>
          <w:b/>
          <w:sz w:val="22"/>
          <w:szCs w:val="22"/>
          <w:lang w:val="sl-SI"/>
        </w:rPr>
        <w:t xml:space="preserve"> TLA</w:t>
      </w:r>
    </w:p>
    <w:p w:rsidR="00A3208F" w:rsidRPr="005771BD" w:rsidRDefault="007C37DF" w:rsidP="00A3208F">
      <w:pPr>
        <w:spacing w:after="200" w:line="276" w:lineRule="auto"/>
        <w:rPr>
          <w:rFonts w:eastAsia="Calibri" w:cs="Arial"/>
          <w:b/>
          <w:szCs w:val="20"/>
          <w:u w:val="single"/>
          <w:lang w:val="sl-SI"/>
        </w:rPr>
      </w:pPr>
      <w:r>
        <w:rPr>
          <w:rFonts w:eastAsia="Calibri" w:cs="Arial"/>
          <w:b/>
          <w:szCs w:val="20"/>
          <w:u w:val="single"/>
          <w:lang w:val="sl-SI"/>
        </w:rPr>
        <w:t>8</w:t>
      </w:r>
      <w:r w:rsidR="00A3208F" w:rsidRPr="005771BD">
        <w:rPr>
          <w:rFonts w:eastAsia="Calibri" w:cs="Arial"/>
          <w:b/>
          <w:szCs w:val="20"/>
          <w:u w:val="single"/>
          <w:lang w:val="sl-SI"/>
        </w:rPr>
        <w:t xml:space="preserve">. 1 Povzetek </w:t>
      </w:r>
    </w:p>
    <w:p w:rsidR="00A3208F" w:rsidRPr="005771BD" w:rsidRDefault="00A3208F" w:rsidP="00A3208F">
      <w:pPr>
        <w:spacing w:after="200" w:line="276" w:lineRule="auto"/>
        <w:jc w:val="both"/>
        <w:rPr>
          <w:rFonts w:eastAsia="Calibri" w:cs="Arial"/>
          <w:szCs w:val="20"/>
          <w:lang w:val="sl-SI"/>
        </w:rPr>
      </w:pPr>
      <w:r w:rsidRPr="005771BD">
        <w:rPr>
          <w:rFonts w:eastAsia="Calibri" w:cs="Arial"/>
          <w:szCs w:val="20"/>
          <w:lang w:val="sl-SI"/>
        </w:rPr>
        <w:t>Tla so neobnovljiv naravni vir, saj je njihovo nastajanje in obnavljanje dolgotrajen proces, ki traja več tisočletij. So temelj za oskrbo s hrano, biomaso in surovinami. Dajejo življenjski prostor ljudem in drugim organizmom, omogočajo številne človekove dejavnosti, oblikujejo krajino, so vir genetske raznolikosti in arhiv dediščine. K</w:t>
      </w:r>
      <w:r w:rsidRPr="005771BD">
        <w:rPr>
          <w:rFonts w:eastAsia="Calibri" w:cs="Arial"/>
          <w:iCs/>
          <w:szCs w:val="20"/>
          <w:lang w:val="sl-SI"/>
        </w:rPr>
        <w:t xml:space="preserve">ot sestavni del okolja so tla ključna v procesih zadrževanja in filtriranja voda, vezave atmosferskega ogljika, kroženja organske snovi ter temelj biotske pestrosti. </w:t>
      </w:r>
      <w:r w:rsidRPr="005771BD">
        <w:rPr>
          <w:rFonts w:eastAsia="Calibri" w:cs="Arial"/>
          <w:szCs w:val="20"/>
          <w:lang w:val="sl-SI"/>
        </w:rPr>
        <w:t xml:space="preserve">Zaradi okoljskega, ekonomskega in socialnega pomena so izrednega pomena za ljudi in okolje. </w:t>
      </w:r>
    </w:p>
    <w:p w:rsidR="00A3208F" w:rsidRPr="005771BD" w:rsidRDefault="00A3208F" w:rsidP="00A3208F">
      <w:pPr>
        <w:spacing w:after="200" w:line="276" w:lineRule="auto"/>
        <w:jc w:val="both"/>
        <w:rPr>
          <w:rFonts w:eastAsia="Calibri" w:cs="Arial"/>
          <w:szCs w:val="20"/>
          <w:lang w:val="sl-SI"/>
        </w:rPr>
      </w:pPr>
      <w:r w:rsidRPr="005771BD">
        <w:rPr>
          <w:rFonts w:eastAsia="Calibri" w:cs="Arial"/>
          <w:szCs w:val="20"/>
          <w:lang w:val="sl-SI"/>
        </w:rPr>
        <w:t xml:space="preserve">Iz raziskav onesnaženosti tal v Sloveniji (v nadaljevanju: ROTS), ki jih od leta 2008 vodi Agencija RS za okolje, izhaja, da so tla v Sloveniji večinoma neonesnažena, izstopajo posamezna območja, ki so obremenjena z nekaterimi anorganskimi (npr. kadmij, svinec, arzen, baker) in organskimi onesnaževali (npr. fitofarmacevtska sredstva). Na posameznih vzorčnih mestih, kjer je bila ali pa se še vedno izvaja povečana rudniško-topilniška ali metalurška dejavnost, so bila zaznana preseganja opozorilnih imisijskih vrednosti, ponekod tudi kritičnih imisijskih vrednosti za anorganska onesnaževala. Onesnaženje tal z organskimi onesnaževali je v Sloveniji manj pereče. Vsebnosti organskih onesnaževal na nobenem vzorčnem mestu niso presegle opozorilnih imisijskih vrednosti, so pa bila zaznana manjša preseganja mejnih imisijskih vrednosti za fitofarmacevtska sredstva oziroma njihove razgradne produkte na površinah z intenzivno kmetijsko pridelavo. Najbolj obremenjena tla z onesnaževali so v Mežiški dolini, Celjski kotlini, na Jesenicah in v Idriji, pri čemer sta za zdravje ljudi in okolja najbolj problematična predvsem kadmij in svinec. </w:t>
      </w:r>
    </w:p>
    <w:p w:rsidR="00A3208F" w:rsidRPr="005771BD" w:rsidRDefault="00A3208F" w:rsidP="00A3208F">
      <w:pPr>
        <w:spacing w:after="200" w:line="276" w:lineRule="auto"/>
        <w:jc w:val="both"/>
        <w:rPr>
          <w:rFonts w:eastAsia="Calibri" w:cs="Arial"/>
          <w:szCs w:val="20"/>
          <w:lang w:val="sl-SI"/>
        </w:rPr>
      </w:pPr>
      <w:r w:rsidRPr="005771BD">
        <w:rPr>
          <w:rFonts w:eastAsia="Calibri" w:cs="Arial"/>
          <w:szCs w:val="20"/>
          <w:lang w:val="sl-SI"/>
        </w:rPr>
        <w:t>Od leta 2008 se na območju Mežiške doline izvajajo ukrepi za izboljšanje stanja onesnaženih tal, ki so vključevali prekrivanje makadamskih površin z asfaltom in zamenjavo onesnaženih delov tal oziroma prekritje z neonesnaženimi tlemi, zatravitev ipd. Učinkovitost sanacijskih ukrepov se preverja s spremljanjem onesnaženosti tal saniranih površin in posredno oziroma deloma z ugotavljanjem vsebnosti svinca v krvi otrok (biomonitoring). Podatki monitoringa onesnaženosti tal na saniranih površinah kažejo, da se je po izvedbi sanacije vsebnost svinca zmanjšala pod opozorilno imisijsko vrednost, vendar se je ponekod začela postopno povečevati. Biomonitoring vsebnosti svinca v krvi otrok kaže, da je imelo pred izvedbo sanacijskih ukrepov, tj. pred letom 2008, povišane vsebnosti svinca v krvi približno dvajset odstotkov otrok. V zadnjih letih to velja za približno desetino otrok, povišal se je tudi odstotek otrok z nizkimi vsebnostmi svinca v krvi.</w:t>
      </w:r>
    </w:p>
    <w:p w:rsidR="00A3208F" w:rsidRPr="005771BD" w:rsidRDefault="00A3208F" w:rsidP="00A3208F">
      <w:pPr>
        <w:spacing w:after="200" w:line="276" w:lineRule="auto"/>
        <w:jc w:val="both"/>
        <w:rPr>
          <w:rFonts w:eastAsia="Calibri" w:cs="Arial"/>
          <w:szCs w:val="20"/>
          <w:lang w:val="sl-SI"/>
        </w:rPr>
      </w:pPr>
      <w:r w:rsidRPr="005771BD">
        <w:rPr>
          <w:rFonts w:eastAsia="Calibri" w:cs="Arial"/>
          <w:szCs w:val="20"/>
          <w:lang w:val="sl-SI"/>
        </w:rPr>
        <w:t xml:space="preserve">V Sloveniji vzpostavljamo nov sistem varstva tal, v okviru katerega potekajo tudi aktivnosti za vzpostavitev monitoringa stanja tal. Podatki o stanju onesnaženosti tal, ki so bili pridobljeni v okviru ROTS, bodo podlaga za določitev monitoringa stanja tal ter za določitev območij z visoko stopnjo obremenjenosti oziroma za določitev degradiranega okolja z vidika onesnaženosti tal v Sloveniji. </w:t>
      </w:r>
    </w:p>
    <w:p w:rsidR="00A3208F" w:rsidRPr="005771BD" w:rsidRDefault="00A3208F" w:rsidP="007C37DF">
      <w:pPr>
        <w:spacing w:after="360" w:line="276" w:lineRule="auto"/>
        <w:jc w:val="both"/>
        <w:rPr>
          <w:rFonts w:eastAsia="Calibri" w:cs="Arial"/>
          <w:szCs w:val="20"/>
          <w:lang w:val="sl-SI"/>
        </w:rPr>
      </w:pPr>
      <w:r w:rsidRPr="005771BD">
        <w:rPr>
          <w:rFonts w:eastAsia="Calibri" w:cs="Arial"/>
          <w:szCs w:val="20"/>
          <w:lang w:val="sl-SI"/>
        </w:rPr>
        <w:t xml:space="preserve">Za celovit pregled stanja tal pa bo treba v prihodnosti poleg onesnaževanja upoštevati  obremenitve, ki so jim tla izpostavljena, predvsem zmanjševanje organske snovi v tleh in biološke raznovrstnosti tal, zmanjševanje izgube tal zaradi prekrivanja in tesnjenja tal z neprepustnimi materiali in izgubo tal zaradi erozije. </w:t>
      </w:r>
    </w:p>
    <w:p w:rsidR="00A3208F" w:rsidRPr="005771BD" w:rsidRDefault="007C37DF" w:rsidP="00A3208F">
      <w:pPr>
        <w:spacing w:after="200" w:line="276" w:lineRule="auto"/>
        <w:jc w:val="both"/>
        <w:rPr>
          <w:rFonts w:eastAsia="Calibri" w:cs="Arial"/>
          <w:i/>
          <w:szCs w:val="20"/>
          <w:u w:val="single"/>
          <w:lang w:val="sl-SI"/>
        </w:rPr>
      </w:pPr>
      <w:r>
        <w:rPr>
          <w:rFonts w:eastAsia="Calibri" w:cs="Arial"/>
          <w:b/>
          <w:szCs w:val="20"/>
          <w:u w:val="single"/>
          <w:lang w:val="sl-SI"/>
        </w:rPr>
        <w:t>8</w:t>
      </w:r>
      <w:r w:rsidR="00A3208F" w:rsidRPr="005771BD">
        <w:rPr>
          <w:rFonts w:eastAsia="Calibri" w:cs="Arial"/>
          <w:b/>
          <w:szCs w:val="20"/>
          <w:u w:val="single"/>
          <w:lang w:val="sl-SI"/>
        </w:rPr>
        <w:t>.2 Obremenitve in stanje</w:t>
      </w:r>
      <w:r w:rsidR="00A3208F" w:rsidRPr="005771BD">
        <w:rPr>
          <w:rFonts w:eastAsia="Calibri" w:cs="Arial"/>
          <w:szCs w:val="20"/>
          <w:u w:val="single"/>
          <w:lang w:val="sl-SI"/>
        </w:rPr>
        <w:t xml:space="preserve"> </w:t>
      </w:r>
    </w:p>
    <w:p w:rsidR="00A3208F" w:rsidRPr="005771BD" w:rsidRDefault="007C37DF" w:rsidP="00A3208F">
      <w:pPr>
        <w:spacing w:after="200" w:line="276" w:lineRule="auto"/>
        <w:jc w:val="both"/>
        <w:rPr>
          <w:rFonts w:eastAsia="Calibri" w:cs="Arial"/>
          <w:b/>
          <w:szCs w:val="20"/>
          <w:lang w:val="sl-SI"/>
        </w:rPr>
      </w:pPr>
      <w:r>
        <w:rPr>
          <w:rFonts w:eastAsia="Calibri" w:cs="Arial"/>
          <w:b/>
          <w:szCs w:val="20"/>
          <w:lang w:val="sl-SI"/>
        </w:rPr>
        <w:t>8</w:t>
      </w:r>
      <w:r w:rsidR="00A3208F" w:rsidRPr="005771BD">
        <w:rPr>
          <w:rFonts w:eastAsia="Calibri" w:cs="Arial"/>
          <w:b/>
          <w:szCs w:val="20"/>
          <w:lang w:val="sl-SI"/>
        </w:rPr>
        <w:t>.2.1 Obremenitve</w:t>
      </w:r>
    </w:p>
    <w:p w:rsidR="00A3208F" w:rsidRPr="005771BD" w:rsidRDefault="00A3208F" w:rsidP="00A3208F">
      <w:pPr>
        <w:spacing w:after="200" w:line="276" w:lineRule="auto"/>
        <w:jc w:val="both"/>
        <w:rPr>
          <w:rFonts w:eastAsia="Calibri" w:cs="Arial"/>
          <w:iCs/>
          <w:szCs w:val="20"/>
          <w:lang w:val="sl-SI"/>
        </w:rPr>
      </w:pPr>
      <w:r w:rsidRPr="005771BD">
        <w:rPr>
          <w:rFonts w:eastAsia="Calibri" w:cs="Arial"/>
          <w:iCs/>
          <w:szCs w:val="20"/>
          <w:lang w:val="sl-SI"/>
        </w:rPr>
        <w:t xml:space="preserve">Ob naraščajočih potrebah prebivalstva in podnebnih spremembah </w:t>
      </w:r>
      <w:r w:rsidRPr="005771BD">
        <w:rPr>
          <w:rFonts w:eastAsia="Calibri" w:cs="Arial"/>
          <w:szCs w:val="20"/>
          <w:lang w:val="sl-SI"/>
        </w:rPr>
        <w:t>so tla izpostavljena številnim nevarnostim in procesom degradacije, ki vključujejo:</w:t>
      </w:r>
      <w:r w:rsidRPr="005771BD">
        <w:rPr>
          <w:rFonts w:eastAsia="Calibri" w:cs="Arial"/>
          <w:iCs/>
          <w:szCs w:val="20"/>
          <w:lang w:val="sl-SI"/>
        </w:rPr>
        <w:t xml:space="preserve"> erozijo, zmanjšanje količine organskih snovi v tleh, zasoljevanje, zbijanje tal, zmanjšanje biološke raznovrstnosti tal, poplave, prekrivanje in tesnjenje tal z različnimi nepropustnimi materiali oziroma pozidava zemljišč ter onesnaževanje tal. Zmanjšanje oziroma onemogočanje zagotavljanja ekosistemskih funkcij tal kot posledica degradacijskih procesov tal pomeni izgubo rodovitnosti tal in s tem proizvodne sposobnosti tal za pridelavo zadostnih količin varne hrane in biomase, izgubo ogljika in biološke raznovrstnosti, zmanjša se sposobnost tal za čiščenje in zadrževanje vode, počasneje se razgrajujejo morebitna onesnaževala v tleh.</w:t>
      </w:r>
    </w:p>
    <w:p w:rsidR="00A3208F" w:rsidRPr="005771BD" w:rsidRDefault="00A3208F" w:rsidP="00A3208F">
      <w:pPr>
        <w:spacing w:after="200" w:line="276" w:lineRule="auto"/>
        <w:jc w:val="both"/>
        <w:rPr>
          <w:rFonts w:eastAsia="Calibri" w:cs="Arial"/>
          <w:szCs w:val="20"/>
          <w:lang w:val="sl-SI"/>
        </w:rPr>
      </w:pPr>
      <w:r w:rsidRPr="005771BD">
        <w:rPr>
          <w:rFonts w:eastAsia="Calibri" w:cs="Arial"/>
          <w:iCs/>
          <w:szCs w:val="20"/>
          <w:lang w:val="sl-SI"/>
        </w:rPr>
        <w:t xml:space="preserve">Nekateri degradacijski procesi tal v Sloveniji niso zaznani v takem obsegu, da bi dejansko ogrožali ekosistemske funkcije tal. Tako je v Programu razvoja podeželja RS za obdobje 2014–2020 navedeno, </w:t>
      </w:r>
      <w:r w:rsidRPr="005771BD">
        <w:rPr>
          <w:rFonts w:eastAsia="Calibri" w:cs="Arial"/>
          <w:szCs w:val="20"/>
          <w:lang w:val="sl-SI"/>
        </w:rPr>
        <w:t xml:space="preserve">da so tla v Sloveniji dobro oskrbljena z organsko snovjo, saj podatki pedološke karte kažejo, da je na 86,2 % kmetijskih zemljišč vsebnost organske snovi večja od 2 %, na 30,9 % kmetijskih zemljišč pa večja od 4 %. Kljub večinoma dobri oskrbljenosti tal z organsko snovjo pa na posameznih območjih SV Slovenije obstaja tveganje za zmanjševanje vsebnosti organske snovi v tleh. Iz </w:t>
      </w:r>
      <w:r w:rsidRPr="005771BD">
        <w:rPr>
          <w:rFonts w:eastAsia="Calibri" w:cs="Arial"/>
          <w:iCs/>
          <w:szCs w:val="20"/>
          <w:lang w:val="sl-SI"/>
        </w:rPr>
        <w:t>Programa razvoja podeželja RS za obdobje 2014–2020 tudi izhaja, da so tla v nekaterih delih</w:t>
      </w:r>
      <w:r w:rsidRPr="005771BD">
        <w:rPr>
          <w:rFonts w:eastAsia="Calibri" w:cs="Arial"/>
          <w:szCs w:val="20"/>
          <w:lang w:val="sl-SI"/>
        </w:rPr>
        <w:t xml:space="preserve"> Slovenije kisla, pri čemer je to pogojeno z nekarbonatno matično podlago, v manj pa je kislost tal posledica prekomernega izpiranja hranil. Prav tako zasoljevanje tal v Sloveniji ni zaznano v obsegu, da bi ga uvrščali med degradacijske procese tal.</w:t>
      </w:r>
    </w:p>
    <w:p w:rsidR="00A3208F" w:rsidRPr="005771BD" w:rsidRDefault="00A3208F" w:rsidP="00A3208F">
      <w:pPr>
        <w:spacing w:after="200" w:line="276" w:lineRule="auto"/>
        <w:jc w:val="both"/>
        <w:rPr>
          <w:rFonts w:eastAsia="Calibri" w:cs="Arial"/>
          <w:iCs/>
          <w:szCs w:val="20"/>
          <w:lang w:val="sl-SI"/>
        </w:rPr>
      </w:pPr>
      <w:r w:rsidRPr="005771BD">
        <w:rPr>
          <w:rFonts w:eastAsia="Calibri" w:cs="Arial"/>
          <w:iCs/>
          <w:szCs w:val="20"/>
          <w:lang w:val="sl-SI"/>
        </w:rPr>
        <w:t>Tla in zagotavljanje njihove ekosistemske vloge  ogroža erozija, ki nastaja lokalno in je močno odvisna od reliefa, vegetacije, vrste tal in podnebnih značilnosti. V Sloveniji prevladuje predvsem vodna erozija, v manj je vetrne erozije. Iz Programa razvoja podeželja RS za obdobje 2014–2020 izhaja, da sta na kmetijskih zemljiščih vodna in vetrna erozija najintenzivnejši na njivah. Ocenjena stopnja izgube tal zaradi vodne erozije na podlagi RUSLE (Revised Universal Soil Loss Equation) modela znaša 7,4 t/ha/leto, kar je druga največja vrednost v EU-28. Visoka vrednost je posledica kombinacije visoke erozivnosti padavin in strme topografije. Ocena modela RUSLE je, da je v Sloveniji z zmerno do močno vodno erozijo prizadetih 269.900 ha oziroma 37,1 % kmetijskih zemljišč.</w:t>
      </w:r>
    </w:p>
    <w:p w:rsidR="00A3208F" w:rsidRPr="005771BD" w:rsidRDefault="00A3208F" w:rsidP="00A3208F">
      <w:pPr>
        <w:spacing w:after="200" w:line="276" w:lineRule="auto"/>
        <w:jc w:val="both"/>
        <w:rPr>
          <w:rFonts w:eastAsia="Calibri" w:cs="Arial"/>
          <w:iCs/>
          <w:szCs w:val="20"/>
          <w:lang w:val="sl-SI"/>
        </w:rPr>
      </w:pPr>
      <w:r w:rsidRPr="005771BD">
        <w:rPr>
          <w:rFonts w:eastAsia="Calibri" w:cs="Arial"/>
          <w:szCs w:val="20"/>
          <w:lang w:val="sl-SI"/>
        </w:rPr>
        <w:t xml:space="preserve">Najbolj izrazito tla in zagotavljanje njihove ekosistemske vloge ogrožajo prekrivanje in </w:t>
      </w:r>
      <w:r w:rsidRPr="005771BD">
        <w:rPr>
          <w:rFonts w:eastAsia="Calibri" w:cs="Arial"/>
          <w:iCs/>
          <w:szCs w:val="20"/>
          <w:lang w:val="sl-SI"/>
        </w:rPr>
        <w:t>tesnjenje tal z različnimi nepropustnimi materiali oziroma pozidava zemljišč, ki pomeni trajno uničenje tal.</w:t>
      </w:r>
      <w:r w:rsidRPr="005771BD">
        <w:rPr>
          <w:rFonts w:eastAsia="Calibri" w:cs="Arial"/>
          <w:szCs w:val="20"/>
          <w:lang w:val="sl-SI"/>
        </w:rPr>
        <w:t xml:space="preserve"> Iz kazalcev </w:t>
      </w:r>
      <w:r>
        <w:rPr>
          <w:rFonts w:eastAsia="Calibri" w:cs="Arial"/>
          <w:szCs w:val="20"/>
          <w:lang w:val="sl-SI"/>
        </w:rPr>
        <w:t xml:space="preserve">stanja </w:t>
      </w:r>
      <w:r w:rsidRPr="005771BD">
        <w:rPr>
          <w:rFonts w:eastAsia="Calibri" w:cs="Arial"/>
          <w:szCs w:val="20"/>
          <w:lang w:val="sl-SI"/>
        </w:rPr>
        <w:t>okolja  izhaja, da je bilo v obdobju 2008–2012 na novo pozidanih 13.024 ha površin oziroma dnevno 8,9 ha, pri čemer je povečani obseg pozidanih površin najvišji na kmetijskih zemljiščih. Največ novih pozidanih površin je na območju travinja (6.208,1 ha), na območju gozda 3.274,2 ha in na območju</w:t>
      </w:r>
      <w:r>
        <w:rPr>
          <w:rFonts w:eastAsia="Calibri" w:cs="Arial"/>
          <w:szCs w:val="20"/>
          <w:lang w:val="sl-SI"/>
        </w:rPr>
        <w:t xml:space="preserve"> </w:t>
      </w:r>
      <w:r w:rsidRPr="005771BD">
        <w:rPr>
          <w:rFonts w:eastAsia="Calibri" w:cs="Arial"/>
          <w:iCs/>
          <w:szCs w:val="20"/>
          <w:lang w:val="sl-SI"/>
        </w:rPr>
        <w:t xml:space="preserve">njive 1550,5 ha. Iz komentarja kazalca </w:t>
      </w:r>
      <w:r>
        <w:rPr>
          <w:rFonts w:eastAsia="Calibri" w:cs="Arial"/>
          <w:iCs/>
          <w:szCs w:val="20"/>
          <w:lang w:val="sl-SI"/>
        </w:rPr>
        <w:t xml:space="preserve">»pozidava« </w:t>
      </w:r>
      <w:r w:rsidRPr="005771BD">
        <w:rPr>
          <w:rFonts w:eastAsia="Calibri" w:cs="Arial"/>
          <w:iCs/>
          <w:szCs w:val="20"/>
          <w:lang w:val="sl-SI"/>
        </w:rPr>
        <w:t>izhaja, da podatki ne ustrezajo dejanskim razmeram v prostoru, prav tako tudi prekrivanje vrst rabe tal ne omogoča povsem realnega prikaza, zato ni zanesljivega podatka o dejanskem obsegu pozidave v obdobju 2008–2012.</w:t>
      </w:r>
    </w:p>
    <w:p w:rsidR="00A3208F" w:rsidRPr="007C37DF" w:rsidRDefault="007C37DF" w:rsidP="00A3208F">
      <w:pPr>
        <w:spacing w:after="200" w:line="276" w:lineRule="auto"/>
        <w:jc w:val="both"/>
        <w:rPr>
          <w:rFonts w:eastAsia="Calibri" w:cs="Arial"/>
          <w:b/>
          <w:szCs w:val="20"/>
          <w:lang w:val="sl-SI"/>
        </w:rPr>
      </w:pPr>
      <w:r w:rsidRPr="007C37DF">
        <w:rPr>
          <w:rFonts w:eastAsia="Calibri" w:cs="Arial"/>
          <w:b/>
          <w:szCs w:val="20"/>
          <w:lang w:val="sl-SI"/>
        </w:rPr>
        <w:t>8</w:t>
      </w:r>
      <w:r w:rsidR="00A3208F" w:rsidRPr="007C37DF">
        <w:rPr>
          <w:rFonts w:eastAsia="Calibri" w:cs="Arial"/>
          <w:b/>
          <w:szCs w:val="20"/>
          <w:lang w:val="sl-SI"/>
        </w:rPr>
        <w:t>.2.2 Stanje tal</w:t>
      </w:r>
    </w:p>
    <w:p w:rsidR="00A3208F" w:rsidRPr="005771BD" w:rsidRDefault="00A3208F" w:rsidP="00A3208F">
      <w:pPr>
        <w:spacing w:after="200" w:line="276" w:lineRule="auto"/>
        <w:jc w:val="both"/>
        <w:rPr>
          <w:rFonts w:eastAsia="Calibri" w:cs="Arial"/>
          <w:szCs w:val="20"/>
          <w:lang w:val="sl-SI"/>
        </w:rPr>
      </w:pPr>
      <w:r w:rsidRPr="0098786C">
        <w:rPr>
          <w:rFonts w:eastAsia="Calibri" w:cs="Arial"/>
          <w:szCs w:val="20"/>
          <w:lang w:val="sl-SI"/>
        </w:rPr>
        <w:t>Iz Raziskav onesnaženosti tal v Sloveniji (v nadaljevanju: ROTS), ki jih od leta 2008 vodi Agencija RS za okolje, je razvidno, da so tla v Sloveniji večinoma neonesnažena, izstopajo posamezna območja, ki so obremenjena z nekaterimi anorganskimi (npr. kadmij, svinec, cink, arzen, baker) in organskimi onesnaževali (npr. fitofarmacevtska sredstva).</w:t>
      </w:r>
      <w:r w:rsidRPr="005771BD">
        <w:rPr>
          <w:rFonts w:eastAsia="Calibri" w:cs="Arial"/>
          <w:szCs w:val="20"/>
          <w:lang w:val="sl-SI"/>
        </w:rPr>
        <w:t xml:space="preserve"> Na posameznih vzorčnih mestih, kjer je bila ali se še vedno izvaja povečana rudniško-topilniška ali metalurška dejavnost, so bila zaznana preseganja opozorilnih vrednosti, ki so določene v Uredbi o mejnih, opozorilnih in kritičnih imisijskih vrednostih nevarnih snovi v tleh (Uradni list RS, št. 68/96; v nadaljevanju: uredba). Opozorilna imisijska vrednost (v nadaljevanju: opozorilna vrednost) je v uredbi določena kot gostota posamezne nevarne snovi v tleh, ki pomeni pri določenih vrstah rabe tal verjetnost škodljivih učinkov ali vplivov za zdravje človeka ali okolje. Najbolj onesnažena območja z anorganskimi onesnaževali so Mežiška dolina, Celjska kotlina ter Idrija in Jesenice z okolico. Najbolj problematični onesnaževali v tleh sta kadmij in svinec. Na Koprskem in Goriškem so presežene opozorilne vrednosti za nikelj in krom, ki so posledica preperevanja flišne kamninske osnove. </w:t>
      </w:r>
    </w:p>
    <w:p w:rsidR="00A3208F" w:rsidRPr="005771BD" w:rsidRDefault="00A3208F" w:rsidP="00A3208F">
      <w:pPr>
        <w:spacing w:after="200" w:line="276" w:lineRule="auto"/>
        <w:jc w:val="both"/>
        <w:rPr>
          <w:rFonts w:eastAsia="Calibri" w:cs="Arial"/>
          <w:szCs w:val="20"/>
          <w:lang w:val="sl-SI"/>
        </w:rPr>
      </w:pPr>
      <w:r w:rsidRPr="005771BD">
        <w:rPr>
          <w:rFonts w:eastAsia="Calibri" w:cs="Arial"/>
          <w:szCs w:val="20"/>
          <w:lang w:val="sl-SI"/>
        </w:rPr>
        <w:t xml:space="preserve">Na sliki </w:t>
      </w:r>
      <w:r w:rsidR="001323F1">
        <w:rPr>
          <w:rFonts w:eastAsia="Calibri" w:cs="Arial"/>
          <w:szCs w:val="20"/>
          <w:lang w:val="sl-SI"/>
        </w:rPr>
        <w:t>8</w:t>
      </w:r>
      <w:r w:rsidRPr="005771BD">
        <w:rPr>
          <w:rFonts w:eastAsia="Calibri" w:cs="Arial"/>
          <w:szCs w:val="20"/>
          <w:lang w:val="sl-SI"/>
        </w:rPr>
        <w:t xml:space="preserve">.1 so prostorsko prikazane vsebnosti arzena, kadmija, kroma, bakra, živega srebra, cinka in svinca v zgornjem sloju tal v Sloveniji. Z rdečo barvo so prikazana vzorčna mesta, kjer podatki analiz tal kažejo, da je v zgornjem sloju vsaj eno od zgornjih onesnaževal doseglo enako ali preseženo opozorilno vrednost, določeno z uredbo za to onesnaževalo. </w:t>
      </w:r>
    </w:p>
    <w:p w:rsidR="00A3208F" w:rsidRPr="005771BD" w:rsidRDefault="00A3208F" w:rsidP="00A3208F">
      <w:pPr>
        <w:spacing w:after="200" w:line="276" w:lineRule="auto"/>
        <w:jc w:val="both"/>
        <w:rPr>
          <w:rFonts w:eastAsia="Calibri" w:cs="Arial"/>
          <w:i/>
          <w:szCs w:val="20"/>
          <w:lang w:val="sl-SI"/>
        </w:rPr>
      </w:pPr>
      <w:r w:rsidRPr="005771BD">
        <w:rPr>
          <w:rFonts w:eastAsia="Calibri" w:cs="Arial"/>
          <w:szCs w:val="20"/>
          <w:lang w:val="sl-SI"/>
        </w:rPr>
        <w:t xml:space="preserve">Kot je razvidno iz slike </w:t>
      </w:r>
      <w:r w:rsidR="001323F1">
        <w:rPr>
          <w:rFonts w:eastAsia="Calibri" w:cs="Arial"/>
          <w:szCs w:val="20"/>
          <w:lang w:val="sl-SI"/>
        </w:rPr>
        <w:t>8</w:t>
      </w:r>
      <w:r w:rsidRPr="005771BD">
        <w:rPr>
          <w:rFonts w:eastAsia="Calibri" w:cs="Arial"/>
          <w:szCs w:val="20"/>
          <w:lang w:val="sl-SI"/>
        </w:rPr>
        <w:t>.1 glede onesnaženosti, izstopajo nekateri deli SZ, JZ in Z Slovenije, ter vzorčna mesta, kjer se je v preteklosti izvajala oziroma se še vedno izvaja industrijska dejavnost.</w:t>
      </w:r>
    </w:p>
    <w:p w:rsidR="00A3208F" w:rsidRPr="005771BD" w:rsidRDefault="00A3208F" w:rsidP="00A3208F">
      <w:pPr>
        <w:spacing w:after="200" w:line="276" w:lineRule="auto"/>
        <w:jc w:val="both"/>
        <w:rPr>
          <w:rFonts w:eastAsia="Calibri" w:cs="Arial"/>
          <w:i/>
          <w:szCs w:val="20"/>
          <w:lang w:val="sl-SI"/>
        </w:rPr>
      </w:pPr>
      <w:r w:rsidRPr="007F272F">
        <w:rPr>
          <w:rFonts w:eastAsia="Calibri" w:cs="Arial"/>
          <w:i/>
          <w:noProof/>
          <w:szCs w:val="20"/>
          <w:lang w:val="sl-SI" w:eastAsia="sl-SI"/>
        </w:rPr>
        <w:drawing>
          <wp:inline distT="0" distB="0" distL="0" distR="0" wp14:anchorId="1C2FCB07" wp14:editId="708C88E8">
            <wp:extent cx="5104263" cy="3362193"/>
            <wp:effectExtent l="0" t="0" r="1270" b="0"/>
            <wp:docPr id="82" name="Slika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112429" cy="3367572"/>
                    </a:xfrm>
                    <a:prstGeom prst="rect">
                      <a:avLst/>
                    </a:prstGeom>
                    <a:noFill/>
                  </pic:spPr>
                </pic:pic>
              </a:graphicData>
            </a:graphic>
          </wp:inline>
        </w:drawing>
      </w:r>
    </w:p>
    <w:p w:rsidR="00A3208F" w:rsidRPr="005771BD" w:rsidRDefault="00A3208F" w:rsidP="00607481">
      <w:pPr>
        <w:spacing w:after="360" w:line="276" w:lineRule="auto"/>
        <w:jc w:val="both"/>
        <w:rPr>
          <w:rFonts w:eastAsia="Calibri" w:cs="Arial"/>
          <w:i/>
          <w:szCs w:val="20"/>
          <w:lang w:val="sl-SI"/>
        </w:rPr>
      </w:pPr>
      <w:r w:rsidRPr="005771BD">
        <w:rPr>
          <w:rFonts w:eastAsia="Calibri" w:cs="Arial"/>
          <w:i/>
          <w:szCs w:val="20"/>
          <w:lang w:val="sl-SI"/>
        </w:rPr>
        <w:t xml:space="preserve">Slika </w:t>
      </w:r>
      <w:r w:rsidR="007C37DF">
        <w:rPr>
          <w:rFonts w:eastAsia="Calibri" w:cs="Arial"/>
          <w:i/>
          <w:szCs w:val="20"/>
          <w:lang w:val="sl-SI"/>
        </w:rPr>
        <w:t>8</w:t>
      </w:r>
      <w:r w:rsidRPr="005771BD">
        <w:rPr>
          <w:rFonts w:eastAsia="Calibri" w:cs="Arial"/>
          <w:i/>
          <w:szCs w:val="20"/>
          <w:lang w:val="sl-SI"/>
        </w:rPr>
        <w:t>.1: Prostorski prikaz vsebnosti anorganskih onesnaževal (As, Cd, Cr, Cu, Hg, Zn in Pb) v globini tal 0–5 cm (travniki, zelenice, gozd) oziroma kadar so tla obdelana 0–20 cm (njive in vrtovi) glede na opozorilno vrednost iz uredbe (Vir: ARSO, avgust 2016)</w:t>
      </w:r>
    </w:p>
    <w:p w:rsidR="00A3208F" w:rsidRDefault="00A3208F" w:rsidP="00A3208F">
      <w:pPr>
        <w:spacing w:after="200" w:line="276" w:lineRule="auto"/>
        <w:jc w:val="both"/>
        <w:rPr>
          <w:rFonts w:eastAsia="Calibri" w:cs="Arial"/>
          <w:szCs w:val="20"/>
          <w:lang w:val="sl-SI"/>
        </w:rPr>
      </w:pPr>
      <w:r w:rsidRPr="005771BD">
        <w:rPr>
          <w:rFonts w:eastAsia="Calibri" w:cs="Arial"/>
          <w:szCs w:val="20"/>
          <w:lang w:val="sl-SI"/>
        </w:rPr>
        <w:t xml:space="preserve">Kot že omenjeno, so vsebnosti niklja v tleh na območjih, kjer prevladuje kamninska osnova fliš, povečane, torej gre predvsem za odraz naravne sestave tal, zato je onesnaženost z nikljem prikazana ločeno na sliki </w:t>
      </w:r>
      <w:r w:rsidR="001323F1">
        <w:rPr>
          <w:rFonts w:eastAsia="Calibri" w:cs="Arial"/>
          <w:szCs w:val="20"/>
          <w:lang w:val="sl-SI"/>
        </w:rPr>
        <w:t>8</w:t>
      </w:r>
      <w:r w:rsidRPr="005771BD">
        <w:rPr>
          <w:rFonts w:eastAsia="Calibri" w:cs="Arial"/>
          <w:szCs w:val="20"/>
          <w:lang w:val="sl-SI"/>
        </w:rPr>
        <w:t xml:space="preserve">.2. Vsebnost niklja preseže opozorilno vrednost predvsem v zahodnem in jugozahodnem delu Slovenije. </w:t>
      </w:r>
    </w:p>
    <w:p w:rsidR="007C37DF" w:rsidRPr="005771BD" w:rsidRDefault="007C37DF" w:rsidP="00A3208F">
      <w:pPr>
        <w:spacing w:after="200" w:line="276" w:lineRule="auto"/>
        <w:jc w:val="both"/>
        <w:rPr>
          <w:rFonts w:eastAsia="Calibri" w:cs="Arial"/>
          <w:i/>
          <w:szCs w:val="20"/>
          <w:lang w:val="sl-SI"/>
        </w:rPr>
      </w:pPr>
      <w:r w:rsidRPr="005771BD">
        <w:rPr>
          <w:rFonts w:eastAsia="Calibri" w:cs="Arial"/>
          <w:szCs w:val="20"/>
          <w:lang w:val="sl-SI"/>
        </w:rPr>
        <w:t>Onesnaženje tal z organskimi onesnaževali je v Sloveniji manj pereče kot onesnaženje z anorganskimi onesnaževali, kar izhaja tudi iz podatkov ROTS. Vsebnosti organskih onesnaževal na nobenem vzorčnem mestu niso presegle opozorilnih vrednosti iz uredbe. Ne glede na navedeno velja poudariti, da so razen policikličnih organskih spojin vse druge spojine sintetične in vsaka zaznava teh spojin v tleh pomeni, da je njena prisotnost v okolju posledica človekove uporabe teh snovi.</w:t>
      </w:r>
    </w:p>
    <w:p w:rsidR="00A3208F" w:rsidRPr="005771BD" w:rsidRDefault="00A3208F" w:rsidP="00A3208F">
      <w:pPr>
        <w:spacing w:after="200" w:line="276" w:lineRule="auto"/>
        <w:jc w:val="both"/>
        <w:rPr>
          <w:rFonts w:eastAsia="Calibri" w:cs="Arial"/>
          <w:szCs w:val="20"/>
          <w:lang w:val="sl-SI"/>
        </w:rPr>
      </w:pPr>
      <w:r w:rsidRPr="007F272F">
        <w:rPr>
          <w:rFonts w:eastAsia="Calibri" w:cs="Arial"/>
          <w:noProof/>
          <w:szCs w:val="20"/>
          <w:lang w:val="sl-SI" w:eastAsia="sl-SI"/>
        </w:rPr>
        <w:drawing>
          <wp:inline distT="0" distB="0" distL="0" distR="0" wp14:anchorId="5A6D236A" wp14:editId="27F4925E">
            <wp:extent cx="5389245" cy="3548380"/>
            <wp:effectExtent l="0" t="0" r="1905" b="0"/>
            <wp:docPr id="83" name="Slika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389245" cy="3548380"/>
                    </a:xfrm>
                    <a:prstGeom prst="rect">
                      <a:avLst/>
                    </a:prstGeom>
                    <a:noFill/>
                  </pic:spPr>
                </pic:pic>
              </a:graphicData>
            </a:graphic>
          </wp:inline>
        </w:drawing>
      </w:r>
    </w:p>
    <w:p w:rsidR="00A3208F" w:rsidRPr="005771BD" w:rsidRDefault="00A3208F" w:rsidP="00A3208F">
      <w:pPr>
        <w:spacing w:after="360" w:line="276" w:lineRule="auto"/>
        <w:jc w:val="both"/>
        <w:rPr>
          <w:rFonts w:eastAsia="Calibri" w:cs="Arial"/>
          <w:i/>
          <w:szCs w:val="20"/>
          <w:lang w:val="sl-SI"/>
        </w:rPr>
      </w:pPr>
      <w:r w:rsidRPr="005771BD">
        <w:rPr>
          <w:rFonts w:eastAsia="Calibri" w:cs="Arial"/>
          <w:i/>
          <w:szCs w:val="20"/>
          <w:lang w:val="sl-SI"/>
        </w:rPr>
        <w:t xml:space="preserve">Slika </w:t>
      </w:r>
      <w:r w:rsidR="007C37DF">
        <w:rPr>
          <w:rFonts w:eastAsia="Calibri" w:cs="Arial"/>
          <w:i/>
          <w:szCs w:val="20"/>
          <w:lang w:val="sl-SI"/>
        </w:rPr>
        <w:t>8</w:t>
      </w:r>
      <w:r w:rsidRPr="005771BD">
        <w:rPr>
          <w:rFonts w:eastAsia="Calibri" w:cs="Arial"/>
          <w:i/>
          <w:szCs w:val="20"/>
          <w:lang w:val="sl-SI"/>
        </w:rPr>
        <w:t>.2: Prostorski prikaz vsebnosti Ni v globini tal 0–5 cm (travniki, zelenice, gozd) oziroma kadar so tla obdelana 0–20 cm (njive in vrtovi), glede na opozorilno vrednost iz uredbe (Vir: ARSO, avgust 2016)</w:t>
      </w:r>
    </w:p>
    <w:p w:rsidR="00A3208F" w:rsidRPr="005771BD" w:rsidRDefault="00A3208F" w:rsidP="00A3208F">
      <w:pPr>
        <w:spacing w:after="200" w:line="276" w:lineRule="auto"/>
        <w:jc w:val="both"/>
        <w:rPr>
          <w:rFonts w:eastAsia="Calibri" w:cs="Arial"/>
          <w:szCs w:val="20"/>
          <w:lang w:val="sl-SI"/>
        </w:rPr>
      </w:pPr>
      <w:r w:rsidRPr="005771BD">
        <w:rPr>
          <w:rFonts w:eastAsia="Calibri" w:cs="Arial"/>
          <w:szCs w:val="20"/>
          <w:lang w:val="sl-SI"/>
        </w:rPr>
        <w:t>V nadaljevanju je zato prostorsko prikazano preseganje vsebnosti organskih onesnaževal glede na mejno imisijsko vrednost (v nadaljevanju: mejna vrednost), ki je v uredbi opredeljena kot gostota posamezne nevarne snovi v tleh, ki pomeni takšno obremenitev tal, da so</w:t>
      </w:r>
      <w:r>
        <w:rPr>
          <w:rFonts w:eastAsia="Calibri" w:cs="Arial"/>
          <w:szCs w:val="20"/>
          <w:lang w:val="sl-SI"/>
        </w:rPr>
        <w:t xml:space="preserve"> še</w:t>
      </w:r>
      <w:r w:rsidRPr="005771BD">
        <w:rPr>
          <w:rFonts w:eastAsia="Calibri" w:cs="Arial"/>
          <w:szCs w:val="20"/>
          <w:lang w:val="sl-SI"/>
        </w:rPr>
        <w:t xml:space="preserve"> zagot</w:t>
      </w:r>
      <w:r>
        <w:rPr>
          <w:rFonts w:eastAsia="Calibri" w:cs="Arial"/>
          <w:szCs w:val="20"/>
          <w:lang w:val="sl-SI"/>
        </w:rPr>
        <w:t>o</w:t>
      </w:r>
      <w:r w:rsidRPr="005771BD">
        <w:rPr>
          <w:rFonts w:eastAsia="Calibri" w:cs="Arial"/>
          <w:szCs w:val="20"/>
          <w:lang w:val="sl-SI"/>
        </w:rPr>
        <w:t xml:space="preserve">vljene </w:t>
      </w:r>
      <w:r>
        <w:rPr>
          <w:rFonts w:eastAsia="Calibri" w:cs="Arial"/>
          <w:szCs w:val="20"/>
          <w:lang w:val="sl-SI"/>
        </w:rPr>
        <w:t xml:space="preserve">ustrezne </w:t>
      </w:r>
      <w:r w:rsidRPr="005771BD">
        <w:rPr>
          <w:rFonts w:eastAsia="Calibri" w:cs="Arial"/>
          <w:szCs w:val="20"/>
          <w:lang w:val="sl-SI"/>
        </w:rPr>
        <w:t xml:space="preserve">življenjske razmere za rastline in živali, </w:t>
      </w:r>
      <w:r>
        <w:rPr>
          <w:rFonts w:eastAsia="Calibri" w:cs="Arial"/>
          <w:szCs w:val="20"/>
          <w:lang w:val="sl-SI"/>
        </w:rPr>
        <w:t xml:space="preserve">in </w:t>
      </w:r>
      <w:r w:rsidRPr="005771BD">
        <w:rPr>
          <w:rFonts w:eastAsia="Calibri" w:cs="Arial"/>
          <w:szCs w:val="20"/>
          <w:lang w:val="sl-SI"/>
        </w:rPr>
        <w:t>pri kateri se ne poslabšujeta kakovost podtalnice in rodovitnost tal. Pri tej vrednosti so učinki ali vplivi na zdravje človeka ali okolje še sprejemljivi.</w:t>
      </w:r>
    </w:p>
    <w:p w:rsidR="007C37DF" w:rsidRDefault="00A3208F" w:rsidP="007C37DF">
      <w:pPr>
        <w:spacing w:after="200" w:line="276" w:lineRule="auto"/>
        <w:jc w:val="both"/>
        <w:rPr>
          <w:rFonts w:eastAsia="Calibri" w:cs="Arial"/>
          <w:szCs w:val="20"/>
          <w:lang w:val="sl-SI"/>
        </w:rPr>
      </w:pPr>
      <w:r w:rsidRPr="005771BD">
        <w:rPr>
          <w:rFonts w:eastAsia="Calibri" w:cs="Arial"/>
          <w:szCs w:val="20"/>
          <w:lang w:val="sl-SI"/>
        </w:rPr>
        <w:t xml:space="preserve">Preseganja mejnih vrednosti organskih onesnaževal iz uredbe (slika </w:t>
      </w:r>
      <w:r w:rsidR="001323F1">
        <w:rPr>
          <w:rFonts w:eastAsia="Calibri" w:cs="Arial"/>
          <w:szCs w:val="20"/>
          <w:lang w:val="sl-SI"/>
        </w:rPr>
        <w:t>8</w:t>
      </w:r>
      <w:r w:rsidRPr="005771BD">
        <w:rPr>
          <w:rFonts w:eastAsia="Calibri" w:cs="Arial"/>
          <w:szCs w:val="20"/>
          <w:lang w:val="sl-SI"/>
        </w:rPr>
        <w:t>.3) so bila zaznana na štirih vzorčnih mestih. V večini primerov gre za intenzivno obdelane kmetijske površine, kjer so bili zaznani ostanki fitofarmacevtskih sredstev</w:t>
      </w:r>
      <w:r>
        <w:rPr>
          <w:rFonts w:eastAsia="Calibri" w:cs="Arial"/>
          <w:szCs w:val="20"/>
          <w:lang w:val="sl-SI"/>
        </w:rPr>
        <w:t xml:space="preserve"> </w:t>
      </w:r>
      <w:r w:rsidRPr="005771BD">
        <w:rPr>
          <w:rFonts w:eastAsia="Calibri" w:cs="Arial"/>
          <w:szCs w:val="20"/>
          <w:lang w:val="sl-SI"/>
        </w:rPr>
        <w:t xml:space="preserve">in njihovih produktov razgradnje. </w:t>
      </w:r>
    </w:p>
    <w:p w:rsidR="007C37DF" w:rsidRPr="005771BD" w:rsidRDefault="007C37DF" w:rsidP="007C37DF">
      <w:pPr>
        <w:spacing w:after="200" w:line="276" w:lineRule="auto"/>
        <w:jc w:val="both"/>
        <w:rPr>
          <w:rFonts w:eastAsia="Calibri" w:cs="Arial"/>
          <w:i/>
          <w:szCs w:val="20"/>
          <w:u w:val="single"/>
          <w:lang w:val="sl-SI"/>
        </w:rPr>
      </w:pPr>
      <w:r w:rsidRPr="005771BD">
        <w:rPr>
          <w:rFonts w:eastAsia="Calibri" w:cs="Arial"/>
          <w:i/>
          <w:szCs w:val="20"/>
          <w:u w:val="single"/>
          <w:lang w:val="sl-SI"/>
        </w:rPr>
        <w:t xml:space="preserve">Stanje tal na mestih ponovnega vzorčenja </w:t>
      </w:r>
    </w:p>
    <w:p w:rsidR="007C37DF" w:rsidRPr="005771BD" w:rsidRDefault="007C37DF" w:rsidP="007C37DF">
      <w:pPr>
        <w:spacing w:after="200" w:line="276" w:lineRule="auto"/>
        <w:jc w:val="both"/>
        <w:rPr>
          <w:rFonts w:eastAsia="Calibri" w:cs="Arial"/>
          <w:szCs w:val="20"/>
          <w:lang w:val="sl-SI"/>
        </w:rPr>
      </w:pPr>
      <w:r w:rsidRPr="005771BD">
        <w:rPr>
          <w:rFonts w:eastAsia="Calibri" w:cs="Arial"/>
          <w:szCs w:val="20"/>
          <w:lang w:val="sl-SI"/>
        </w:rPr>
        <w:t>Ponovna vzorčenja tal in analize vsebnosti onesnaževal so bile izvedene v okviru ROTS v letih 2008, 2010 in 2014. Ta vzorčna mesta pomenijo začetek sistematičnega spremljanja stanja tal in s tem zametek vzpostavitve monitoringa stanja tal v Sloveniji.</w:t>
      </w:r>
    </w:p>
    <w:p w:rsidR="007C37DF" w:rsidRPr="005771BD" w:rsidRDefault="007C37DF" w:rsidP="007C37DF">
      <w:pPr>
        <w:spacing w:after="200" w:line="276" w:lineRule="auto"/>
        <w:jc w:val="both"/>
        <w:rPr>
          <w:rFonts w:eastAsia="Calibri" w:cs="Arial"/>
          <w:szCs w:val="20"/>
          <w:lang w:val="sl-SI"/>
        </w:rPr>
      </w:pPr>
      <w:r w:rsidRPr="005771BD">
        <w:rPr>
          <w:rFonts w:eastAsia="Calibri" w:cs="Arial"/>
          <w:szCs w:val="20"/>
          <w:lang w:val="sl-SI"/>
        </w:rPr>
        <w:t xml:space="preserve">Prostorski prikaz 17- tih vzorčnih mest, kjer je bilo izvedeno ponovno vzorčenje tal, je prikazano na sliki </w:t>
      </w:r>
      <w:r w:rsidR="001323F1">
        <w:rPr>
          <w:rFonts w:eastAsia="Calibri" w:cs="Arial"/>
          <w:szCs w:val="20"/>
          <w:lang w:val="sl-SI"/>
        </w:rPr>
        <w:t>8</w:t>
      </w:r>
      <w:r w:rsidRPr="005771BD">
        <w:rPr>
          <w:rFonts w:eastAsia="Calibri" w:cs="Arial"/>
          <w:szCs w:val="20"/>
          <w:lang w:val="sl-SI"/>
        </w:rPr>
        <w:t xml:space="preserve">.4, s katere je razvidno, da je na petih vzorčnih mestih vsaj eno anorgansko onesnaževalo ob ponovnem vzorčenju preseglo opozorilno vrednost iz uredbe. Na treh vzorčnih mestih je bila presežena vsebnost niklja in na dveh vsebnost svinca. Na enem vzorčnem mestu je bila presežena vsebnost bakra (Kromberk), arzena (Dovje) ali kadmija (Črna na Koroškem). Vsebnosti živega srebra, cinka in kroma niso presegle opozorilnih vrednosti pri ponovnem vzorčenju tal. </w:t>
      </w:r>
    </w:p>
    <w:p w:rsidR="00A3208F" w:rsidRPr="005771BD" w:rsidRDefault="00A3208F" w:rsidP="00A3208F">
      <w:pPr>
        <w:spacing w:after="200" w:line="276" w:lineRule="auto"/>
        <w:jc w:val="both"/>
        <w:rPr>
          <w:rFonts w:eastAsia="Calibri" w:cs="Arial"/>
          <w:szCs w:val="20"/>
          <w:lang w:val="sl-SI"/>
        </w:rPr>
      </w:pPr>
    </w:p>
    <w:p w:rsidR="00A3208F" w:rsidRPr="005771BD" w:rsidRDefault="00A3208F" w:rsidP="00A3208F">
      <w:pPr>
        <w:spacing w:after="200" w:line="276" w:lineRule="auto"/>
        <w:jc w:val="both"/>
        <w:rPr>
          <w:rFonts w:eastAsia="Calibri" w:cs="Arial"/>
          <w:szCs w:val="20"/>
          <w:lang w:val="sl-SI"/>
        </w:rPr>
      </w:pPr>
      <w:r w:rsidRPr="007F272F">
        <w:rPr>
          <w:rFonts w:eastAsia="Calibri" w:cs="Arial"/>
          <w:noProof/>
          <w:szCs w:val="20"/>
          <w:lang w:val="sl-SI" w:eastAsia="sl-SI"/>
        </w:rPr>
        <w:drawing>
          <wp:inline distT="0" distB="0" distL="0" distR="0" wp14:anchorId="7C8A3E64" wp14:editId="5E888B4C">
            <wp:extent cx="4995081" cy="3288854"/>
            <wp:effectExtent l="0" t="0" r="0" b="6985"/>
            <wp:docPr id="84" name="Slika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997866" cy="3290688"/>
                    </a:xfrm>
                    <a:prstGeom prst="rect">
                      <a:avLst/>
                    </a:prstGeom>
                    <a:noFill/>
                  </pic:spPr>
                </pic:pic>
              </a:graphicData>
            </a:graphic>
          </wp:inline>
        </w:drawing>
      </w:r>
    </w:p>
    <w:p w:rsidR="00A3208F" w:rsidRPr="005771BD" w:rsidRDefault="00A3208F" w:rsidP="00A3208F">
      <w:pPr>
        <w:spacing w:after="360" w:line="276" w:lineRule="auto"/>
        <w:jc w:val="both"/>
        <w:rPr>
          <w:rFonts w:eastAsia="Calibri" w:cs="Arial"/>
          <w:i/>
          <w:szCs w:val="20"/>
          <w:lang w:val="sl-SI"/>
        </w:rPr>
      </w:pPr>
      <w:r w:rsidRPr="005771BD">
        <w:rPr>
          <w:rFonts w:eastAsia="Calibri" w:cs="Arial"/>
          <w:i/>
          <w:szCs w:val="20"/>
          <w:lang w:val="sl-SI"/>
        </w:rPr>
        <w:t xml:space="preserve">Slika </w:t>
      </w:r>
      <w:r w:rsidR="007C37DF">
        <w:rPr>
          <w:rFonts w:eastAsia="Calibri" w:cs="Arial"/>
          <w:i/>
          <w:szCs w:val="20"/>
          <w:lang w:val="sl-SI"/>
        </w:rPr>
        <w:t>8</w:t>
      </w:r>
      <w:r w:rsidRPr="005771BD">
        <w:rPr>
          <w:rFonts w:eastAsia="Calibri" w:cs="Arial"/>
          <w:i/>
          <w:szCs w:val="20"/>
          <w:lang w:val="sl-SI"/>
        </w:rPr>
        <w:t>.3: Prostorski prikaz vsebnosti organskih onesnaževal (spojine HCH, drini, DDT/DDD/DDE in PCB) v globini tal 0–5 cm (travniki, zelenice, gozd) oziroma kadar so tla obdelana 0–20 cm (njive in vrtovi), glede na mejno vrednost iz uredbe (Vir: ARSO, avgust 2016)</w:t>
      </w:r>
    </w:p>
    <w:p w:rsidR="00A3208F" w:rsidRPr="005771BD" w:rsidRDefault="00A3208F" w:rsidP="00A3208F">
      <w:pPr>
        <w:spacing w:after="200" w:line="276" w:lineRule="auto"/>
        <w:jc w:val="both"/>
        <w:rPr>
          <w:rFonts w:eastAsia="Calibri" w:cs="Arial"/>
          <w:szCs w:val="20"/>
          <w:lang w:val="sl-SI"/>
        </w:rPr>
      </w:pPr>
      <w:r w:rsidRPr="007F272F">
        <w:rPr>
          <w:rFonts w:eastAsia="Calibri" w:cs="Arial"/>
          <w:noProof/>
          <w:szCs w:val="20"/>
          <w:lang w:val="sl-SI" w:eastAsia="sl-SI"/>
        </w:rPr>
        <w:drawing>
          <wp:inline distT="0" distB="0" distL="0" distR="0" wp14:anchorId="2BD5B85C" wp14:editId="410E73FE">
            <wp:extent cx="4995081" cy="3288855"/>
            <wp:effectExtent l="0" t="0" r="0" b="6985"/>
            <wp:docPr id="85" name="Slika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97864" cy="3290687"/>
                    </a:xfrm>
                    <a:prstGeom prst="rect">
                      <a:avLst/>
                    </a:prstGeom>
                    <a:noFill/>
                  </pic:spPr>
                </pic:pic>
              </a:graphicData>
            </a:graphic>
          </wp:inline>
        </w:drawing>
      </w:r>
    </w:p>
    <w:p w:rsidR="00A3208F" w:rsidRPr="005771BD" w:rsidRDefault="00A3208F" w:rsidP="00A3208F">
      <w:pPr>
        <w:spacing w:after="360" w:line="276" w:lineRule="auto"/>
        <w:jc w:val="both"/>
        <w:rPr>
          <w:rFonts w:eastAsia="Calibri" w:cs="Arial"/>
          <w:i/>
          <w:szCs w:val="20"/>
          <w:lang w:val="sl-SI"/>
        </w:rPr>
      </w:pPr>
      <w:r w:rsidRPr="005771BD">
        <w:rPr>
          <w:rFonts w:eastAsia="Calibri" w:cs="Arial"/>
          <w:i/>
          <w:szCs w:val="20"/>
          <w:lang w:val="sl-SI"/>
        </w:rPr>
        <w:t xml:space="preserve">Slika </w:t>
      </w:r>
      <w:r w:rsidR="007C37DF">
        <w:rPr>
          <w:rFonts w:eastAsia="Calibri" w:cs="Arial"/>
          <w:i/>
          <w:szCs w:val="20"/>
          <w:lang w:val="sl-SI"/>
        </w:rPr>
        <w:t>8</w:t>
      </w:r>
      <w:r w:rsidRPr="005771BD">
        <w:rPr>
          <w:rFonts w:eastAsia="Calibri" w:cs="Arial"/>
          <w:i/>
          <w:szCs w:val="20"/>
          <w:lang w:val="sl-SI"/>
        </w:rPr>
        <w:t>.4: Prostorski prikaz vsebnosti anorganskih onesnaževal (As, Cd, Cr, Cu, Hg, Ni, Zn in Pb) na vzorčnih mestih, kjer je bilo izvedeno ponovno vzorčenje tal, v globini tal 0–5 cm (travniki, zelenice, gozd) oziroma kadar so tla obdelana 0–20 cm (njive in vrtovi), glede na opozorilno vrednost iz uredbe. Vsebnosti onesnaževal so prikazane glede na ponovno vzorčenje tal (Vir: ARSO, avgust 2016)</w:t>
      </w:r>
    </w:p>
    <w:p w:rsidR="00A3208F" w:rsidRPr="005771BD" w:rsidRDefault="00A3208F" w:rsidP="00A3208F">
      <w:pPr>
        <w:spacing w:after="200" w:line="276" w:lineRule="auto"/>
        <w:jc w:val="both"/>
        <w:rPr>
          <w:rFonts w:eastAsia="Calibri" w:cs="Arial"/>
          <w:szCs w:val="20"/>
          <w:lang w:val="sl-SI"/>
        </w:rPr>
      </w:pPr>
      <w:r w:rsidRPr="005771BD">
        <w:rPr>
          <w:rFonts w:eastAsia="Calibri" w:cs="Arial"/>
          <w:szCs w:val="20"/>
          <w:lang w:val="sl-SI"/>
        </w:rPr>
        <w:t xml:space="preserve">Podrobnejša analiza glede vsebnosti kadmija v tleh (slika </w:t>
      </w:r>
      <w:r w:rsidR="001323F1">
        <w:rPr>
          <w:rFonts w:eastAsia="Calibri" w:cs="Arial"/>
          <w:szCs w:val="20"/>
          <w:lang w:val="sl-SI"/>
        </w:rPr>
        <w:t>8</w:t>
      </w:r>
      <w:r w:rsidRPr="005771BD">
        <w:rPr>
          <w:rFonts w:eastAsia="Calibri" w:cs="Arial"/>
          <w:szCs w:val="20"/>
          <w:lang w:val="sl-SI"/>
        </w:rPr>
        <w:t xml:space="preserve">.5) je pokazala, da je bila opozorilna vsebnost kadmija presežena ob prvem vzorčenju tal na treh vzorčnih mestih, in sicer Pungert, Dovje in Črna na Koroškem. Na prvih dveh vzorčnih mestih je bila vsebnost kadmija ob drugem vzorčenju manjša od opozorilne vrednosti iz uredbe, na zadnjem vzorčnem mestu pa je vsebnost kadmija ostala nespremenjena. </w:t>
      </w:r>
    </w:p>
    <w:p w:rsidR="00A3208F" w:rsidRPr="005771BD" w:rsidRDefault="00A3208F" w:rsidP="00A3208F">
      <w:pPr>
        <w:spacing w:after="200" w:line="276" w:lineRule="auto"/>
        <w:jc w:val="both"/>
        <w:rPr>
          <w:rFonts w:eastAsia="Calibri" w:cs="Arial"/>
          <w:szCs w:val="20"/>
          <w:lang w:val="sl-SI"/>
        </w:rPr>
      </w:pPr>
      <w:r w:rsidRPr="005771BD">
        <w:rPr>
          <w:rFonts w:eastAsia="Calibri" w:cs="Arial"/>
          <w:szCs w:val="20"/>
          <w:lang w:val="sl-SI"/>
        </w:rPr>
        <w:t xml:space="preserve">Podrobnejša analiza glede vsebnosti svinca v tleh (slika </w:t>
      </w:r>
      <w:r w:rsidR="001323F1">
        <w:rPr>
          <w:rFonts w:eastAsia="Calibri" w:cs="Arial"/>
          <w:szCs w:val="20"/>
          <w:lang w:val="sl-SI"/>
        </w:rPr>
        <w:t>8</w:t>
      </w:r>
      <w:r w:rsidRPr="005771BD">
        <w:rPr>
          <w:rFonts w:eastAsia="Calibri" w:cs="Arial"/>
          <w:szCs w:val="20"/>
          <w:lang w:val="sl-SI"/>
        </w:rPr>
        <w:t xml:space="preserve">.6) je pokazala, da je ta presegla opozorilno vrednost iz uredbe na dveh vzorčnih mestih, na Dovjem in v Črni na Koroškem. Ob drugem vzorčenju je bila vsebnost svinca v tleh na Dovjem sicer manjša, vendar ne pod opozorilno vrednostjo iz uredbe. Vsebnost svinca v tleh v Črni na Koroškem je bila ob drugem vzorčenju precej višja. </w:t>
      </w:r>
    </w:p>
    <w:p w:rsidR="00A3208F" w:rsidRPr="005771BD" w:rsidRDefault="00A3208F" w:rsidP="00A3208F">
      <w:pPr>
        <w:spacing w:after="200" w:line="276" w:lineRule="auto"/>
        <w:jc w:val="both"/>
        <w:rPr>
          <w:rFonts w:eastAsia="Calibri" w:cs="Arial"/>
          <w:szCs w:val="20"/>
          <w:lang w:val="sl-SI"/>
        </w:rPr>
      </w:pPr>
      <w:r w:rsidRPr="007F272F">
        <w:rPr>
          <w:rFonts w:eastAsia="Calibri" w:cs="Arial"/>
          <w:noProof/>
          <w:szCs w:val="20"/>
          <w:lang w:val="sl-SI" w:eastAsia="sl-SI"/>
        </w:rPr>
        <w:drawing>
          <wp:inline distT="0" distB="0" distL="0" distR="0" wp14:anchorId="6284B78E" wp14:editId="1882AC16">
            <wp:extent cx="3608721" cy="2442949"/>
            <wp:effectExtent l="0" t="0" r="0" b="0"/>
            <wp:docPr id="86" name="Slika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624265" cy="2453471"/>
                    </a:xfrm>
                    <a:prstGeom prst="rect">
                      <a:avLst/>
                    </a:prstGeom>
                    <a:noFill/>
                  </pic:spPr>
                </pic:pic>
              </a:graphicData>
            </a:graphic>
          </wp:inline>
        </w:drawing>
      </w:r>
    </w:p>
    <w:p w:rsidR="00A3208F" w:rsidRPr="005771BD" w:rsidRDefault="00A3208F" w:rsidP="00A3208F">
      <w:pPr>
        <w:spacing w:after="200" w:line="276" w:lineRule="auto"/>
        <w:jc w:val="both"/>
        <w:rPr>
          <w:rFonts w:eastAsia="Calibri" w:cs="Arial"/>
          <w:i/>
          <w:szCs w:val="20"/>
          <w:lang w:val="sl-SI"/>
        </w:rPr>
      </w:pPr>
      <w:r w:rsidRPr="005771BD">
        <w:rPr>
          <w:rFonts w:eastAsia="Calibri" w:cs="Arial"/>
          <w:i/>
          <w:szCs w:val="20"/>
          <w:lang w:val="sl-SI"/>
        </w:rPr>
        <w:t xml:space="preserve">Slika </w:t>
      </w:r>
      <w:r w:rsidR="007C37DF">
        <w:rPr>
          <w:rFonts w:eastAsia="Calibri" w:cs="Arial"/>
          <w:i/>
          <w:szCs w:val="20"/>
          <w:lang w:val="sl-SI"/>
        </w:rPr>
        <w:t>8</w:t>
      </w:r>
      <w:r w:rsidRPr="005771BD">
        <w:rPr>
          <w:rFonts w:eastAsia="Calibri" w:cs="Arial"/>
          <w:i/>
          <w:szCs w:val="20"/>
          <w:lang w:val="sl-SI"/>
        </w:rPr>
        <w:t>.5: Primerjava vsebnosti Cd (mg/kg s. s.) v tleh ob prvem in ponovnem vzorčenju v zgornjem sloju tal (0–5 cm oziroma kadar so tla obdelana 0–20 cm, kar je označeno z *) v primerjavi z opozorilno vrednostjo iz uredbe (Vir: ARSO, avgust 2016)</w:t>
      </w:r>
    </w:p>
    <w:p w:rsidR="00A3208F" w:rsidRPr="005771BD" w:rsidRDefault="007C37DF" w:rsidP="00A3208F">
      <w:pPr>
        <w:spacing w:after="200" w:line="276" w:lineRule="auto"/>
        <w:jc w:val="both"/>
        <w:rPr>
          <w:rFonts w:eastAsia="Calibri" w:cs="Arial"/>
          <w:szCs w:val="20"/>
          <w:lang w:val="sl-SI"/>
        </w:rPr>
      </w:pPr>
      <w:r w:rsidRPr="007F272F">
        <w:rPr>
          <w:rFonts w:eastAsia="Calibri" w:cs="Arial"/>
          <w:noProof/>
          <w:szCs w:val="20"/>
          <w:lang w:val="sl-SI" w:eastAsia="sl-SI"/>
        </w:rPr>
        <w:drawing>
          <wp:inline distT="0" distB="0" distL="0" distR="0" wp14:anchorId="25AB409B" wp14:editId="35DA3846">
            <wp:extent cx="3603009" cy="2442452"/>
            <wp:effectExtent l="0" t="0" r="0" b="0"/>
            <wp:docPr id="87" name="Slika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614002" cy="2449904"/>
                    </a:xfrm>
                    <a:prstGeom prst="rect">
                      <a:avLst/>
                    </a:prstGeom>
                    <a:noFill/>
                  </pic:spPr>
                </pic:pic>
              </a:graphicData>
            </a:graphic>
          </wp:inline>
        </w:drawing>
      </w:r>
    </w:p>
    <w:p w:rsidR="00607481" w:rsidRPr="005771BD" w:rsidRDefault="00607481" w:rsidP="00607481">
      <w:pPr>
        <w:spacing w:line="276" w:lineRule="auto"/>
        <w:jc w:val="both"/>
        <w:rPr>
          <w:rFonts w:eastAsia="Calibri" w:cs="Arial"/>
          <w:i/>
          <w:szCs w:val="20"/>
          <w:lang w:val="sl-SI"/>
        </w:rPr>
      </w:pPr>
      <w:r w:rsidRPr="005771BD">
        <w:rPr>
          <w:rFonts w:eastAsia="Calibri" w:cs="Arial"/>
          <w:i/>
          <w:szCs w:val="20"/>
          <w:lang w:val="sl-SI"/>
        </w:rPr>
        <w:t xml:space="preserve">Slika </w:t>
      </w:r>
      <w:r>
        <w:rPr>
          <w:rFonts w:eastAsia="Calibri" w:cs="Arial"/>
          <w:i/>
          <w:szCs w:val="20"/>
          <w:lang w:val="sl-SI"/>
        </w:rPr>
        <w:t>8</w:t>
      </w:r>
      <w:r w:rsidRPr="005771BD">
        <w:rPr>
          <w:rFonts w:eastAsia="Calibri" w:cs="Arial"/>
          <w:i/>
          <w:szCs w:val="20"/>
          <w:lang w:val="sl-SI"/>
        </w:rPr>
        <w:t>.6: Primerjava vsebnosti Pb (mg/kg s. s.) v tleh ob prvem in ponovnem vzorčenju v zgornjem sloju tal (0–5 cm oziroma kadar so tla obdelana 0–20 cm, kar je označeno z *) v primerjavi z opozorilno vrednostjo iz uredbe (Vir: ARSO, avgust 2016)</w:t>
      </w:r>
    </w:p>
    <w:p w:rsidR="00A3208F" w:rsidRPr="005771BD" w:rsidRDefault="00A3208F" w:rsidP="00A3208F">
      <w:pPr>
        <w:spacing w:after="200" w:line="276" w:lineRule="auto"/>
        <w:jc w:val="both"/>
        <w:rPr>
          <w:rFonts w:eastAsia="Calibri" w:cs="Arial"/>
          <w:szCs w:val="20"/>
          <w:lang w:val="sl-SI"/>
        </w:rPr>
      </w:pPr>
    </w:p>
    <w:p w:rsidR="00A3208F" w:rsidRPr="005771BD" w:rsidRDefault="00A3208F" w:rsidP="00A3208F">
      <w:pPr>
        <w:spacing w:after="200" w:line="276" w:lineRule="auto"/>
        <w:jc w:val="both"/>
        <w:rPr>
          <w:rFonts w:eastAsia="Calibri" w:cs="Arial"/>
          <w:szCs w:val="20"/>
          <w:lang w:val="sl-SI"/>
        </w:rPr>
      </w:pPr>
      <w:r w:rsidRPr="005771BD">
        <w:rPr>
          <w:rFonts w:eastAsia="Calibri" w:cs="Arial"/>
          <w:szCs w:val="20"/>
          <w:lang w:val="sl-SI"/>
        </w:rPr>
        <w:t xml:space="preserve">Vsebnost niklja v tleh je presegla opozorilno vrednost iz uredbe (slika </w:t>
      </w:r>
      <w:r w:rsidR="007C37DF">
        <w:rPr>
          <w:rFonts w:eastAsia="Calibri" w:cs="Arial"/>
          <w:szCs w:val="20"/>
          <w:lang w:val="sl-SI"/>
        </w:rPr>
        <w:t>8</w:t>
      </w:r>
      <w:r w:rsidRPr="005771BD">
        <w:rPr>
          <w:rFonts w:eastAsia="Calibri" w:cs="Arial"/>
          <w:szCs w:val="20"/>
          <w:lang w:val="sl-SI"/>
        </w:rPr>
        <w:t xml:space="preserve">.7) v Čezsoči, Jablanici, Šepuljah in Kromberku, torej na štirih vzorčnih mestih ob prvem in/ali ponovnem vzorčenju. Na slednjih dveh se je vsebnost niklja v tleh zmanjšala, na prvih dveh pa povečala. Poleg tega je vsebnost niklja v tleh presegla opozorilno vrednost iz uredbe v Čezsoči, nasprotno pa se je vsebnost niklja v tleh zmanjšala pod opozorilno vrednostjo iz uredbe v Šepuljah. </w:t>
      </w:r>
    </w:p>
    <w:p w:rsidR="00A3208F" w:rsidRPr="005771BD" w:rsidRDefault="00A3208F" w:rsidP="00A3208F">
      <w:pPr>
        <w:spacing w:after="200" w:line="276" w:lineRule="auto"/>
        <w:jc w:val="both"/>
        <w:rPr>
          <w:rFonts w:eastAsia="Calibri" w:cs="Arial"/>
          <w:szCs w:val="20"/>
          <w:lang w:val="sl-SI"/>
        </w:rPr>
      </w:pPr>
      <w:r w:rsidRPr="007F272F">
        <w:rPr>
          <w:rFonts w:eastAsia="Calibri" w:cs="Arial"/>
          <w:noProof/>
          <w:szCs w:val="20"/>
          <w:lang w:val="sl-SI" w:eastAsia="sl-SI"/>
        </w:rPr>
        <w:drawing>
          <wp:inline distT="0" distB="0" distL="0" distR="0" wp14:anchorId="1613EC1C" wp14:editId="1555B2CF">
            <wp:extent cx="3889612" cy="2560127"/>
            <wp:effectExtent l="0" t="0" r="0" b="0"/>
            <wp:docPr id="88" name="Slika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895507" cy="2564007"/>
                    </a:xfrm>
                    <a:prstGeom prst="rect">
                      <a:avLst/>
                    </a:prstGeom>
                    <a:noFill/>
                  </pic:spPr>
                </pic:pic>
              </a:graphicData>
            </a:graphic>
          </wp:inline>
        </w:drawing>
      </w:r>
    </w:p>
    <w:p w:rsidR="00A3208F" w:rsidRPr="005771BD" w:rsidRDefault="00A3208F" w:rsidP="00A3208F">
      <w:pPr>
        <w:spacing w:after="200" w:line="276" w:lineRule="auto"/>
        <w:jc w:val="both"/>
        <w:rPr>
          <w:rFonts w:eastAsia="Calibri" w:cs="Arial"/>
          <w:i/>
          <w:szCs w:val="20"/>
          <w:lang w:val="sl-SI"/>
        </w:rPr>
      </w:pPr>
      <w:r w:rsidRPr="005771BD">
        <w:rPr>
          <w:rFonts w:eastAsia="Calibri" w:cs="Arial"/>
          <w:i/>
          <w:szCs w:val="20"/>
          <w:lang w:val="sl-SI"/>
        </w:rPr>
        <w:t xml:space="preserve">Slika </w:t>
      </w:r>
      <w:r w:rsidR="00607481">
        <w:rPr>
          <w:rFonts w:eastAsia="Calibri" w:cs="Arial"/>
          <w:i/>
          <w:szCs w:val="20"/>
          <w:lang w:val="sl-SI"/>
        </w:rPr>
        <w:t>8</w:t>
      </w:r>
      <w:r w:rsidRPr="005771BD">
        <w:rPr>
          <w:rFonts w:eastAsia="Calibri" w:cs="Arial"/>
          <w:i/>
          <w:szCs w:val="20"/>
          <w:lang w:val="sl-SI"/>
        </w:rPr>
        <w:t>.7: Primerjava vsebnosti Ni (mg/kg s. s.) v tleh ob prvem in ponovnem vzorčenju v zgornjem sloju tal (0–5 cm oziroma kadar so tla obdelana 0–20 cm, kar je označeno z *) v primerjavi z opozorilno vrednostjo iz uredbe (Vir: ARSO, avgust 2016)</w:t>
      </w:r>
    </w:p>
    <w:p w:rsidR="00A3208F" w:rsidRPr="005771BD" w:rsidRDefault="00A3208F" w:rsidP="00A3208F">
      <w:pPr>
        <w:spacing w:after="200" w:line="276" w:lineRule="auto"/>
        <w:jc w:val="both"/>
        <w:rPr>
          <w:rFonts w:eastAsia="Calibri" w:cs="Arial"/>
          <w:szCs w:val="20"/>
          <w:lang w:val="sl-SI"/>
        </w:rPr>
      </w:pPr>
      <w:r w:rsidRPr="005771BD">
        <w:rPr>
          <w:rFonts w:eastAsia="Calibri" w:cs="Arial"/>
          <w:szCs w:val="20"/>
          <w:lang w:val="sl-SI"/>
        </w:rPr>
        <w:t xml:space="preserve">Na sliki </w:t>
      </w:r>
      <w:r w:rsidR="00607481">
        <w:rPr>
          <w:rFonts w:eastAsia="Calibri" w:cs="Arial"/>
          <w:szCs w:val="20"/>
          <w:lang w:val="sl-SI"/>
        </w:rPr>
        <w:t>8</w:t>
      </w:r>
      <w:r w:rsidRPr="005771BD">
        <w:rPr>
          <w:rFonts w:eastAsia="Calibri" w:cs="Arial"/>
          <w:szCs w:val="20"/>
          <w:lang w:val="sl-SI"/>
        </w:rPr>
        <w:t xml:space="preserve">.8 je prikazana primerjava vsebnosti cinka ob prvem in ponovnem vzorčenju tal. Vsebnost cinka v tleh je bila presežena na dveh vzorčnih mestih (Murska Sobota in Dovje) le ob prvem vzorčenju, pri ponovnem vzorčenju pa je bila vsebnost cinka nižja, tudi pod opozorilno vrednostjo. </w:t>
      </w:r>
    </w:p>
    <w:p w:rsidR="00A3208F" w:rsidRPr="005771BD" w:rsidRDefault="00A3208F" w:rsidP="00A3208F">
      <w:pPr>
        <w:spacing w:after="200" w:line="276" w:lineRule="auto"/>
        <w:jc w:val="both"/>
        <w:rPr>
          <w:rFonts w:eastAsia="Calibri" w:cs="Arial"/>
          <w:szCs w:val="20"/>
          <w:lang w:val="sl-SI"/>
        </w:rPr>
      </w:pPr>
      <w:r w:rsidRPr="007F272F">
        <w:rPr>
          <w:rFonts w:eastAsia="Calibri" w:cs="Arial"/>
          <w:noProof/>
          <w:szCs w:val="20"/>
          <w:lang w:val="sl-SI" w:eastAsia="sl-SI"/>
        </w:rPr>
        <w:drawing>
          <wp:inline distT="0" distB="0" distL="0" distR="0" wp14:anchorId="13B9715D" wp14:editId="4C3EBF2C">
            <wp:extent cx="3971499" cy="2714948"/>
            <wp:effectExtent l="0" t="0" r="0" b="9525"/>
            <wp:docPr id="646" name="Slika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968015" cy="2712566"/>
                    </a:xfrm>
                    <a:prstGeom prst="rect">
                      <a:avLst/>
                    </a:prstGeom>
                    <a:noFill/>
                  </pic:spPr>
                </pic:pic>
              </a:graphicData>
            </a:graphic>
          </wp:inline>
        </w:drawing>
      </w:r>
    </w:p>
    <w:p w:rsidR="00A3208F" w:rsidRPr="005771BD" w:rsidRDefault="00A3208F" w:rsidP="00A3208F">
      <w:pPr>
        <w:spacing w:after="200" w:line="276" w:lineRule="auto"/>
        <w:jc w:val="both"/>
        <w:rPr>
          <w:rFonts w:eastAsia="Calibri" w:cs="Arial"/>
          <w:i/>
          <w:szCs w:val="20"/>
          <w:lang w:val="sl-SI"/>
        </w:rPr>
      </w:pPr>
      <w:r w:rsidRPr="005771BD">
        <w:rPr>
          <w:rFonts w:eastAsia="Calibri" w:cs="Arial"/>
          <w:i/>
          <w:szCs w:val="20"/>
          <w:lang w:val="sl-SI"/>
        </w:rPr>
        <w:t xml:space="preserve">Slika </w:t>
      </w:r>
      <w:r w:rsidR="00607481">
        <w:rPr>
          <w:rFonts w:eastAsia="Calibri" w:cs="Arial"/>
          <w:i/>
          <w:szCs w:val="20"/>
          <w:lang w:val="sl-SI"/>
        </w:rPr>
        <w:t>8</w:t>
      </w:r>
      <w:r w:rsidRPr="005771BD">
        <w:rPr>
          <w:rFonts w:eastAsia="Calibri" w:cs="Arial"/>
          <w:i/>
          <w:szCs w:val="20"/>
          <w:lang w:val="sl-SI"/>
        </w:rPr>
        <w:t>.8: Primerjava vsebnosti Zn (mg/kg s. s.) v tleh ob prvem in ponovnem vzorčenju v zgornjem sloju tal (0–5 cm oziroma kadar so tla obdelana 0–20 cm, kar je označeno z *) v primerjavi z opozorilno vrednostjo iz uredbe (Vir: ARSO, avgust 2016)</w:t>
      </w:r>
    </w:p>
    <w:p w:rsidR="00A3208F" w:rsidRPr="005771BD" w:rsidRDefault="00A3208F" w:rsidP="00A3208F">
      <w:pPr>
        <w:spacing w:after="200" w:line="276" w:lineRule="auto"/>
        <w:jc w:val="both"/>
        <w:rPr>
          <w:rFonts w:eastAsia="Calibri" w:cs="Arial"/>
          <w:szCs w:val="20"/>
          <w:lang w:val="sl-SI"/>
        </w:rPr>
      </w:pPr>
      <w:r w:rsidRPr="005771BD">
        <w:rPr>
          <w:rFonts w:eastAsia="Calibri" w:cs="Arial"/>
          <w:szCs w:val="20"/>
          <w:lang w:val="sl-SI"/>
        </w:rPr>
        <w:t>Iz rezultatov ponovnih vzorčenj tal v okviru ROTS izhaja, da se vsebnosti anorganskih onesnaževal v tleh niso bistveno spremenile (razen npr. vsebnost cinka v Murski Soboti in na Dovjem). Razlike med vsebnostmi posameznih onesnaževal v tleh so v razponu, ki je lahko posledica naravne heterogenost</w:t>
      </w:r>
      <w:r>
        <w:rPr>
          <w:rFonts w:eastAsia="Calibri" w:cs="Arial"/>
          <w:szCs w:val="20"/>
          <w:lang w:val="sl-SI"/>
        </w:rPr>
        <w:t>i</w:t>
      </w:r>
      <w:r w:rsidRPr="005771BD">
        <w:rPr>
          <w:rFonts w:eastAsia="Calibri" w:cs="Arial"/>
          <w:szCs w:val="20"/>
          <w:lang w:val="sl-SI"/>
        </w:rPr>
        <w:t xml:space="preserve"> tal in merilne negotovosti, povezane z vzorčenjem in kemijskimi analizami. Iz rezultatov ponovnih vzorčenj tal tudi izhaja, da morebitno zmanjšanje vnosa onesnaževal v okolje posledično ne povzroči nujno tudi zmanjšanja vsebnosti teh onesnaževal v tleh, kot to običajno velja v primeru onesnaževanja zraka in voda, prav tako je bistveno težje določiti obseg onesnaženosti tal kot obseg onesnaženosti</w:t>
      </w:r>
      <w:r>
        <w:rPr>
          <w:rFonts w:eastAsia="Calibri" w:cs="Arial"/>
          <w:szCs w:val="20"/>
          <w:lang w:val="sl-SI"/>
        </w:rPr>
        <w:t xml:space="preserve"> </w:t>
      </w:r>
      <w:r w:rsidRPr="005771BD">
        <w:rPr>
          <w:rFonts w:eastAsia="Calibri" w:cs="Arial"/>
          <w:szCs w:val="20"/>
          <w:lang w:val="sl-SI"/>
        </w:rPr>
        <w:t>zrak</w:t>
      </w:r>
      <w:r>
        <w:rPr>
          <w:rFonts w:eastAsia="Calibri" w:cs="Arial"/>
          <w:szCs w:val="20"/>
          <w:lang w:val="sl-SI"/>
        </w:rPr>
        <w:t>a</w:t>
      </w:r>
      <w:r w:rsidRPr="005771BD">
        <w:rPr>
          <w:rFonts w:eastAsia="Calibri" w:cs="Arial"/>
          <w:szCs w:val="20"/>
          <w:lang w:val="sl-SI"/>
        </w:rPr>
        <w:t xml:space="preserve"> in vode. Rezultati vzorčenja in analiz tal so namreč referenčni le za tla na konkretnem vzorčnem mestu in ne izkazujejo stanja morebitne onesnaženosti tal širšega območja.</w:t>
      </w:r>
    </w:p>
    <w:p w:rsidR="00A3208F" w:rsidRPr="005771BD" w:rsidRDefault="00A3208F" w:rsidP="00A3208F">
      <w:pPr>
        <w:spacing w:after="200" w:line="276" w:lineRule="auto"/>
        <w:jc w:val="both"/>
        <w:rPr>
          <w:rFonts w:eastAsia="Calibri" w:cs="Arial"/>
          <w:szCs w:val="20"/>
          <w:lang w:val="sl-SI"/>
        </w:rPr>
      </w:pPr>
      <w:r w:rsidRPr="005771BD">
        <w:rPr>
          <w:rFonts w:eastAsia="Calibri" w:cs="Arial"/>
          <w:szCs w:val="20"/>
          <w:lang w:val="sl-SI"/>
        </w:rPr>
        <w:t>V nekaterih območjih Slovenije, kjer se je izvajala ali se še vedno izvaja povečana rudniško-topilniška ali metalurška dejavnost, so bile poleg vzorčenja tal v okviru ROTS izvedene tudi druge podrobnejše raziskave, ki niso obsegale samo meritev in analiz tal, temveč tudi vsebnost onesnaževal v prahu in živilih ter vpliv onesnaževal na zdravje ljudi. Rezultati vsebnosti onesnaževal v tleh v okviru teh podrobnejših raziskav kažejo, da so ponekod zaznana preseganja kritičnih imisijskih vrednosti za anorganska onesnaževala iz uredbe. To velja predvsem za Celjsko kotlino, Mežiško dolino, pa tudi za območje Idrije. Kritična imisijska vrednost v skladu z uredbo je določena kot gostota posamezne nevarne snovi v tleh, pri kateri zaradi škodljivih učinkov ali vplivov na človeka in okolje onesnažena tla niso primerna za pridelavo rastlin, namenjenih prehrani ljudi ali živali, ter za zadrževanje ali filtriranje vode.</w:t>
      </w:r>
    </w:p>
    <w:p w:rsidR="003D52FE" w:rsidRPr="003D52FE" w:rsidRDefault="003D52FE" w:rsidP="00607481">
      <w:pPr>
        <w:spacing w:after="360" w:line="276" w:lineRule="auto"/>
        <w:jc w:val="both"/>
        <w:rPr>
          <w:rFonts w:eastAsia="Calibri" w:cs="Arial"/>
          <w:szCs w:val="20"/>
          <w:lang w:val="sl-SI"/>
        </w:rPr>
      </w:pPr>
      <w:r w:rsidRPr="003D52FE">
        <w:rPr>
          <w:rFonts w:eastAsia="Calibri" w:cs="Arial"/>
          <w:szCs w:val="20"/>
          <w:lang w:val="sl-SI"/>
        </w:rPr>
        <w:t xml:space="preserve">Poleg izsledkov vzorčenja in analiziranja tal iz ROTS in </w:t>
      </w:r>
      <w:r>
        <w:rPr>
          <w:rFonts w:eastAsia="Calibri" w:cs="Arial"/>
          <w:szCs w:val="20"/>
          <w:lang w:val="sl-SI"/>
        </w:rPr>
        <w:t>v</w:t>
      </w:r>
      <w:r w:rsidRPr="003D52FE">
        <w:rPr>
          <w:rFonts w:eastAsia="Calibri" w:cs="Arial"/>
          <w:szCs w:val="20"/>
          <w:lang w:val="sl-SI"/>
        </w:rPr>
        <w:t xml:space="preserve"> sklopu izvajanja Odloka o območjih največje obremenjenosti okolja in o programu ukrepov za izboljšanje kakovosti okolja v Zgornji Mežiški dolini, so se na posameznih območjih Slovenije izvedle </w:t>
      </w:r>
      <w:r>
        <w:rPr>
          <w:rFonts w:eastAsia="Calibri" w:cs="Arial"/>
          <w:szCs w:val="20"/>
          <w:lang w:val="sl-SI"/>
        </w:rPr>
        <w:t xml:space="preserve">študije, ki obravnavajo določen vidik stanja ali varstva tal in tudi </w:t>
      </w:r>
      <w:r w:rsidRPr="003D52FE">
        <w:rPr>
          <w:rFonts w:eastAsia="Calibri" w:cs="Arial"/>
          <w:szCs w:val="20"/>
          <w:lang w:val="sl-SI"/>
        </w:rPr>
        <w:t>študije</w:t>
      </w:r>
      <w:r>
        <w:rPr>
          <w:rFonts w:eastAsia="Calibri" w:cs="Arial"/>
          <w:szCs w:val="20"/>
          <w:lang w:val="sl-SI"/>
        </w:rPr>
        <w:t xml:space="preserve"> manjših območjih,</w:t>
      </w:r>
      <w:r w:rsidRPr="003D52FE">
        <w:rPr>
          <w:rFonts w:eastAsia="Calibri" w:cs="Arial"/>
          <w:szCs w:val="20"/>
          <w:lang w:val="sl-SI"/>
        </w:rPr>
        <w:t xml:space="preserve"> iz katerih je </w:t>
      </w:r>
      <w:r w:rsidR="00531721">
        <w:rPr>
          <w:rFonts w:eastAsia="Calibri" w:cs="Arial"/>
          <w:szCs w:val="20"/>
          <w:lang w:val="sl-SI"/>
        </w:rPr>
        <w:t xml:space="preserve">podrobneje </w:t>
      </w:r>
      <w:r w:rsidRPr="003D52FE">
        <w:rPr>
          <w:rFonts w:eastAsia="Calibri" w:cs="Arial"/>
          <w:szCs w:val="20"/>
          <w:lang w:val="sl-SI"/>
        </w:rPr>
        <w:t>razvidna izpostavljenosti prebivalcev onesnaževalom iz tal</w:t>
      </w:r>
      <w:r>
        <w:rPr>
          <w:rFonts w:eastAsia="Calibri" w:cs="Arial"/>
          <w:szCs w:val="20"/>
          <w:lang w:val="sl-SI"/>
        </w:rPr>
        <w:t xml:space="preserve">. Med njimi omenjamo študijo </w:t>
      </w:r>
      <w:r w:rsidRPr="003D52FE">
        <w:rPr>
          <w:lang w:val="sl-SI"/>
        </w:rPr>
        <w:t>Izpostavljenost prebivalcev občine Zagorje ob Savi okoljskim onesnažilom - težkim kovinam v tleh in živilih rastlinskega izvora, junij 2013, ki jo je financirala Občina Zagorje ob Savi</w:t>
      </w:r>
      <w:r>
        <w:rPr>
          <w:lang w:val="sl-SI"/>
        </w:rPr>
        <w:t xml:space="preserve">, </w:t>
      </w:r>
      <w:r w:rsidRPr="003D52FE">
        <w:rPr>
          <w:rFonts w:eastAsia="Calibri" w:cs="Arial"/>
          <w:szCs w:val="20"/>
          <w:lang w:val="sl-SI"/>
        </w:rPr>
        <w:t>Onesnaženost okolja in naravni viri kot omejitveni dejavnik trajnostnega razvoja – modelni pristop na primeru Celjske kotline, marec 2012, CRP V1-1051</w:t>
      </w:r>
      <w:r w:rsidR="00531721">
        <w:rPr>
          <w:rFonts w:eastAsia="Calibri" w:cs="Arial"/>
          <w:szCs w:val="20"/>
          <w:lang w:val="sl-SI"/>
        </w:rPr>
        <w:t xml:space="preserve">, </w:t>
      </w:r>
      <w:r w:rsidRPr="003D52FE">
        <w:rPr>
          <w:rFonts w:eastAsia="Calibri" w:cs="Arial"/>
          <w:szCs w:val="20"/>
          <w:lang w:val="sl-SI"/>
        </w:rPr>
        <w:t xml:space="preserve">Modeli rastlinske pridelave na območjih degradiranega okolja, september 2013, </w:t>
      </w:r>
      <w:r w:rsidRPr="003D52FE">
        <w:rPr>
          <w:rFonts w:cs="Arial"/>
          <w:bCs/>
          <w:szCs w:val="20"/>
          <w:lang w:val="sl-SI"/>
        </w:rPr>
        <w:t>CRP V4 – 1133</w:t>
      </w:r>
      <w:r w:rsidR="00085F68">
        <w:rPr>
          <w:rFonts w:cs="Arial"/>
          <w:bCs/>
          <w:szCs w:val="20"/>
          <w:lang w:val="sl-SI"/>
        </w:rPr>
        <w:t xml:space="preserve"> </w:t>
      </w:r>
      <w:r w:rsidR="00531721">
        <w:rPr>
          <w:rFonts w:cs="Arial"/>
          <w:bCs/>
          <w:szCs w:val="20"/>
          <w:lang w:val="sl-SI"/>
        </w:rPr>
        <w:t xml:space="preserve">in </w:t>
      </w:r>
      <w:r w:rsidR="00085F68" w:rsidRPr="003D52FE">
        <w:rPr>
          <w:rFonts w:eastAsia="Calibri" w:cs="Arial"/>
          <w:szCs w:val="20"/>
          <w:lang w:val="sl-SI"/>
        </w:rPr>
        <w:t>Poročilo o vsebnostih izbranih onesnaževal v vzorcih tal iz občine Kidričevo, odvzetih julija 2016</w:t>
      </w:r>
      <w:r w:rsidR="00085F68">
        <w:rPr>
          <w:rFonts w:eastAsia="Calibri" w:cs="Arial"/>
          <w:szCs w:val="20"/>
          <w:lang w:val="sl-SI"/>
        </w:rPr>
        <w:t xml:space="preserve">, ki je bilo financirano s strani MOP. </w:t>
      </w:r>
      <w:r w:rsidRPr="003D52FE">
        <w:rPr>
          <w:rFonts w:eastAsia="Calibri" w:cs="Arial"/>
          <w:szCs w:val="20"/>
          <w:lang w:val="sl-SI"/>
        </w:rPr>
        <w:t xml:space="preserve"> </w:t>
      </w:r>
    </w:p>
    <w:p w:rsidR="00A3208F" w:rsidRPr="005771BD" w:rsidRDefault="00607481" w:rsidP="00A3208F">
      <w:pPr>
        <w:tabs>
          <w:tab w:val="left" w:pos="284"/>
        </w:tabs>
        <w:spacing w:after="200" w:line="276" w:lineRule="auto"/>
        <w:jc w:val="both"/>
        <w:rPr>
          <w:rFonts w:eastAsia="Calibri" w:cs="Arial"/>
          <w:i/>
          <w:szCs w:val="20"/>
          <w:u w:val="single"/>
          <w:lang w:val="sl-SI"/>
        </w:rPr>
      </w:pPr>
      <w:r>
        <w:rPr>
          <w:rFonts w:eastAsia="Calibri" w:cs="Arial"/>
          <w:b/>
          <w:szCs w:val="20"/>
          <w:u w:val="single"/>
          <w:lang w:val="sl-SI"/>
        </w:rPr>
        <w:t>8</w:t>
      </w:r>
      <w:r w:rsidR="00A3208F" w:rsidRPr="005771BD">
        <w:rPr>
          <w:rFonts w:eastAsia="Calibri" w:cs="Arial"/>
          <w:b/>
          <w:szCs w:val="20"/>
          <w:u w:val="single"/>
          <w:lang w:val="sl-SI"/>
        </w:rPr>
        <w:t xml:space="preserve">.3 Povzročitelji in razlogi </w:t>
      </w:r>
    </w:p>
    <w:p w:rsidR="00A3208F" w:rsidRPr="005771BD" w:rsidRDefault="00A3208F" w:rsidP="00A3208F">
      <w:pPr>
        <w:spacing w:line="276" w:lineRule="auto"/>
        <w:jc w:val="both"/>
        <w:rPr>
          <w:rFonts w:eastAsia="Calibri" w:cs="Arial"/>
          <w:szCs w:val="20"/>
          <w:lang w:val="sl-SI"/>
        </w:rPr>
      </w:pPr>
      <w:r w:rsidRPr="005771BD">
        <w:rPr>
          <w:rFonts w:eastAsia="Calibri" w:cs="Arial"/>
          <w:szCs w:val="20"/>
          <w:lang w:val="sl-SI"/>
        </w:rPr>
        <w:t xml:space="preserve">Stanje tal je na eni strani odraz naravnih procesov in na drugi človekovih dejavnosti. Ključne dejavnosti, ki lahko povzročijo degradacijske procese tal in pogosto tudi nepovratno uničenje tega naravnega vira, so: </w:t>
      </w:r>
    </w:p>
    <w:p w:rsidR="00A3208F" w:rsidRPr="005771BD" w:rsidRDefault="00A3208F" w:rsidP="00A3208F">
      <w:pPr>
        <w:numPr>
          <w:ilvl w:val="0"/>
          <w:numId w:val="6"/>
        </w:numPr>
        <w:spacing w:before="60" w:line="276" w:lineRule="auto"/>
        <w:ind w:left="284" w:hanging="284"/>
        <w:jc w:val="both"/>
        <w:rPr>
          <w:rFonts w:eastAsia="Calibri" w:cs="Arial"/>
          <w:szCs w:val="20"/>
          <w:lang w:val="sl-SI"/>
        </w:rPr>
      </w:pPr>
      <w:r w:rsidRPr="005771BD">
        <w:rPr>
          <w:rFonts w:eastAsia="Calibri" w:cs="Arial"/>
          <w:szCs w:val="20"/>
          <w:lang w:val="sl-SI"/>
        </w:rPr>
        <w:t>industrija/predelovalne dejavnosti, ki jih povezujemo z izgubo tal zaradi gradnje stavb in objektov, utrjevanjem/zbijanjem tal, prekrivanjem tal z nepropustnimi materiali, onesnaževanje tal z anorganskimi in organskimi snovmi, ki se rabijo ali proizvajajo v delovnih procesih,</w:t>
      </w:r>
    </w:p>
    <w:p w:rsidR="00A3208F" w:rsidRPr="005771BD" w:rsidRDefault="00A3208F" w:rsidP="00A3208F">
      <w:pPr>
        <w:numPr>
          <w:ilvl w:val="0"/>
          <w:numId w:val="6"/>
        </w:numPr>
        <w:spacing w:before="60" w:line="276" w:lineRule="auto"/>
        <w:ind w:left="284" w:hanging="284"/>
        <w:jc w:val="both"/>
        <w:rPr>
          <w:rFonts w:eastAsia="Calibri" w:cs="Arial"/>
          <w:szCs w:val="20"/>
          <w:lang w:val="sl-SI"/>
        </w:rPr>
      </w:pPr>
      <w:r w:rsidRPr="005771BD">
        <w:rPr>
          <w:rFonts w:eastAsia="Calibri" w:cs="Arial"/>
          <w:szCs w:val="20"/>
          <w:lang w:val="sl-SI"/>
        </w:rPr>
        <w:t>promet, ki ga povezujemo z gradnjo objektov, prekrivanjem tal z nepropustnimi materiali (npr.: asfalt), utrjevanjem/zbijanjem tal, onesnaževanjem tal zaradi nesreč in posledično onesnaževali v izpušnih plinih prevoznih sredstev oziroma obrabo delov vozil (npr. pnevmatike, zavore);</w:t>
      </w:r>
    </w:p>
    <w:p w:rsidR="00A3208F" w:rsidRPr="005771BD" w:rsidRDefault="00A3208F" w:rsidP="00A3208F">
      <w:pPr>
        <w:numPr>
          <w:ilvl w:val="0"/>
          <w:numId w:val="6"/>
        </w:numPr>
        <w:spacing w:before="60" w:line="276" w:lineRule="auto"/>
        <w:ind w:left="284" w:hanging="284"/>
        <w:jc w:val="both"/>
        <w:rPr>
          <w:rFonts w:eastAsia="Calibri" w:cs="Arial"/>
          <w:szCs w:val="20"/>
          <w:lang w:val="sl-SI"/>
        </w:rPr>
      </w:pPr>
      <w:r w:rsidRPr="005771BD">
        <w:rPr>
          <w:rFonts w:eastAsia="Calibri" w:cs="Arial"/>
          <w:szCs w:val="20"/>
          <w:lang w:val="sl-SI"/>
        </w:rPr>
        <w:t>energetika/rudarstvo,ki ga zaradi pridobivanja in predelave rudnin povezujemo z izgubljanjem tal in njihovim onesnaževanjem ter utrjevanjem/zbijanjem tal,</w:t>
      </w:r>
    </w:p>
    <w:p w:rsidR="00A3208F" w:rsidRPr="005771BD" w:rsidRDefault="00A3208F" w:rsidP="00A3208F">
      <w:pPr>
        <w:numPr>
          <w:ilvl w:val="0"/>
          <w:numId w:val="6"/>
        </w:numPr>
        <w:spacing w:before="60" w:line="276" w:lineRule="auto"/>
        <w:ind w:left="284" w:hanging="284"/>
        <w:jc w:val="both"/>
        <w:rPr>
          <w:rFonts w:eastAsia="Calibri" w:cs="Arial"/>
          <w:szCs w:val="20"/>
          <w:lang w:val="sl-SI"/>
        </w:rPr>
      </w:pPr>
      <w:r w:rsidRPr="005771BD">
        <w:rPr>
          <w:rFonts w:eastAsia="Calibri" w:cs="Arial"/>
          <w:szCs w:val="20"/>
          <w:lang w:val="sl-SI"/>
        </w:rPr>
        <w:t>gradbeništvo, ki ga povezujemo z izgubo tal zaradi gradnje stavb in objektov, utrjevanjem/zbijanjem tal, prekrivanjem tal z nepropustnimi materiali, onesnaževanjem tal, in</w:t>
      </w:r>
    </w:p>
    <w:p w:rsidR="00A3208F" w:rsidRPr="005771BD" w:rsidRDefault="00A3208F" w:rsidP="00A3208F">
      <w:pPr>
        <w:numPr>
          <w:ilvl w:val="0"/>
          <w:numId w:val="6"/>
        </w:numPr>
        <w:spacing w:before="60" w:after="240" w:line="276" w:lineRule="auto"/>
        <w:ind w:left="284" w:hanging="284"/>
        <w:jc w:val="both"/>
        <w:rPr>
          <w:rFonts w:eastAsia="Calibri" w:cs="Arial"/>
          <w:szCs w:val="20"/>
          <w:lang w:val="sl-SI"/>
        </w:rPr>
      </w:pPr>
      <w:r w:rsidRPr="005771BD">
        <w:rPr>
          <w:rFonts w:eastAsia="Calibri" w:cs="Arial"/>
          <w:szCs w:val="20"/>
          <w:lang w:val="sl-SI"/>
        </w:rPr>
        <w:t>kmetijstvo, ki ga povezujemo z zmanjšanjem organske snovi v tleh, zasoljevanjem, zbijanjem tal in erozijo tal kot posledicami nepravilne kmetijske prakse, onesnaževanja z gnojili in fitofarmacevtskimi sredstvi.</w:t>
      </w:r>
    </w:p>
    <w:p w:rsidR="00A3208F" w:rsidRPr="005771BD" w:rsidRDefault="00A3208F" w:rsidP="00A3208F">
      <w:pPr>
        <w:spacing w:after="200" w:line="276" w:lineRule="auto"/>
        <w:jc w:val="both"/>
        <w:rPr>
          <w:rFonts w:eastAsia="Calibri" w:cs="Arial"/>
          <w:szCs w:val="20"/>
          <w:lang w:val="sl-SI"/>
        </w:rPr>
      </w:pPr>
      <w:r w:rsidRPr="005771BD">
        <w:rPr>
          <w:rFonts w:eastAsia="Calibri" w:cs="Arial"/>
          <w:szCs w:val="20"/>
          <w:lang w:val="sl-SI"/>
        </w:rPr>
        <w:t>Varovanje tal je z vidika izgube naravnih tal zaradi gradnje stavb in objektov oziroma z vidika gospodarne izkoriščenosti/neizkoriščenosti zemljišč deloma urejeno v prostorskih predpisih. Zakon o urejanju prostora namreč določa, da je treba pri usmerjanju poselitve zagotoviti gospodarno rabo zemljišč in objektov v naseljih, pri čemer je treba predvsem izkoristiti proste in nezadostno izkoriščene površine v naseljih z njihovim aktiviranjem ter s prenovo in sanacijo degradiranih območij v naseljih. Strategija prostorskega razvoja varstva tal kot omejenega naravnega vira izrecno ne omenja, prav tako dokument</w:t>
      </w:r>
      <w:r>
        <w:rPr>
          <w:rFonts w:eastAsia="Calibri" w:cs="Arial"/>
          <w:szCs w:val="20"/>
          <w:lang w:val="sl-SI"/>
        </w:rPr>
        <w:t xml:space="preserve"> ne vsebuje </w:t>
      </w:r>
      <w:r w:rsidRPr="005771BD">
        <w:rPr>
          <w:rFonts w:eastAsia="Calibri" w:cs="Arial"/>
          <w:szCs w:val="20"/>
          <w:lang w:val="sl-SI"/>
        </w:rPr>
        <w:t>zahtev oziroma usmeritev glede omejevanja izkoriščanja zemljišč za preprečevanje izgube naravnih tal zaradi njihovega trajnega prekrivanja z nepropustnimi materiali, zbijanja in pozidave.</w:t>
      </w:r>
    </w:p>
    <w:p w:rsidR="00A3208F" w:rsidRPr="005771BD" w:rsidRDefault="00A3208F" w:rsidP="00A3208F">
      <w:pPr>
        <w:spacing w:after="200" w:line="276" w:lineRule="auto"/>
        <w:jc w:val="both"/>
        <w:rPr>
          <w:rFonts w:eastAsia="Calibri" w:cs="Arial"/>
          <w:szCs w:val="20"/>
          <w:lang w:val="sl-SI"/>
        </w:rPr>
      </w:pPr>
      <w:r w:rsidRPr="005771BD">
        <w:rPr>
          <w:rFonts w:eastAsia="Calibri" w:cs="Arial"/>
          <w:szCs w:val="20"/>
          <w:lang w:val="sl-SI"/>
        </w:rPr>
        <w:t xml:space="preserve">Podatki </w:t>
      </w:r>
      <w:r w:rsidR="001323F1">
        <w:rPr>
          <w:rFonts w:eastAsia="Calibri" w:cs="Arial"/>
          <w:szCs w:val="20"/>
          <w:lang w:val="sl-SI"/>
        </w:rPr>
        <w:t>k</w:t>
      </w:r>
      <w:r w:rsidRPr="005771BD">
        <w:rPr>
          <w:rFonts w:eastAsia="Calibri" w:cs="Arial"/>
          <w:szCs w:val="20"/>
          <w:lang w:val="sl-SI"/>
        </w:rPr>
        <w:t xml:space="preserve">azalcev okolja, ki se nanašajo na kazalec Sprememba rabe zemljišč in kmetijstvo, kažejo, da je bilo v obdobju 2007–2011 v Sloveniji za potrebe urbanega razvoja iz kmetijske rabe odvzetih 65,2 % tal in iz gozdne rabe 24,4 % tal. Spremembe rabe večjih površin so opazne predvsem na obrobju naselij za potrebe industrije in trgovine ter ob trasah velikih infrastrukturnih objektov (avtocest). </w:t>
      </w:r>
    </w:p>
    <w:p w:rsidR="00A3208F" w:rsidRPr="005771BD" w:rsidRDefault="00A3208F" w:rsidP="00A3208F">
      <w:pPr>
        <w:spacing w:after="200" w:line="276" w:lineRule="auto"/>
        <w:jc w:val="both"/>
        <w:rPr>
          <w:rFonts w:eastAsia="Calibri" w:cs="Arial"/>
          <w:szCs w:val="20"/>
          <w:lang w:val="sl-SI"/>
        </w:rPr>
      </w:pPr>
      <w:r w:rsidRPr="005771BD">
        <w:rPr>
          <w:rFonts w:eastAsia="Calibri" w:cs="Arial"/>
          <w:szCs w:val="20"/>
          <w:lang w:val="sl-SI"/>
        </w:rPr>
        <w:t xml:space="preserve">Podatki </w:t>
      </w:r>
      <w:r w:rsidR="001323F1">
        <w:rPr>
          <w:rFonts w:eastAsia="Calibri" w:cs="Arial"/>
          <w:szCs w:val="20"/>
          <w:lang w:val="sl-SI"/>
        </w:rPr>
        <w:t>k</w:t>
      </w:r>
      <w:r w:rsidRPr="005771BD">
        <w:rPr>
          <w:rFonts w:eastAsia="Calibri" w:cs="Arial"/>
          <w:szCs w:val="20"/>
          <w:lang w:val="sl-SI"/>
        </w:rPr>
        <w:t>azalcev okolja, ki se nanašajo na kazalec Pokrovnost in raba tal, kažejo, da so se v obdobju 1996–2012 za skupno 1090 ha povečale površine, namenjene cestni infrastrukturi, za vsaj 228 ha je več tudi površin, namenjenih industriji in trgovini. Pri tem je treba upoštevati, da uporabljena metodologija za ta kazalec zajema le spremembe pokrovnosti, večje od 5 ha.</w:t>
      </w:r>
    </w:p>
    <w:p w:rsidR="00A3208F" w:rsidRPr="005771BD" w:rsidRDefault="00A3208F" w:rsidP="00A3208F">
      <w:pPr>
        <w:spacing w:after="200" w:line="276" w:lineRule="auto"/>
        <w:jc w:val="both"/>
        <w:rPr>
          <w:rFonts w:eastAsia="Calibri" w:cs="Arial"/>
          <w:szCs w:val="20"/>
          <w:lang w:val="sl-SI"/>
        </w:rPr>
      </w:pPr>
      <w:r w:rsidRPr="005771BD">
        <w:rPr>
          <w:rFonts w:eastAsia="Calibri" w:cs="Arial"/>
          <w:szCs w:val="20"/>
          <w:lang w:val="sl-SI"/>
        </w:rPr>
        <w:t xml:space="preserve">Podatki kazalcev okolja (slika </w:t>
      </w:r>
      <w:r w:rsidR="00607481">
        <w:rPr>
          <w:rFonts w:eastAsia="Calibri" w:cs="Arial"/>
          <w:szCs w:val="20"/>
          <w:lang w:val="sl-SI"/>
        </w:rPr>
        <w:t>8</w:t>
      </w:r>
      <w:r w:rsidRPr="005771BD">
        <w:rPr>
          <w:rFonts w:eastAsia="Calibri" w:cs="Arial"/>
          <w:szCs w:val="20"/>
          <w:lang w:val="sl-SI"/>
        </w:rPr>
        <w:t>.9), ki se nanašajo na Kakovost tal kažejo, da imajo območja kmetijskih zemljišč visoko stopnjo tveganja za zmanjševanje organske snovi v tleh, zlasti v SV delu Slovenije.</w:t>
      </w:r>
    </w:p>
    <w:p w:rsidR="00607481" w:rsidRPr="005771BD" w:rsidRDefault="00607481" w:rsidP="00607481">
      <w:pPr>
        <w:spacing w:after="200" w:line="276" w:lineRule="auto"/>
        <w:jc w:val="both"/>
        <w:rPr>
          <w:rFonts w:eastAsia="Calibri" w:cs="Arial"/>
          <w:szCs w:val="20"/>
          <w:lang w:val="sl-SI"/>
        </w:rPr>
      </w:pPr>
      <w:r w:rsidRPr="005771BD">
        <w:rPr>
          <w:rFonts w:eastAsia="Calibri" w:cs="Arial"/>
          <w:szCs w:val="20"/>
          <w:lang w:val="sl-SI"/>
        </w:rPr>
        <w:t xml:space="preserve">Podatki </w:t>
      </w:r>
      <w:r w:rsidR="001323F1">
        <w:rPr>
          <w:rFonts w:eastAsia="Calibri" w:cs="Arial"/>
          <w:szCs w:val="20"/>
          <w:lang w:val="sl-SI"/>
        </w:rPr>
        <w:t>k</w:t>
      </w:r>
      <w:r w:rsidRPr="005771BD">
        <w:rPr>
          <w:rFonts w:eastAsia="Calibri" w:cs="Arial"/>
          <w:szCs w:val="20"/>
          <w:lang w:val="sl-SI"/>
        </w:rPr>
        <w:t>azalcev okolja, ki se nanašajo na Kmetijska območja visoke naravne vrednosti, kažejo, da Slovenija glede na geografski položaj in raznovrstne naravne razmere sodi med evropske države z najvišjo stopnjo biološke pestrosti. To velja tudi za kmetijski prostor, kjer so zaradi prevladujoče rabe travinja naravne danosti za ohranjanje bioloških vrst in habitatov še posebej ugodne. Večina kmetijskih območij z visoko naravno vrednostjo je v zahodni in južni Sloveniji, zlasti območja v gričevnatem, hribovskem in gorskem svetu. Po grobi oceni glede na podatke o rabi zemljišč je v Sloveniji na območjih z visoko naravno vrednostjo med 60 in 80 % kmetijskih zemljišč v uporabi, iz česar lahko sklepamo, da na teh zemljiščih tudi tla prispevajo k biološki pestrosti.</w:t>
      </w:r>
    </w:p>
    <w:p w:rsidR="00607481" w:rsidRPr="005771BD" w:rsidRDefault="00607481" w:rsidP="00607481">
      <w:pPr>
        <w:spacing w:after="200" w:line="276" w:lineRule="auto"/>
        <w:jc w:val="both"/>
        <w:rPr>
          <w:rFonts w:eastAsia="Calibri" w:cs="Arial"/>
          <w:szCs w:val="20"/>
          <w:lang w:val="sl-SI"/>
        </w:rPr>
      </w:pPr>
      <w:r w:rsidRPr="005771BD">
        <w:rPr>
          <w:rFonts w:eastAsia="Calibri" w:cs="Arial"/>
          <w:iCs/>
          <w:szCs w:val="20"/>
          <w:lang w:val="sl-SI"/>
        </w:rPr>
        <w:t xml:space="preserve">Iz izhodišč </w:t>
      </w:r>
      <w:r w:rsidRPr="005771BD">
        <w:rPr>
          <w:rFonts w:eastAsia="Calibri" w:cs="Arial"/>
          <w:szCs w:val="20"/>
          <w:lang w:val="sl-SI"/>
        </w:rPr>
        <w:t>Resolucije o prometni politiki Republike Slovenije povzemamo, da so rezultati analize pokazali nekatere pomanjkljivosti in nevarnosti, ki jih je treba z ukrepi prometne politike preprečiti oziroma zmanjšati njihove posledice oziroma vplive. Ena teh nevarnosti je razpršena poselitev, še posebej njeno stopnjevanje in posledično s tem povezana razvejana in zato tudi draga infrastruktura, kar ima zagotovo negativne učinke na tla in širše okolje. Resolucija o prometni politiki Republike Slovenije varstva tal posebej ne omenja, vendar  se pomanjkljivosti in nevarnosti, ki jih promet povzroča okolju, nanašajo tudi na tla, pri čemer gre tako za izgubo tal zaradi gradnje infrastrukture kot tudi onesnaževanje tal zaradi prometa.</w:t>
      </w:r>
    </w:p>
    <w:p w:rsidR="00A3208F" w:rsidRPr="005771BD" w:rsidRDefault="00A3208F" w:rsidP="00A3208F">
      <w:pPr>
        <w:spacing w:after="200" w:line="276" w:lineRule="auto"/>
        <w:jc w:val="both"/>
        <w:rPr>
          <w:rFonts w:eastAsia="Calibri" w:cs="Arial"/>
          <w:iCs/>
          <w:szCs w:val="20"/>
          <w:lang w:val="sl-SI"/>
        </w:rPr>
      </w:pPr>
    </w:p>
    <w:p w:rsidR="00A3208F" w:rsidRPr="005771BD" w:rsidRDefault="00A3208F" w:rsidP="00A3208F">
      <w:pPr>
        <w:spacing w:after="200" w:line="276" w:lineRule="auto"/>
        <w:jc w:val="both"/>
        <w:rPr>
          <w:rFonts w:eastAsia="Calibri" w:cs="Arial"/>
          <w:iCs/>
          <w:szCs w:val="20"/>
          <w:lang w:val="sl-SI"/>
        </w:rPr>
      </w:pPr>
      <w:r w:rsidRPr="007F272F">
        <w:rPr>
          <w:rFonts w:eastAsia="Calibri" w:cs="Arial"/>
          <w:iCs/>
          <w:noProof/>
          <w:szCs w:val="20"/>
          <w:lang w:val="sl-SI" w:eastAsia="sl-SI"/>
        </w:rPr>
        <w:drawing>
          <wp:inline distT="0" distB="0" distL="0" distR="0" wp14:anchorId="1E38D247" wp14:editId="04E7B8BA">
            <wp:extent cx="5773420" cy="3688715"/>
            <wp:effectExtent l="0" t="0" r="0" b="6985"/>
            <wp:docPr id="660" name="Slika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73420" cy="3688715"/>
                    </a:xfrm>
                    <a:prstGeom prst="rect">
                      <a:avLst/>
                    </a:prstGeom>
                    <a:noFill/>
                  </pic:spPr>
                </pic:pic>
              </a:graphicData>
            </a:graphic>
          </wp:inline>
        </w:drawing>
      </w:r>
    </w:p>
    <w:p w:rsidR="00A3208F" w:rsidRPr="005771BD" w:rsidRDefault="00A3208F" w:rsidP="00A3208F">
      <w:pPr>
        <w:spacing w:after="200" w:line="276" w:lineRule="auto"/>
        <w:jc w:val="both"/>
        <w:rPr>
          <w:rFonts w:eastAsia="Calibri" w:cs="Arial"/>
          <w:i/>
          <w:iCs/>
          <w:szCs w:val="20"/>
          <w:lang w:val="sl-SI"/>
        </w:rPr>
      </w:pPr>
      <w:r w:rsidRPr="005771BD">
        <w:rPr>
          <w:rFonts w:eastAsia="Calibri" w:cs="Arial"/>
          <w:i/>
          <w:iCs/>
          <w:szCs w:val="20"/>
          <w:lang w:val="sl-SI"/>
        </w:rPr>
        <w:t xml:space="preserve">Slika </w:t>
      </w:r>
      <w:r w:rsidR="00607481">
        <w:rPr>
          <w:rFonts w:eastAsia="Calibri" w:cs="Arial"/>
          <w:i/>
          <w:iCs/>
          <w:szCs w:val="20"/>
          <w:lang w:val="sl-SI"/>
        </w:rPr>
        <w:t>8</w:t>
      </w:r>
      <w:r w:rsidRPr="005771BD">
        <w:rPr>
          <w:rFonts w:eastAsia="Calibri" w:cs="Arial"/>
          <w:i/>
          <w:iCs/>
          <w:szCs w:val="20"/>
          <w:lang w:val="sl-SI"/>
        </w:rPr>
        <w:t xml:space="preserve">.9: </w:t>
      </w:r>
      <w:r w:rsidRPr="005771BD">
        <w:rPr>
          <w:rFonts w:eastAsia="Calibri" w:cs="Arial"/>
          <w:bCs/>
          <w:i/>
          <w:szCs w:val="20"/>
          <w:lang w:val="sl-SI"/>
        </w:rPr>
        <w:t> Ocena tveganja</w:t>
      </w:r>
      <w:r>
        <w:rPr>
          <w:rFonts w:eastAsia="Calibri" w:cs="Arial"/>
          <w:bCs/>
          <w:i/>
          <w:szCs w:val="20"/>
          <w:lang w:val="sl-SI"/>
        </w:rPr>
        <w:t xml:space="preserve"> zaradi</w:t>
      </w:r>
      <w:r w:rsidRPr="005771BD">
        <w:rPr>
          <w:rFonts w:eastAsia="Calibri" w:cs="Arial"/>
          <w:bCs/>
          <w:i/>
          <w:szCs w:val="20"/>
          <w:lang w:val="sl-SI"/>
        </w:rPr>
        <w:t xml:space="preserve"> zmanjševanja organske snovi v tleh (</w:t>
      </w:r>
      <w:r>
        <w:rPr>
          <w:rFonts w:eastAsia="Calibri" w:cs="Arial"/>
          <w:i/>
          <w:szCs w:val="20"/>
          <w:lang w:val="sl-SI"/>
        </w:rPr>
        <w:t>k</w:t>
      </w:r>
      <w:r w:rsidRPr="005771BD">
        <w:rPr>
          <w:rFonts w:eastAsia="Calibri" w:cs="Arial"/>
          <w:i/>
          <w:szCs w:val="20"/>
          <w:lang w:val="sl-SI"/>
        </w:rPr>
        <w:t xml:space="preserve">azalci okolja, kakovost tal, </w:t>
      </w:r>
      <w:r>
        <w:rPr>
          <w:rFonts w:eastAsia="Calibri" w:cs="Arial"/>
          <w:bCs/>
          <w:i/>
          <w:szCs w:val="20"/>
          <w:lang w:val="sl-SI"/>
        </w:rPr>
        <w:t>v</w:t>
      </w:r>
      <w:r w:rsidRPr="005771BD">
        <w:rPr>
          <w:rFonts w:eastAsia="Calibri" w:cs="Arial"/>
          <w:bCs/>
          <w:i/>
          <w:szCs w:val="20"/>
          <w:lang w:val="sl-SI"/>
        </w:rPr>
        <w:t>ir:</w:t>
      </w:r>
      <w:r w:rsidRPr="005771BD">
        <w:rPr>
          <w:rFonts w:eastAsia="Calibri" w:cs="Arial"/>
          <w:i/>
          <w:szCs w:val="20"/>
          <w:lang w:val="sl-SI"/>
        </w:rPr>
        <w:t> Kmetijski inštitut Slovenije, 2009)</w:t>
      </w:r>
    </w:p>
    <w:p w:rsidR="00A3208F" w:rsidRPr="005771BD" w:rsidRDefault="00A3208F" w:rsidP="00607481">
      <w:pPr>
        <w:spacing w:after="360" w:line="276" w:lineRule="auto"/>
        <w:jc w:val="both"/>
        <w:rPr>
          <w:rFonts w:eastAsia="Calibri" w:cs="Arial"/>
          <w:szCs w:val="20"/>
          <w:lang w:val="sl-SI"/>
        </w:rPr>
      </w:pPr>
      <w:r w:rsidRPr="005771BD">
        <w:rPr>
          <w:rFonts w:eastAsia="Calibri" w:cs="Arial"/>
          <w:szCs w:val="20"/>
          <w:lang w:val="sl-SI"/>
        </w:rPr>
        <w:t>V splošnem delu Državnega programa gospodarjenja z mineralnimi surovinami, ki ga je na podlagi Zakona o rudarstvu sprejela Vlada Republike Slovenije leta 2009, je navedeno, da so večje obremenitve okolja večinoma omejene na nekaj rudarskih, metalurških in energetskih središč, medtem ko je pridobivanje nekovinskih mineralnih surovin, zlasti gradbenih materialov (kamnolomi, gramoznice, glinokopi), številčnejše in bolj razširjeno, vendar ne povzroča večjih obremenitev okolja. Varstva tal Državni program gospodarjenja z mineralnimi surovinami ne omenja, prav tako so tla zelo skopo omenjena v poglavju o tleh v okoljskem poročilu splošnega načrta državnega programa gospodarjenja z mineralnimi surovinami. V tem poročilu je v poglavju o odpadkih navedeno, da je v Sloveniji leta 2005 pri pridobivanju in predelavi nekovinskih mineralnih surovin nastalo 2,1 milijona ton rudarskih odpadkov, pri čemer 75 % rudarskih odpadkov v Sloveniji predstavljata odkrivka (sestavljena je iz prsti, humusa in kamnine v krovnini) in jalovina (vložki nezaželenega materiala, ki so v sloju mineralne surovine, oziroma jalovina, ki nastane pri bogatenju surovine, predstavljajo pa jo lahko melj, glina ali drug nezaželeni material, ki se odstranjuje). Iz navedenega torej izhaja, da so tla glede gospodarjenja z mineralnimi surovinami obravnavana v okviru rudarskih odpadkov oziroma snovi, ki se po končanem izkoriščanju dnevnih kopov lahko uporabi za izvedbo sanacijskih ukrepov. Podatki Kazalcev okolja, ki se nanašajo na Odpadke in snovni tok kažejo, da je bila proizvodnja surovin za gradbeništvo (tehnični kamen ter prod in pesek) po podatkih Geološkega zavoda Slovenije v letu 2012 (9.264.886 ton) več kot za polovico nižja kot v letu 2007 (22.829.214 ton), medtem ko je bila proizvodnja drugih nekovinskih mineralnih surovin, kot so surovine za predelovalno industrijo in industrijo gradbenega materiala, v glavnem nespremenjena. Pri tem seveda ne gre zanemariti dejstva, da je gradbeništvo po letu 2007 v Sloveniji močno upadlo in da je zaradi večje gospodarske rasti pričakovati, da se bo proizvodnja surovin za gradbeništvo (tehnični kamen ter prod in pesek) ponovno povečala, kar pa lahko ogrozi tla.</w:t>
      </w:r>
    </w:p>
    <w:p w:rsidR="00A3208F" w:rsidRPr="005771BD" w:rsidRDefault="00607481" w:rsidP="00A3208F">
      <w:pPr>
        <w:spacing w:after="200" w:line="276" w:lineRule="auto"/>
        <w:jc w:val="both"/>
        <w:rPr>
          <w:rFonts w:eastAsia="Calibri" w:cs="Arial"/>
          <w:i/>
          <w:szCs w:val="20"/>
          <w:u w:val="single"/>
          <w:lang w:val="sl-SI"/>
        </w:rPr>
      </w:pPr>
      <w:r>
        <w:rPr>
          <w:rFonts w:eastAsia="Calibri" w:cs="Arial"/>
          <w:b/>
          <w:szCs w:val="20"/>
          <w:u w:val="single"/>
          <w:lang w:val="sl-SI"/>
        </w:rPr>
        <w:t>8</w:t>
      </w:r>
      <w:r w:rsidR="00A3208F" w:rsidRPr="005771BD">
        <w:rPr>
          <w:rFonts w:eastAsia="Calibri" w:cs="Arial"/>
          <w:b/>
          <w:szCs w:val="20"/>
          <w:u w:val="single"/>
          <w:lang w:val="sl-SI"/>
        </w:rPr>
        <w:t xml:space="preserve">.4 Vplivi na zdravje prebivalstva </w:t>
      </w:r>
    </w:p>
    <w:p w:rsidR="00A3208F" w:rsidRPr="005771BD" w:rsidRDefault="00A3208F" w:rsidP="00607481">
      <w:pPr>
        <w:spacing w:after="360" w:line="276" w:lineRule="auto"/>
        <w:jc w:val="both"/>
        <w:rPr>
          <w:rFonts w:eastAsia="Calibri" w:cs="Arial"/>
          <w:szCs w:val="20"/>
          <w:lang w:val="sl-SI"/>
        </w:rPr>
      </w:pPr>
      <w:r w:rsidRPr="005771BD">
        <w:rPr>
          <w:rFonts w:eastAsia="Calibri" w:cs="Arial"/>
          <w:szCs w:val="20"/>
          <w:lang w:val="sl-SI"/>
        </w:rPr>
        <w:t>Če onesnaževala v tleh presežejo opozorilne vrednosti iz uredbe, lahko glede na rabo tal nastanejo neželeni oziroma škodljivi učinki ali vplivi na zdravje ljudi in kakovost življenja prebivalstva. Pri tem je treba upoštevati, da samo podatek, da je na posameznem območju presežena vrednost iz uredbe, določena za posamezno onesnaževalo, ne zadostuje in ne pomeni, da to onesnaževalo zagotovo negativno vpliva na zdravje ljudi in okolje. Vpliv, še posebej negativni vpliv onesnaževala v tleh, lahko z gotovostjo potrdimo šele na podlagi ocene tveganja za zdravje ljudi. Onesnaževala se iz tal v človeški organizem lahko prenašajo z zaužitjem tal, hrane, pitne vode in prek dihal ali kože. Prav tako je ključnega pomena, ali gre za otroke ali odrasle, ženske ali moške, ljudi z oslabljenim imunskim sistemom, kje oziroma koliko časa je oseba v stiku z onesnaževali v tleh, kakšna je telesna teža in starost osebe. Z drugimi besedami, šele na podlagi celokupne izpostavljenosti posameznika onesnaževalu iz tal, toksičnosti onesnaževala in možnosti prehajanja v užitne dele rastlin oziroma meso ali mleko, biodostopnosti onesnaževala za človeški organizem, trajanja izpostavljenosti, referenčnih doz za onesnaževalo ter starosti in teže posameznika se lahko ocenijo učinki in vplivi na zdravje ljudi.</w:t>
      </w:r>
    </w:p>
    <w:p w:rsidR="00A3208F" w:rsidRPr="005771BD" w:rsidRDefault="00607481" w:rsidP="00A3208F">
      <w:pPr>
        <w:spacing w:after="200" w:line="276" w:lineRule="auto"/>
        <w:jc w:val="both"/>
        <w:rPr>
          <w:rFonts w:eastAsia="Calibri" w:cs="Arial"/>
          <w:szCs w:val="20"/>
          <w:u w:val="single"/>
          <w:lang w:val="sl-SI"/>
        </w:rPr>
      </w:pPr>
      <w:r>
        <w:rPr>
          <w:rFonts w:eastAsia="Calibri" w:cs="Arial"/>
          <w:b/>
          <w:szCs w:val="20"/>
          <w:u w:val="single"/>
          <w:lang w:val="sl-SI"/>
        </w:rPr>
        <w:t>8</w:t>
      </w:r>
      <w:r w:rsidR="00A3208F" w:rsidRPr="005771BD">
        <w:rPr>
          <w:rFonts w:eastAsia="Calibri" w:cs="Arial"/>
          <w:b/>
          <w:szCs w:val="20"/>
          <w:u w:val="single"/>
          <w:lang w:val="sl-SI"/>
        </w:rPr>
        <w:t>.5 Obvladovanje obremenjevanja</w:t>
      </w:r>
      <w:r w:rsidR="00A3208F" w:rsidRPr="005771BD">
        <w:rPr>
          <w:rFonts w:eastAsia="Calibri" w:cs="Arial"/>
          <w:i/>
          <w:szCs w:val="20"/>
          <w:u w:val="single"/>
          <w:lang w:val="sl-SI"/>
        </w:rPr>
        <w:t xml:space="preserve"> </w:t>
      </w:r>
    </w:p>
    <w:p w:rsidR="00A3208F" w:rsidRPr="005771BD" w:rsidRDefault="00A3208F" w:rsidP="00A3208F">
      <w:pPr>
        <w:spacing w:after="200" w:line="276" w:lineRule="auto"/>
        <w:jc w:val="both"/>
        <w:rPr>
          <w:rFonts w:eastAsia="Calibri" w:cs="Arial"/>
          <w:szCs w:val="20"/>
          <w:lang w:val="sl-SI"/>
        </w:rPr>
      </w:pPr>
      <w:r w:rsidRPr="005771BD">
        <w:rPr>
          <w:rFonts w:eastAsia="Calibri" w:cs="Arial"/>
          <w:szCs w:val="20"/>
          <w:lang w:val="sl-SI"/>
        </w:rPr>
        <w:t xml:space="preserve">Zakon o varstvu okolja (Uradni list RS, št. 39/06 – uradno prečiščeno besedilo, 49/06 – ZMetD, 66/06 – odl. US, 33/07 – ZPNačrt, 57/08 – ZFO-1A, 70/08, 108/09, 48/12, 57/12, 92/13, 56/15, 102/15 in 30/16) določa, da vlada določi merila občutljivosti, ranljivosti ali obremenjenosti okolja, na podlagi katerih se deli okolja ali posamezna območja uvrščajo v razrede ali stopnje, minister, pristojen za okolje, pa dele okolja ali posamezna območja razvrsti v razrede ali stopnje. Če je posamezno območje uvrščeno v razred ali stopnjo največje obremenjenosti, vlada del okolja ali posamezno območje določi kot degradirano okolje. Vlada v sodelovanju z občino, na območju katere je degradirano okolje, določi program ukrepov za izboljšanje kakovosti okolja ali njegovih delov. </w:t>
      </w:r>
    </w:p>
    <w:p w:rsidR="00A3208F" w:rsidRPr="005771BD" w:rsidRDefault="00A3208F" w:rsidP="00A3208F">
      <w:pPr>
        <w:spacing w:after="200" w:line="276" w:lineRule="auto"/>
        <w:jc w:val="both"/>
        <w:rPr>
          <w:rFonts w:eastAsia="Calibri" w:cs="Arial"/>
          <w:szCs w:val="20"/>
          <w:lang w:val="sl-SI"/>
        </w:rPr>
      </w:pPr>
      <w:r w:rsidRPr="005771BD">
        <w:rPr>
          <w:rFonts w:eastAsia="Calibri" w:cs="Arial"/>
          <w:szCs w:val="20"/>
          <w:lang w:val="sl-SI"/>
        </w:rPr>
        <w:t>Ukrepi za izboljšanje stanja onesnaženih tal so dolgotrajni in povezani z visokimi stroški, zato je običajno potrebno sodelovanje širše skupnosti. Prav tako je treba zagotoviti, da zaradi izvajanja sanacijskih ukrepov na posameznem območju ne prihaja do nadaljnjega vnašanja onesnaževal v tla oziroma da se onesnaževala ne prenašajo v druge dele okolja.</w:t>
      </w:r>
    </w:p>
    <w:p w:rsidR="00A3208F" w:rsidRPr="005771BD" w:rsidRDefault="00607481" w:rsidP="00A3208F">
      <w:pPr>
        <w:spacing w:after="200" w:line="276" w:lineRule="auto"/>
        <w:jc w:val="both"/>
        <w:rPr>
          <w:rFonts w:eastAsia="Calibri" w:cs="Arial"/>
          <w:b/>
          <w:szCs w:val="20"/>
          <w:lang w:val="sl-SI"/>
        </w:rPr>
      </w:pPr>
      <w:r>
        <w:rPr>
          <w:rFonts w:eastAsia="Calibri" w:cs="Arial"/>
          <w:b/>
          <w:szCs w:val="20"/>
          <w:lang w:val="sl-SI"/>
        </w:rPr>
        <w:t>8</w:t>
      </w:r>
      <w:r w:rsidR="00A3208F" w:rsidRPr="005771BD">
        <w:rPr>
          <w:rFonts w:eastAsia="Calibri" w:cs="Arial"/>
          <w:b/>
          <w:szCs w:val="20"/>
          <w:lang w:val="sl-SI"/>
        </w:rPr>
        <w:t>.5.1 Sanacija tal v zgornji Mežiški dolini</w:t>
      </w:r>
    </w:p>
    <w:p w:rsidR="00A3208F" w:rsidRPr="005771BD" w:rsidRDefault="00A3208F" w:rsidP="00A3208F">
      <w:pPr>
        <w:spacing w:after="200" w:line="276" w:lineRule="auto"/>
        <w:jc w:val="both"/>
        <w:rPr>
          <w:rFonts w:eastAsia="Calibri" w:cs="Arial"/>
          <w:szCs w:val="20"/>
          <w:lang w:val="sl-SI"/>
        </w:rPr>
      </w:pPr>
      <w:r w:rsidRPr="005771BD">
        <w:rPr>
          <w:rFonts w:eastAsia="Calibri" w:cs="Arial"/>
          <w:szCs w:val="20"/>
          <w:lang w:val="sl-SI"/>
        </w:rPr>
        <w:t xml:space="preserve">Vlada Republike Slovenije je decembra 2007 sprejela Odlok o območjih največje obremenjenosti okolja in programu ukrepov za izboljšanje kakovosti okolja v zgornji Mežiški dolini (Uradni list RS,št. 119/07; v nadaljevanju: odlok). Na podlagi tega odloka so bili jeseni 2008 odvzeti vzorci tal na vzorčnih mestih na območju največjega onesnaženja tal in tudi na širšem območju, kjer je bilo podatkov o onesnaženju tal sicer manj, vendar pa so bile ugotovljene povišane vsebnosti svinca v krvi otrok. Analize so pokazale, da so vsebnosti svinca, kadmija in cinka visoke in so na več vzorčnih mestih presegle kritično imisijsko vrednost iz uredbe. Izmerjene vsebnosti so bile najvišje v vzorcih tal, ki so bili odvzeti na vzorčnih mestih v bližini cest ter nekdanjega rudnika in topilnice. </w:t>
      </w:r>
    </w:p>
    <w:p w:rsidR="00A3208F" w:rsidRPr="005771BD" w:rsidRDefault="00A3208F" w:rsidP="00A3208F">
      <w:pPr>
        <w:spacing w:after="200" w:line="276" w:lineRule="auto"/>
        <w:jc w:val="both"/>
        <w:rPr>
          <w:rFonts w:eastAsia="Calibri" w:cs="Arial"/>
          <w:szCs w:val="20"/>
          <w:lang w:val="sl-SI"/>
        </w:rPr>
      </w:pPr>
      <w:r w:rsidRPr="005771BD">
        <w:rPr>
          <w:rFonts w:eastAsia="Calibri" w:cs="Arial"/>
          <w:szCs w:val="20"/>
          <w:lang w:val="sl-SI"/>
        </w:rPr>
        <w:t xml:space="preserve">V letu 2008 so se začeli izvajati tudi ukrepi za izboljšanje stanja onesnaženih tal (v nadaljevanju: sanacijski ukrepi), ki so obsegali prekrivanje makadamskih površin z asfaltom in zamenjavo onesnaženih delov tal. Sanacijski ukrepi so bili prednostno usmerjeni na območja, ki so namenjena gibanju in igri otrok. Izvajanje sanacijskih ukrepov, ki še poteka, je predvideno do leta 2022, ko naj bi bila dosežena kakovost okolja, ki bo lokalnim prebivalcem omogočala zdravo življenje. Poleg navedenih sanacijskih ukrepov se izvajajo še drugi ukrepi za izboljšanje kakovosti okolja in življenja ljudi, kot so: ureditev golih javnih površin s sajenjem rastlin, dodeljevanje subvencij za zagotovitev varovalne prehrane otrok v okviru javnih zavodov, mokro čiščenje javnih površin in čiščenje fasad, določitev lokacij za varno vrtnarjenje, ozaveščanje o virih onesnaževal in načinih zmanjšanja njihovega vnosa v človeka. </w:t>
      </w:r>
    </w:p>
    <w:p w:rsidR="00A3208F" w:rsidRPr="005771BD" w:rsidRDefault="00A3208F" w:rsidP="00A3208F">
      <w:pPr>
        <w:spacing w:after="200" w:line="276" w:lineRule="auto"/>
        <w:jc w:val="both"/>
        <w:rPr>
          <w:rFonts w:eastAsia="Calibri" w:cs="Arial"/>
          <w:szCs w:val="20"/>
          <w:lang w:val="sl-SI"/>
        </w:rPr>
      </w:pPr>
      <w:r w:rsidRPr="005771BD">
        <w:rPr>
          <w:rFonts w:eastAsia="Calibri" w:cs="Arial"/>
          <w:szCs w:val="20"/>
          <w:lang w:val="sl-SI"/>
        </w:rPr>
        <w:t xml:space="preserve">Učinkovitost sanacijskih ukrepov se preverja z monitoringom onesnaženosti tal saniranih površin in posredno oziroma deloma z ugotavljanjem vsebnosti svinca v krvi otrok (biomonitoring).  </w:t>
      </w:r>
    </w:p>
    <w:p w:rsidR="00A3208F" w:rsidRPr="005771BD" w:rsidRDefault="00A3208F" w:rsidP="00A3208F">
      <w:pPr>
        <w:spacing w:after="200" w:line="276" w:lineRule="auto"/>
        <w:jc w:val="both"/>
        <w:rPr>
          <w:rFonts w:eastAsia="Calibri" w:cs="Arial"/>
          <w:i/>
          <w:szCs w:val="20"/>
          <w:u w:val="single"/>
          <w:lang w:val="sl-SI"/>
        </w:rPr>
      </w:pPr>
      <w:r w:rsidRPr="005771BD">
        <w:rPr>
          <w:rFonts w:eastAsia="Calibri" w:cs="Arial"/>
          <w:i/>
          <w:szCs w:val="20"/>
          <w:u w:val="single"/>
          <w:lang w:val="sl-SI"/>
        </w:rPr>
        <w:t>Monitoring onesnaženosti tal saniranih površin</w:t>
      </w:r>
    </w:p>
    <w:p w:rsidR="00A3208F" w:rsidRPr="005771BD" w:rsidRDefault="00A3208F" w:rsidP="00A3208F">
      <w:pPr>
        <w:spacing w:after="200" w:line="276" w:lineRule="auto"/>
        <w:jc w:val="both"/>
        <w:rPr>
          <w:rFonts w:eastAsia="Calibri" w:cs="Arial"/>
          <w:szCs w:val="20"/>
          <w:lang w:val="sl-SI"/>
        </w:rPr>
      </w:pPr>
      <w:r w:rsidRPr="005771BD">
        <w:rPr>
          <w:rFonts w:eastAsia="Calibri" w:cs="Arial"/>
          <w:szCs w:val="20"/>
          <w:lang w:val="sl-SI"/>
        </w:rPr>
        <w:t xml:space="preserve">Na šestih vzorčnih mestih (vrtci Mežica, Črna, Žerjav, igrišče Polena, Rudarjevo igrišče in javno igrišče Žerjav) se izvaja monitoring onesnaženosti tal saniranih površin. Poleg monitoringa onesnaženosti tal saniranih površin so se vzorčenja in analize tal izvedle tudi na dodatnih vzorčnih mestih, in sicer prvo in ponovno vzorčenje ter analize tal. Ponovno se je vzorčilo na treh vzorčnih mestih (igrišče pri kopališču, Mežica – Center in kmetija), enkratna vzorčenja pa so se izvedle na petinsedemdesetih vzorčnih mestih, kjer je bilo ugotovljeno, da imajo otroci povišano vsebnost svinca v krvi, ter na nekaterih njivah, vrtovih in dvoriščih. </w:t>
      </w:r>
    </w:p>
    <w:p w:rsidR="00A3208F" w:rsidRPr="005771BD" w:rsidRDefault="00A3208F" w:rsidP="00A3208F">
      <w:pPr>
        <w:spacing w:after="200" w:line="276" w:lineRule="auto"/>
        <w:jc w:val="both"/>
        <w:rPr>
          <w:rFonts w:eastAsia="Calibri" w:cs="Arial"/>
          <w:szCs w:val="20"/>
          <w:lang w:val="sl-SI"/>
        </w:rPr>
      </w:pPr>
      <w:r w:rsidRPr="005771BD">
        <w:rPr>
          <w:rFonts w:eastAsia="Calibri" w:cs="Arial"/>
          <w:szCs w:val="20"/>
          <w:lang w:val="sl-SI"/>
        </w:rPr>
        <w:t xml:space="preserve">Vzorčna mesta, kjer se izvaja monitoring onesnaženosti tal in kjer sta se izvedla ponovno in enkratno vzorčenje ter analize tal, so prikazana na sliki </w:t>
      </w:r>
      <w:r w:rsidR="001323F1">
        <w:rPr>
          <w:rFonts w:eastAsia="Calibri" w:cs="Arial"/>
          <w:szCs w:val="20"/>
          <w:lang w:val="sl-SI"/>
        </w:rPr>
        <w:t>8.10</w:t>
      </w:r>
      <w:r w:rsidRPr="005771BD">
        <w:rPr>
          <w:rFonts w:eastAsia="Calibri" w:cs="Arial"/>
          <w:szCs w:val="20"/>
          <w:lang w:val="sl-SI"/>
        </w:rPr>
        <w:t>.</w:t>
      </w:r>
    </w:p>
    <w:p w:rsidR="00A3208F" w:rsidRPr="005771BD" w:rsidRDefault="00A3208F" w:rsidP="00A3208F">
      <w:pPr>
        <w:spacing w:after="200" w:line="276" w:lineRule="auto"/>
        <w:jc w:val="both"/>
        <w:rPr>
          <w:rFonts w:eastAsia="Calibri" w:cs="Arial"/>
          <w:b/>
          <w:szCs w:val="20"/>
          <w:lang w:val="sl-SI"/>
        </w:rPr>
      </w:pPr>
      <w:r w:rsidRPr="007F272F">
        <w:rPr>
          <w:rFonts w:eastAsia="Calibri" w:cs="Arial"/>
          <w:b/>
          <w:noProof/>
          <w:szCs w:val="20"/>
          <w:lang w:val="sl-SI" w:eastAsia="sl-SI"/>
        </w:rPr>
        <w:drawing>
          <wp:inline distT="0" distB="0" distL="0" distR="0" wp14:anchorId="48A65D42" wp14:editId="315494D4">
            <wp:extent cx="5389245" cy="3554095"/>
            <wp:effectExtent l="0" t="0" r="1905" b="8255"/>
            <wp:docPr id="668" name="Slika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389245" cy="3554095"/>
                    </a:xfrm>
                    <a:prstGeom prst="rect">
                      <a:avLst/>
                    </a:prstGeom>
                    <a:noFill/>
                  </pic:spPr>
                </pic:pic>
              </a:graphicData>
            </a:graphic>
          </wp:inline>
        </w:drawing>
      </w:r>
    </w:p>
    <w:p w:rsidR="00A3208F" w:rsidRPr="005771BD" w:rsidRDefault="00A3208F" w:rsidP="00A3208F">
      <w:pPr>
        <w:spacing w:after="200" w:line="276" w:lineRule="auto"/>
        <w:jc w:val="both"/>
        <w:rPr>
          <w:rFonts w:eastAsia="Calibri" w:cs="Arial"/>
          <w:i/>
          <w:szCs w:val="20"/>
          <w:lang w:val="sl-SI"/>
        </w:rPr>
      </w:pPr>
      <w:r w:rsidRPr="005771BD">
        <w:rPr>
          <w:rFonts w:eastAsia="Calibri" w:cs="Arial"/>
          <w:i/>
          <w:szCs w:val="20"/>
          <w:lang w:val="sl-SI"/>
        </w:rPr>
        <w:t xml:space="preserve">Slika </w:t>
      </w:r>
      <w:r w:rsidR="00607481">
        <w:rPr>
          <w:rFonts w:eastAsia="Calibri" w:cs="Arial"/>
          <w:i/>
          <w:szCs w:val="20"/>
          <w:lang w:val="sl-SI"/>
        </w:rPr>
        <w:t>8</w:t>
      </w:r>
      <w:r w:rsidRPr="005771BD">
        <w:rPr>
          <w:rFonts w:eastAsia="Calibri" w:cs="Arial"/>
          <w:i/>
          <w:szCs w:val="20"/>
          <w:lang w:val="sl-SI"/>
        </w:rPr>
        <w:t>.10: Vzorčna mesta monitoringa, ponovljenih in enkratnih vzorčenj in analiz onesnaženosti tal v zgornji Mežiški dolini v obdobju med letoma 2008 in 2015 (Vir: ARSO, avgust 2016)</w:t>
      </w:r>
    </w:p>
    <w:p w:rsidR="00A3208F" w:rsidRPr="005771BD" w:rsidRDefault="00A3208F" w:rsidP="00A3208F">
      <w:pPr>
        <w:spacing w:after="200" w:line="276" w:lineRule="auto"/>
        <w:jc w:val="both"/>
        <w:rPr>
          <w:rFonts w:eastAsia="Calibri" w:cs="Arial"/>
          <w:szCs w:val="20"/>
          <w:lang w:val="sl-SI"/>
        </w:rPr>
      </w:pPr>
      <w:r w:rsidRPr="005771BD">
        <w:rPr>
          <w:rFonts w:eastAsia="Calibri" w:cs="Arial"/>
          <w:szCs w:val="20"/>
          <w:lang w:val="sl-SI"/>
        </w:rPr>
        <w:t xml:space="preserve">Otroška igrišča so v Programu ukrepov za izboljšanje kakovosti okolja v zgornji Mežiški dolini (v nadaljevanju: program) uvrščena med prednostna območja za izvedbo ukrepov za zmanjšanje izpostavljenosti otrok svincu in zmanjšanje vnosa svinca v otroke. Glavni izvedeni ukrepi so: zamenjava onesnaženih tal ali prekritje onesnaženih tal z neonesnaženimi tlemi, zatravitev, zaščitne podloge pod gugalnicami, ki preprečujejo dvigovanje prahu, pokritje peskovnikov. Iz slike </w:t>
      </w:r>
      <w:r w:rsidR="001323F1">
        <w:rPr>
          <w:rFonts w:eastAsia="Calibri" w:cs="Arial"/>
          <w:szCs w:val="20"/>
          <w:lang w:val="sl-SI"/>
        </w:rPr>
        <w:t>8.</w:t>
      </w:r>
      <w:r w:rsidRPr="005771BD">
        <w:rPr>
          <w:rFonts w:eastAsia="Calibri" w:cs="Arial"/>
          <w:szCs w:val="20"/>
          <w:lang w:val="sl-SI"/>
        </w:rPr>
        <w:t xml:space="preserve">11 je razvidna vsebnost svinca v tleh neposredno po izvedbi sanacijskih ukrepov v treh vrtcih. Vsebnost svinca v tleh se je po izvedbi sanacijskih ukrepov pričakovano zmanjšala pod opozorilno vrednost iz uredbe, pozneje pa se je spet začela postopno povečevati, kar je posledica prašenja okoliških nesaniranih površin in dejavnosti, ki še potekajo v bližini vzorčnih mest. </w:t>
      </w:r>
    </w:p>
    <w:p w:rsidR="00A3208F" w:rsidRPr="005771BD" w:rsidRDefault="00A3208F" w:rsidP="00A3208F">
      <w:pPr>
        <w:spacing w:after="200" w:line="276" w:lineRule="auto"/>
        <w:jc w:val="both"/>
        <w:rPr>
          <w:rFonts w:eastAsia="Calibri" w:cs="Arial"/>
          <w:szCs w:val="20"/>
          <w:lang w:val="sl-SI"/>
        </w:rPr>
      </w:pPr>
    </w:p>
    <w:p w:rsidR="00A3208F" w:rsidRPr="005771BD" w:rsidRDefault="00A3208F" w:rsidP="00A3208F">
      <w:pPr>
        <w:spacing w:after="200" w:line="276" w:lineRule="auto"/>
        <w:jc w:val="both"/>
        <w:rPr>
          <w:rFonts w:eastAsia="Calibri" w:cs="Arial"/>
          <w:szCs w:val="20"/>
          <w:lang w:val="sl-SI"/>
        </w:rPr>
      </w:pPr>
      <w:r w:rsidRPr="007F272F">
        <w:rPr>
          <w:rFonts w:eastAsia="Calibri" w:cs="Arial"/>
          <w:noProof/>
          <w:szCs w:val="20"/>
          <w:lang w:val="sl-SI" w:eastAsia="sl-SI"/>
        </w:rPr>
        <w:drawing>
          <wp:inline distT="0" distB="0" distL="0" distR="0" wp14:anchorId="14DE596B" wp14:editId="31190D87">
            <wp:extent cx="4107976" cy="2891838"/>
            <wp:effectExtent l="0" t="0" r="6985" b="3810"/>
            <wp:docPr id="669" name="Slika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110677" cy="2893739"/>
                    </a:xfrm>
                    <a:prstGeom prst="rect">
                      <a:avLst/>
                    </a:prstGeom>
                    <a:noFill/>
                  </pic:spPr>
                </pic:pic>
              </a:graphicData>
            </a:graphic>
          </wp:inline>
        </w:drawing>
      </w:r>
    </w:p>
    <w:p w:rsidR="00A3208F" w:rsidRPr="005771BD" w:rsidRDefault="00A3208F" w:rsidP="00A3208F">
      <w:pPr>
        <w:spacing w:after="360" w:line="276" w:lineRule="auto"/>
        <w:jc w:val="both"/>
        <w:rPr>
          <w:rFonts w:eastAsia="Calibri" w:cs="Arial"/>
          <w:i/>
          <w:szCs w:val="20"/>
          <w:lang w:val="sl-SI"/>
        </w:rPr>
      </w:pPr>
      <w:r w:rsidRPr="005771BD">
        <w:rPr>
          <w:rFonts w:eastAsia="Calibri" w:cs="Arial"/>
          <w:i/>
          <w:szCs w:val="20"/>
          <w:lang w:val="sl-SI"/>
        </w:rPr>
        <w:t xml:space="preserve">Slika </w:t>
      </w:r>
      <w:r w:rsidR="00607481">
        <w:rPr>
          <w:rFonts w:eastAsia="Calibri" w:cs="Arial"/>
          <w:i/>
          <w:szCs w:val="20"/>
          <w:lang w:val="sl-SI"/>
        </w:rPr>
        <w:t>8</w:t>
      </w:r>
      <w:r w:rsidRPr="005771BD">
        <w:rPr>
          <w:rFonts w:eastAsia="Calibri" w:cs="Arial"/>
          <w:i/>
          <w:szCs w:val="20"/>
          <w:lang w:val="sl-SI"/>
        </w:rPr>
        <w:t>.11: Prikaz monitoringa saniranih tal otroških igrišč v vrtcih Mežica, Žerjav in Črna na Koroškem, v letih 2008 (pred sanacijo), 2009, 2011, 2013 in 2015 za Pb (Vir: ARSO, avgust 2016)</w:t>
      </w:r>
    </w:p>
    <w:p w:rsidR="00A3208F" w:rsidRPr="005771BD" w:rsidRDefault="00A3208F" w:rsidP="00A3208F">
      <w:pPr>
        <w:spacing w:after="200" w:line="276" w:lineRule="auto"/>
        <w:jc w:val="both"/>
        <w:rPr>
          <w:rFonts w:eastAsia="Calibri" w:cs="Arial"/>
          <w:i/>
          <w:szCs w:val="20"/>
          <w:u w:val="single"/>
          <w:lang w:val="sl-SI"/>
        </w:rPr>
      </w:pPr>
      <w:r w:rsidRPr="005771BD">
        <w:rPr>
          <w:rFonts w:eastAsia="Calibri" w:cs="Arial"/>
          <w:i/>
          <w:szCs w:val="20"/>
          <w:u w:val="single"/>
          <w:lang w:val="sl-SI"/>
        </w:rPr>
        <w:t>Biomonitoring vsebnosti svinca v krvi otrok</w:t>
      </w:r>
    </w:p>
    <w:p w:rsidR="00A3208F" w:rsidRPr="005771BD" w:rsidRDefault="00A3208F" w:rsidP="00A3208F">
      <w:pPr>
        <w:spacing w:after="200" w:line="276" w:lineRule="auto"/>
        <w:jc w:val="both"/>
        <w:rPr>
          <w:rFonts w:eastAsia="Calibri" w:cs="Arial"/>
          <w:szCs w:val="20"/>
          <w:lang w:val="sl-SI"/>
        </w:rPr>
      </w:pPr>
      <w:r w:rsidRPr="005771BD">
        <w:rPr>
          <w:rFonts w:eastAsia="Calibri" w:cs="Arial"/>
          <w:szCs w:val="20"/>
          <w:lang w:val="sl-SI"/>
        </w:rPr>
        <w:t>Vsebnost svinca v krvi otrok na območju zgornje Mežiške doline je eden od Kazalcev okolja, saj je najpogostejši način ocenjevanja skupne obremenjenosti prebivalstva s svincem merjenje tega v krvi. Svinec je pokazatelj vnosa in vezave svinca v zadnjem mesecu do dveh pred pregledom krvi. Pri skupnem vnosu svinca v telo imajo pomembno vlogo različni dejavniki, kot so tla, prah, zrak, pitna voda, prehrana, način vedenja oziroma življenja v okolju, in tudi fiziološke značilnosti posameznikov. Zato je biomonitoring vsebnosti svinca v krvi le posredni oziroma delni pokazatelj učinkovitosti sanacijskih ukrepov tal.</w:t>
      </w:r>
    </w:p>
    <w:p w:rsidR="00A3208F" w:rsidRPr="005771BD" w:rsidRDefault="00A3208F" w:rsidP="00607481">
      <w:pPr>
        <w:spacing w:after="360" w:line="276" w:lineRule="auto"/>
        <w:jc w:val="both"/>
        <w:rPr>
          <w:rFonts w:eastAsia="Calibri" w:cs="Arial"/>
          <w:szCs w:val="20"/>
          <w:lang w:val="sl-SI"/>
        </w:rPr>
      </w:pPr>
      <w:r w:rsidRPr="005771BD">
        <w:rPr>
          <w:rFonts w:eastAsia="Calibri" w:cs="Arial"/>
          <w:szCs w:val="20"/>
          <w:lang w:val="sl-SI"/>
        </w:rPr>
        <w:t xml:space="preserve">Cilj programa je, da bodo imeli otroci iz zgornje Mežiške doline vsebnosti svinca v krvi pod 100 μg/l (95 % vseh otrok iz zgornje Mežiške doline). Pred izvedbo sanacijskih ukrepov, torej pred letom 2008, je imelo povišane vsebnosti svinca v krvi približno dvajset odstotkov otrok. V zadnjih letih ima povišane vsebnosti svinca v krvi (100 μg/l in več) približno desetina otrok, povišal se je tudi odstotek otrok z nizkimi vsebnostmi svinca v krvi (pod 50 μg/l). </w:t>
      </w:r>
    </w:p>
    <w:p w:rsidR="00A3208F" w:rsidRPr="005771BD" w:rsidRDefault="00607481" w:rsidP="00A3208F">
      <w:pPr>
        <w:spacing w:after="200" w:line="276" w:lineRule="auto"/>
        <w:jc w:val="both"/>
        <w:rPr>
          <w:rFonts w:eastAsia="Calibri" w:cs="Arial"/>
          <w:b/>
          <w:szCs w:val="20"/>
          <w:u w:val="single"/>
          <w:lang w:val="sl-SI"/>
        </w:rPr>
      </w:pPr>
      <w:r>
        <w:rPr>
          <w:rFonts w:eastAsia="Calibri" w:cs="Arial"/>
          <w:b/>
          <w:szCs w:val="20"/>
          <w:u w:val="single"/>
          <w:lang w:val="sl-SI"/>
        </w:rPr>
        <w:t>8</w:t>
      </w:r>
      <w:r w:rsidR="00A3208F" w:rsidRPr="005771BD">
        <w:rPr>
          <w:rFonts w:eastAsia="Calibri" w:cs="Arial"/>
          <w:b/>
          <w:szCs w:val="20"/>
          <w:u w:val="single"/>
          <w:lang w:val="sl-SI"/>
        </w:rPr>
        <w:t xml:space="preserve">.6 Napotki za prihodnja ravnanja </w:t>
      </w:r>
    </w:p>
    <w:p w:rsidR="00A3208F" w:rsidRPr="005771BD" w:rsidRDefault="00A3208F" w:rsidP="00A3208F">
      <w:pPr>
        <w:spacing w:after="200" w:line="276" w:lineRule="auto"/>
        <w:jc w:val="both"/>
        <w:rPr>
          <w:rFonts w:eastAsia="Calibri" w:cs="Arial"/>
          <w:szCs w:val="20"/>
          <w:lang w:val="sl-SI"/>
        </w:rPr>
      </w:pPr>
      <w:r w:rsidRPr="005771BD">
        <w:rPr>
          <w:rFonts w:eastAsia="Calibri" w:cs="Arial"/>
          <w:szCs w:val="20"/>
          <w:lang w:val="sl-SI"/>
        </w:rPr>
        <w:t xml:space="preserve">Vedenje, kako naša dejanja vplivajo na celovito stanje tal, je ključnega pomena za razvoj učinkovite politike na področju varstva tal. Slovenija še nima vzpostavljenega monitoringa celovitega stanja tal. Podlaga za vzpostavitev monitoringa celovitega stanja tal v Sloveniji sta ROTS in spremljanje stanja gozdnih tal, vendar ne obravnavata vseh vidikov, ki so nujni za celovit pregled stanja tal v Sloveniji (npr. biološka raznovrstnost, erozija in zbitost tal). </w:t>
      </w:r>
    </w:p>
    <w:p w:rsidR="00A3208F" w:rsidRPr="005771BD" w:rsidRDefault="00A3208F" w:rsidP="00A3208F">
      <w:pPr>
        <w:spacing w:after="200" w:line="276" w:lineRule="auto"/>
        <w:jc w:val="both"/>
        <w:rPr>
          <w:rFonts w:eastAsia="Calibri" w:cs="Arial"/>
          <w:szCs w:val="20"/>
          <w:lang w:val="sl-SI"/>
        </w:rPr>
      </w:pPr>
      <w:r w:rsidRPr="005771BD">
        <w:rPr>
          <w:rFonts w:eastAsia="Calibri" w:cs="Arial"/>
          <w:szCs w:val="20"/>
          <w:lang w:val="sl-SI"/>
        </w:rPr>
        <w:t>Podatki o stanju onesnaženosti tal, ki so bili doslej pridobljeni v okviru ROTS, bodo v skladu z novim predpisom, ki bo urejal stanje tal, podlaga za določitev območij z visoko stopnjo obremenjenosti in za določitev degradiranih območij glede onesnaženosti tal v Sloveniji. Vzorčna mesta, ki bodo tvorila mrežo vzorčnih mest v okviru monitoringa stanja tal, morajo zajeti različne stopnje onesnaženosti, različne rabe tal in različne matične podlage. Poleg tega morajo biti izbrana tako, da bo čim manjša verjetnost, da se bo raba tal na teh vzorčnih mestih spreminjala. Pri izbiri je treba upošteva</w:t>
      </w:r>
      <w:r>
        <w:rPr>
          <w:rFonts w:eastAsia="Calibri" w:cs="Arial"/>
          <w:szCs w:val="20"/>
          <w:lang w:val="sl-SI"/>
        </w:rPr>
        <w:t>ti</w:t>
      </w:r>
      <w:r w:rsidRPr="005771BD">
        <w:rPr>
          <w:rFonts w:eastAsia="Calibri" w:cs="Arial"/>
          <w:szCs w:val="20"/>
          <w:lang w:val="sl-SI"/>
        </w:rPr>
        <w:t xml:space="preserve"> tudi njihovo geografsko razporeditev, podnebne razmere in bližino vzorčnih mest, kjer se izvaja monitoring zraka ali monitoring površinskih ter predvsem podzemnih voda. Ker se v primerjavi z zrakom in vodo vsebnosti onesnaževal v tleh le počasi spreminjajo, je smiselno ponovno vzorčenje izvesti po preteku vsaj petih let. </w:t>
      </w:r>
    </w:p>
    <w:p w:rsidR="00A3208F" w:rsidRPr="005771BD" w:rsidRDefault="00A3208F" w:rsidP="00A3208F">
      <w:pPr>
        <w:spacing w:after="200" w:line="276" w:lineRule="auto"/>
        <w:jc w:val="both"/>
        <w:rPr>
          <w:rFonts w:eastAsia="Calibri" w:cs="Arial"/>
          <w:szCs w:val="20"/>
          <w:lang w:val="sl-SI"/>
        </w:rPr>
      </w:pPr>
      <w:r w:rsidRPr="005771BD">
        <w:rPr>
          <w:rFonts w:eastAsia="Calibri" w:cs="Arial"/>
          <w:szCs w:val="20"/>
          <w:lang w:val="sl-SI"/>
        </w:rPr>
        <w:t>Za celovit pregled stanja tal bo treba v prihodnosti poleg onesnaževanja upoštevati še druge obremenitve, ki so jim tla izpostavljena, predvsem zmanjševanje organske snovi v tleh in biološke raznovrstnosti tal, zmanjševanje izgube tal zaradi prekrivanja in tesnjenja tal z neprepustnimi materiali in izgubo tal zaradi erozije. Prav tako je treba za namen spremljanja stanja tal nadgraditi kazalnikece za tla.</w:t>
      </w:r>
    </w:p>
    <w:p w:rsidR="00A3208F" w:rsidRPr="005771BD" w:rsidRDefault="00A3208F" w:rsidP="00607481">
      <w:pPr>
        <w:spacing w:after="360" w:line="276" w:lineRule="auto"/>
        <w:jc w:val="both"/>
        <w:rPr>
          <w:rFonts w:eastAsia="Calibri" w:cs="Arial"/>
          <w:szCs w:val="20"/>
          <w:lang w:val="sl-SI"/>
        </w:rPr>
      </w:pPr>
      <w:r w:rsidRPr="005771BD">
        <w:rPr>
          <w:rFonts w:eastAsia="Calibri" w:cs="Arial"/>
          <w:szCs w:val="20"/>
          <w:lang w:val="sl-SI"/>
        </w:rPr>
        <w:t>Eden ključnih ciljev v EU</w:t>
      </w:r>
      <w:r w:rsidRPr="005771BD">
        <w:rPr>
          <w:rFonts w:eastAsia="Cambria" w:cs="Arial"/>
          <w:szCs w:val="20"/>
          <w:lang w:val="sl-SI"/>
        </w:rPr>
        <w:t>,</w:t>
      </w:r>
      <w:r w:rsidRPr="005771BD">
        <w:rPr>
          <w:rFonts w:eastAsia="Calibri" w:cs="Arial"/>
          <w:szCs w:val="20"/>
          <w:lang w:val="sl-SI"/>
        </w:rPr>
        <w:t xml:space="preserve"> ki naj bi ga države članice vključile v svoje politike, je, da do leta 2020 vsaka država članica obvladuje svoj neposredni in posredni vpliv na izrabo zemljišč in da najpozneje do leta 2050 zagotovi, da neto izkoriščanja zemljišč z izgubo naravnih tal ne bo več. Prav tako je cilj, da vsaka država članica zagotovi, da se erozija tal zmanjša in poveča vsebnost organskih snovi v tleh. Poleg omejevanja in preprečevanja negativnih vplivov, ki jih človek s svojimi dejavnostmi povzroča tlom, je treba aktivnosti usmerjati tudi v obnovo, revitalizacijo in izboljšanje stanja tal. To bodo cilji Slovenije in zato je nujno, da se varstvo tal vključi v slovenske strateško-razvojne dokumente in ustrezno nadgradi predpise, na podlagi katerih bo doseganje ciljev za tla omogočeno.</w:t>
      </w:r>
    </w:p>
    <w:p w:rsidR="00A3208F" w:rsidRPr="005771BD" w:rsidRDefault="00607481" w:rsidP="00A3208F">
      <w:pPr>
        <w:spacing w:after="200" w:line="276" w:lineRule="auto"/>
        <w:jc w:val="both"/>
        <w:rPr>
          <w:rFonts w:eastAsia="Calibri" w:cs="Arial"/>
          <w:szCs w:val="20"/>
          <w:u w:val="single"/>
          <w:lang w:val="sl-SI"/>
        </w:rPr>
      </w:pPr>
      <w:r>
        <w:rPr>
          <w:rFonts w:eastAsia="Calibri" w:cs="Arial"/>
          <w:b/>
          <w:szCs w:val="20"/>
          <w:u w:val="single"/>
          <w:lang w:val="sl-SI"/>
        </w:rPr>
        <w:t>8</w:t>
      </w:r>
      <w:r w:rsidR="00A3208F" w:rsidRPr="005771BD">
        <w:rPr>
          <w:rFonts w:eastAsia="Calibri" w:cs="Arial"/>
          <w:b/>
          <w:szCs w:val="20"/>
          <w:u w:val="single"/>
          <w:lang w:val="sl-SI"/>
        </w:rPr>
        <w:t>.7 Uporabljeni kazalci stanja okolja</w:t>
      </w:r>
      <w:r w:rsidR="00A3208F" w:rsidRPr="005771BD">
        <w:rPr>
          <w:rFonts w:eastAsia="Calibri" w:cs="Arial"/>
          <w:szCs w:val="20"/>
          <w:u w:val="single"/>
          <w:lang w:val="sl-SI"/>
        </w:rPr>
        <w:t xml:space="preserve">: </w:t>
      </w:r>
    </w:p>
    <w:p w:rsidR="00A3208F" w:rsidRPr="005771BD" w:rsidRDefault="00A3208F" w:rsidP="00A3208F">
      <w:pPr>
        <w:spacing w:line="276" w:lineRule="auto"/>
        <w:jc w:val="both"/>
        <w:rPr>
          <w:rFonts w:eastAsia="Calibri" w:cs="Arial"/>
          <w:szCs w:val="20"/>
          <w:lang w:val="sl-SI"/>
        </w:rPr>
      </w:pPr>
      <w:r w:rsidRPr="005771BD">
        <w:rPr>
          <w:rFonts w:eastAsia="Calibri" w:cs="Arial"/>
          <w:szCs w:val="20"/>
          <w:lang w:val="sl-SI"/>
        </w:rPr>
        <w:t xml:space="preserve">[TP01] Pokrovnost in raba zemljišč </w:t>
      </w:r>
    </w:p>
    <w:p w:rsidR="00A3208F" w:rsidRPr="005771BD" w:rsidRDefault="00A3208F" w:rsidP="00A3208F">
      <w:pPr>
        <w:spacing w:line="276" w:lineRule="auto"/>
        <w:jc w:val="both"/>
        <w:rPr>
          <w:rFonts w:eastAsia="Calibri" w:cs="Arial"/>
          <w:szCs w:val="20"/>
          <w:lang w:val="sl-SI"/>
        </w:rPr>
      </w:pPr>
      <w:r w:rsidRPr="005771BD">
        <w:rPr>
          <w:rFonts w:eastAsia="Calibri" w:cs="Arial"/>
          <w:szCs w:val="20"/>
          <w:lang w:val="sl-SI"/>
        </w:rPr>
        <w:t xml:space="preserve">[TP02] Degradirana območja zaradi opuščene dejavnosti </w:t>
      </w:r>
    </w:p>
    <w:p w:rsidR="00A3208F" w:rsidRPr="005771BD" w:rsidRDefault="00A3208F" w:rsidP="00A3208F">
      <w:pPr>
        <w:spacing w:line="276" w:lineRule="auto"/>
        <w:jc w:val="both"/>
        <w:rPr>
          <w:rFonts w:eastAsia="Calibri" w:cs="Arial"/>
          <w:szCs w:val="20"/>
          <w:lang w:val="sl-SI"/>
        </w:rPr>
      </w:pPr>
      <w:r w:rsidRPr="005771BD">
        <w:rPr>
          <w:rFonts w:eastAsia="Calibri" w:cs="Arial"/>
          <w:szCs w:val="20"/>
          <w:lang w:val="sl-SI"/>
        </w:rPr>
        <w:t>[TP03] Pozidava</w:t>
      </w:r>
    </w:p>
    <w:p w:rsidR="00A3208F" w:rsidRPr="005771BD" w:rsidRDefault="00A3208F" w:rsidP="00A3208F">
      <w:pPr>
        <w:spacing w:line="276" w:lineRule="auto"/>
        <w:jc w:val="both"/>
        <w:rPr>
          <w:rFonts w:eastAsia="Calibri" w:cs="Arial"/>
          <w:szCs w:val="20"/>
          <w:lang w:val="sl-SI"/>
        </w:rPr>
      </w:pPr>
      <w:r w:rsidRPr="005771BD">
        <w:rPr>
          <w:rFonts w:eastAsia="Calibri" w:cs="Arial"/>
          <w:szCs w:val="20"/>
          <w:lang w:val="sl-SI"/>
        </w:rPr>
        <w:t>[TP06] Raba tal na vodovarstvenih območjih</w:t>
      </w:r>
    </w:p>
    <w:p w:rsidR="00A3208F" w:rsidRPr="005771BD" w:rsidRDefault="00A3208F" w:rsidP="00A3208F">
      <w:pPr>
        <w:spacing w:line="276" w:lineRule="auto"/>
        <w:jc w:val="both"/>
        <w:rPr>
          <w:rFonts w:eastAsia="Calibri" w:cs="Arial"/>
          <w:szCs w:val="20"/>
          <w:lang w:val="sl-SI"/>
        </w:rPr>
      </w:pPr>
      <w:r w:rsidRPr="005771BD">
        <w:rPr>
          <w:rFonts w:eastAsia="Calibri" w:cs="Arial"/>
          <w:szCs w:val="20"/>
          <w:lang w:val="sl-SI"/>
        </w:rPr>
        <w:t xml:space="preserve">[KM17] Kakovost tal </w:t>
      </w:r>
    </w:p>
    <w:p w:rsidR="00A3208F" w:rsidRPr="005771BD" w:rsidRDefault="00A3208F" w:rsidP="00A3208F">
      <w:pPr>
        <w:spacing w:line="276" w:lineRule="auto"/>
        <w:jc w:val="both"/>
        <w:rPr>
          <w:rFonts w:eastAsia="Calibri" w:cs="Arial"/>
          <w:szCs w:val="20"/>
          <w:lang w:val="sl-SI"/>
        </w:rPr>
      </w:pPr>
      <w:r w:rsidRPr="005771BD">
        <w:rPr>
          <w:rFonts w:eastAsia="Calibri" w:cs="Arial"/>
          <w:szCs w:val="20"/>
          <w:lang w:val="sl-SI"/>
        </w:rPr>
        <w:t xml:space="preserve">[OD02] Odlaganje odpadkov na odlagališča </w:t>
      </w:r>
    </w:p>
    <w:p w:rsidR="00A3208F" w:rsidRPr="005771BD" w:rsidRDefault="00A3208F" w:rsidP="00A3208F">
      <w:pPr>
        <w:spacing w:line="276" w:lineRule="auto"/>
        <w:jc w:val="both"/>
        <w:rPr>
          <w:rFonts w:eastAsia="Calibri" w:cs="Arial"/>
          <w:szCs w:val="20"/>
          <w:lang w:val="sl-SI"/>
        </w:rPr>
      </w:pPr>
      <w:r w:rsidRPr="005771BD">
        <w:rPr>
          <w:rFonts w:eastAsia="Calibri" w:cs="Arial"/>
          <w:szCs w:val="20"/>
          <w:lang w:val="sl-SI"/>
        </w:rPr>
        <w:t xml:space="preserve">[OD06] Neposredni vnos in domača poraba snovi </w:t>
      </w:r>
    </w:p>
    <w:p w:rsidR="00A3208F" w:rsidRPr="005771BD" w:rsidRDefault="00A3208F" w:rsidP="00A3208F">
      <w:pPr>
        <w:spacing w:line="276" w:lineRule="auto"/>
        <w:jc w:val="both"/>
        <w:rPr>
          <w:rFonts w:eastAsia="Calibri" w:cs="Arial"/>
          <w:szCs w:val="20"/>
          <w:lang w:val="sl-SI"/>
        </w:rPr>
      </w:pPr>
      <w:r w:rsidRPr="005771BD">
        <w:rPr>
          <w:rFonts w:eastAsia="Calibri" w:cs="Arial"/>
          <w:szCs w:val="20"/>
          <w:lang w:val="sl-SI"/>
        </w:rPr>
        <w:t xml:space="preserve">[ZD17] </w:t>
      </w:r>
      <w:r w:rsidRPr="005771BD">
        <w:rPr>
          <w:rFonts w:eastAsia="Calibri" w:cs="Arial"/>
          <w:iCs/>
          <w:szCs w:val="20"/>
          <w:lang w:val="sl-SI"/>
        </w:rPr>
        <w:t xml:space="preserve">Vsebnost svinca v krvi otrok na območju zgornje Mežiške doline </w:t>
      </w:r>
    </w:p>
    <w:p w:rsidR="00A3208F" w:rsidRPr="005771BD" w:rsidRDefault="00A3208F" w:rsidP="00A3208F">
      <w:pPr>
        <w:spacing w:line="276" w:lineRule="auto"/>
        <w:jc w:val="both"/>
        <w:rPr>
          <w:rFonts w:eastAsia="Calibri" w:cs="Arial"/>
          <w:szCs w:val="20"/>
          <w:lang w:val="sl-SI"/>
        </w:rPr>
      </w:pPr>
      <w:r w:rsidRPr="005771BD">
        <w:rPr>
          <w:rFonts w:eastAsia="Calibri" w:cs="Arial"/>
          <w:szCs w:val="20"/>
          <w:lang w:val="sl-SI"/>
        </w:rPr>
        <w:t xml:space="preserve">[ZR12] Izpusti težkih kovin </w:t>
      </w:r>
    </w:p>
    <w:p w:rsidR="00A3208F" w:rsidRPr="005771BD" w:rsidRDefault="00A3208F" w:rsidP="00A3208F">
      <w:pPr>
        <w:spacing w:line="276" w:lineRule="auto"/>
        <w:jc w:val="both"/>
        <w:rPr>
          <w:rFonts w:eastAsia="Calibri" w:cs="Arial"/>
          <w:szCs w:val="20"/>
          <w:lang w:val="sl-SI"/>
        </w:rPr>
      </w:pPr>
      <w:r w:rsidRPr="005771BD">
        <w:rPr>
          <w:rFonts w:eastAsia="Calibri" w:cs="Arial"/>
          <w:szCs w:val="20"/>
          <w:lang w:val="sl-SI"/>
        </w:rPr>
        <w:t xml:space="preserve">[ZR13] Izpusti obstojnih organskih onesnaževal </w:t>
      </w:r>
    </w:p>
    <w:p w:rsidR="00A3208F" w:rsidRPr="005771BD" w:rsidRDefault="00A3208F" w:rsidP="00A3208F">
      <w:pPr>
        <w:spacing w:line="276" w:lineRule="auto"/>
        <w:jc w:val="both"/>
        <w:rPr>
          <w:rFonts w:eastAsia="Calibri" w:cs="Arial"/>
          <w:szCs w:val="20"/>
          <w:lang w:val="sl-SI"/>
        </w:rPr>
      </w:pPr>
      <w:r w:rsidRPr="005771BD">
        <w:rPr>
          <w:rFonts w:eastAsia="Calibri" w:cs="Arial"/>
          <w:szCs w:val="20"/>
          <w:lang w:val="sl-SI"/>
        </w:rPr>
        <w:t xml:space="preserve">[ZR09] Izpusti plinov, ki povzročajo zakisovanje in evtrofikacijo </w:t>
      </w:r>
    </w:p>
    <w:p w:rsidR="00A3208F" w:rsidRPr="005771BD" w:rsidRDefault="00A3208F" w:rsidP="00A3208F">
      <w:pPr>
        <w:spacing w:line="276" w:lineRule="auto"/>
        <w:jc w:val="both"/>
        <w:rPr>
          <w:rFonts w:eastAsia="Calibri" w:cs="Arial"/>
          <w:szCs w:val="20"/>
          <w:lang w:val="sl-SI"/>
        </w:rPr>
      </w:pPr>
      <w:r w:rsidRPr="005771BD">
        <w:rPr>
          <w:rFonts w:eastAsia="Calibri" w:cs="Arial"/>
          <w:szCs w:val="20"/>
          <w:lang w:val="sl-SI"/>
        </w:rPr>
        <w:t xml:space="preserve">[PS07] Ekstremni vremenski dogodki </w:t>
      </w:r>
    </w:p>
    <w:p w:rsidR="00A3208F" w:rsidRPr="005771BD" w:rsidRDefault="00A3208F" w:rsidP="00A3208F">
      <w:pPr>
        <w:spacing w:line="276" w:lineRule="auto"/>
        <w:jc w:val="both"/>
        <w:rPr>
          <w:rFonts w:eastAsia="Calibri" w:cs="Arial"/>
          <w:szCs w:val="20"/>
          <w:lang w:val="sl-SI"/>
        </w:rPr>
      </w:pPr>
      <w:r w:rsidRPr="005771BD">
        <w:rPr>
          <w:rFonts w:eastAsia="Calibri" w:cs="Arial"/>
          <w:szCs w:val="20"/>
          <w:lang w:val="sl-SI"/>
        </w:rPr>
        <w:t xml:space="preserve">[PS04] Padavine in temperatura </w:t>
      </w:r>
    </w:p>
    <w:p w:rsidR="00A3208F" w:rsidRPr="005771BD" w:rsidRDefault="00A3208F" w:rsidP="00A3208F">
      <w:pPr>
        <w:spacing w:line="276" w:lineRule="auto"/>
        <w:jc w:val="both"/>
        <w:rPr>
          <w:rFonts w:eastAsia="Calibri" w:cs="Arial"/>
          <w:szCs w:val="20"/>
          <w:lang w:val="sl-SI"/>
        </w:rPr>
      </w:pPr>
      <w:r w:rsidRPr="005771BD">
        <w:rPr>
          <w:rFonts w:eastAsia="Calibri" w:cs="Arial"/>
          <w:szCs w:val="20"/>
          <w:lang w:val="sl-SI"/>
        </w:rPr>
        <w:t xml:space="preserve">[ZD08] Izpostavljenost srnjadi kovinam (svincu, kadmiju) in fluoridom </w:t>
      </w:r>
    </w:p>
    <w:p w:rsidR="00A3208F" w:rsidRPr="005771BD" w:rsidRDefault="00A3208F" w:rsidP="00A3208F">
      <w:pPr>
        <w:spacing w:line="276" w:lineRule="auto"/>
        <w:jc w:val="both"/>
        <w:rPr>
          <w:rFonts w:eastAsia="Calibri" w:cs="Arial"/>
          <w:szCs w:val="20"/>
          <w:lang w:val="sl-SI"/>
        </w:rPr>
      </w:pPr>
      <w:r w:rsidRPr="005771BD">
        <w:rPr>
          <w:rFonts w:eastAsia="Calibri" w:cs="Arial"/>
          <w:szCs w:val="20"/>
          <w:lang w:val="sl-SI"/>
        </w:rPr>
        <w:t>[ZD09] Kritični vnosi in prekomerne obremenitve ekosistemov z dušikom in žveplom</w:t>
      </w:r>
    </w:p>
    <w:p w:rsidR="00A3208F" w:rsidRPr="005771BD" w:rsidRDefault="00A3208F" w:rsidP="00A3208F">
      <w:pPr>
        <w:spacing w:line="276" w:lineRule="auto"/>
        <w:jc w:val="both"/>
        <w:rPr>
          <w:rFonts w:eastAsia="Calibri" w:cs="Arial"/>
          <w:szCs w:val="20"/>
          <w:lang w:val="sl-SI"/>
        </w:rPr>
      </w:pPr>
      <w:r w:rsidRPr="005771BD">
        <w:rPr>
          <w:rFonts w:eastAsia="Calibri" w:cs="Arial"/>
          <w:szCs w:val="20"/>
          <w:lang w:val="sl-SI"/>
        </w:rPr>
        <w:t xml:space="preserve">[ZD15] Vnos kovin v človeško telo s hrano </w:t>
      </w:r>
    </w:p>
    <w:p w:rsidR="00A3208F" w:rsidRPr="005771BD" w:rsidRDefault="00A3208F" w:rsidP="00A3208F">
      <w:pPr>
        <w:spacing w:line="276" w:lineRule="auto"/>
        <w:jc w:val="both"/>
        <w:rPr>
          <w:rFonts w:eastAsia="Calibri" w:cs="Arial"/>
          <w:szCs w:val="20"/>
          <w:lang w:val="sl-SI"/>
        </w:rPr>
      </w:pPr>
      <w:r w:rsidRPr="005771BD">
        <w:rPr>
          <w:rFonts w:eastAsia="Calibri" w:cs="Arial"/>
          <w:szCs w:val="20"/>
          <w:lang w:val="sl-SI"/>
        </w:rPr>
        <w:t xml:space="preserve">[ZD16] Vsebnost dioksinov v materinem mleku </w:t>
      </w:r>
    </w:p>
    <w:p w:rsidR="00A3208F" w:rsidRPr="005771BD" w:rsidRDefault="00A3208F" w:rsidP="00A3208F">
      <w:pPr>
        <w:spacing w:line="276" w:lineRule="auto"/>
        <w:jc w:val="both"/>
        <w:rPr>
          <w:rFonts w:eastAsia="Calibri" w:cs="Arial"/>
          <w:szCs w:val="20"/>
          <w:lang w:val="sl-SI"/>
        </w:rPr>
      </w:pPr>
      <w:r w:rsidRPr="005771BD">
        <w:rPr>
          <w:rFonts w:eastAsia="Calibri" w:cs="Arial"/>
          <w:szCs w:val="20"/>
          <w:lang w:val="sl-SI"/>
        </w:rPr>
        <w:t xml:space="preserve">[KM01] Poraba sredstev za varstvo rastlin </w:t>
      </w:r>
    </w:p>
    <w:p w:rsidR="00A3208F" w:rsidRPr="005771BD" w:rsidRDefault="00A3208F" w:rsidP="00A3208F">
      <w:pPr>
        <w:spacing w:line="276" w:lineRule="auto"/>
        <w:jc w:val="both"/>
        <w:rPr>
          <w:rFonts w:eastAsia="Calibri" w:cs="Arial"/>
          <w:szCs w:val="20"/>
          <w:lang w:val="sl-SI"/>
        </w:rPr>
      </w:pPr>
      <w:r w:rsidRPr="005771BD">
        <w:rPr>
          <w:rFonts w:eastAsia="Calibri" w:cs="Arial"/>
          <w:szCs w:val="20"/>
          <w:lang w:val="sl-SI"/>
        </w:rPr>
        <w:t>[KM02] Poraba mineralnih gnojil</w:t>
      </w:r>
    </w:p>
    <w:p w:rsidR="00A3208F" w:rsidRPr="005771BD" w:rsidRDefault="00A3208F" w:rsidP="00A3208F">
      <w:pPr>
        <w:spacing w:line="276" w:lineRule="auto"/>
        <w:jc w:val="both"/>
        <w:rPr>
          <w:rFonts w:eastAsia="Calibri" w:cs="Arial"/>
          <w:szCs w:val="20"/>
          <w:lang w:val="sl-SI"/>
        </w:rPr>
      </w:pPr>
      <w:r w:rsidRPr="005771BD">
        <w:rPr>
          <w:rFonts w:eastAsia="Calibri" w:cs="Arial"/>
          <w:szCs w:val="20"/>
          <w:lang w:val="sl-SI"/>
        </w:rPr>
        <w:t xml:space="preserve">[KM03] Površine zemljišč s kmetijsko-okoljskimi ukrepi </w:t>
      </w:r>
    </w:p>
    <w:p w:rsidR="00A3208F" w:rsidRPr="005771BD" w:rsidRDefault="00A3208F" w:rsidP="00A3208F">
      <w:pPr>
        <w:spacing w:line="276" w:lineRule="auto"/>
        <w:jc w:val="both"/>
        <w:rPr>
          <w:rFonts w:eastAsia="Calibri" w:cs="Arial"/>
          <w:szCs w:val="20"/>
          <w:lang w:val="sl-SI"/>
        </w:rPr>
      </w:pPr>
      <w:r w:rsidRPr="005771BD">
        <w:rPr>
          <w:rFonts w:eastAsia="Calibri" w:cs="Arial"/>
          <w:szCs w:val="20"/>
          <w:lang w:val="sl-SI"/>
        </w:rPr>
        <w:t xml:space="preserve">[KM04] Intenzivnost kmetijstva </w:t>
      </w:r>
    </w:p>
    <w:p w:rsidR="00A3208F" w:rsidRPr="005771BD" w:rsidRDefault="00A3208F" w:rsidP="00A3208F">
      <w:pPr>
        <w:spacing w:line="276" w:lineRule="auto"/>
        <w:jc w:val="both"/>
        <w:rPr>
          <w:rFonts w:eastAsia="Calibri" w:cs="Arial"/>
          <w:szCs w:val="20"/>
          <w:lang w:val="sl-SI"/>
        </w:rPr>
      </w:pPr>
      <w:r w:rsidRPr="005771BD">
        <w:rPr>
          <w:rFonts w:eastAsia="Calibri" w:cs="Arial"/>
          <w:szCs w:val="20"/>
          <w:lang w:val="sl-SI"/>
        </w:rPr>
        <w:t>[KM05] Kmetijska območja visoke naravne vrednosti</w:t>
      </w:r>
    </w:p>
    <w:p w:rsidR="00A3208F" w:rsidRPr="005771BD" w:rsidRDefault="00A3208F" w:rsidP="00A3208F">
      <w:pPr>
        <w:spacing w:line="276" w:lineRule="auto"/>
        <w:jc w:val="both"/>
        <w:rPr>
          <w:rFonts w:eastAsia="Calibri" w:cs="Arial"/>
          <w:szCs w:val="20"/>
          <w:lang w:val="sl-SI"/>
        </w:rPr>
      </w:pPr>
      <w:r w:rsidRPr="005771BD">
        <w:rPr>
          <w:rFonts w:eastAsia="Calibri" w:cs="Arial"/>
          <w:szCs w:val="20"/>
          <w:lang w:val="sl-SI"/>
        </w:rPr>
        <w:t>[KM06] Varovana območja narave in kmetijstvo</w:t>
      </w:r>
    </w:p>
    <w:p w:rsidR="00A3208F" w:rsidRPr="005771BD" w:rsidRDefault="00A3208F" w:rsidP="00A3208F">
      <w:pPr>
        <w:spacing w:line="276" w:lineRule="auto"/>
        <w:jc w:val="both"/>
        <w:rPr>
          <w:rFonts w:eastAsia="Calibri" w:cs="Arial"/>
          <w:szCs w:val="20"/>
          <w:lang w:val="sl-SI"/>
        </w:rPr>
      </w:pPr>
      <w:r w:rsidRPr="005771BD">
        <w:rPr>
          <w:rFonts w:eastAsia="Calibri" w:cs="Arial"/>
          <w:szCs w:val="20"/>
          <w:lang w:val="sl-SI"/>
        </w:rPr>
        <w:t>[KM08] Površine zemljišč z ekološkim kmetovanjem</w:t>
      </w:r>
    </w:p>
    <w:p w:rsidR="00A3208F" w:rsidRPr="005771BD" w:rsidRDefault="00A3208F" w:rsidP="00A3208F">
      <w:pPr>
        <w:spacing w:line="276" w:lineRule="auto"/>
        <w:jc w:val="both"/>
        <w:rPr>
          <w:rFonts w:eastAsia="Calibri" w:cs="Arial"/>
          <w:szCs w:val="20"/>
          <w:lang w:val="sl-SI"/>
        </w:rPr>
      </w:pPr>
      <w:r w:rsidRPr="005771BD">
        <w:rPr>
          <w:rFonts w:eastAsia="Calibri" w:cs="Arial"/>
          <w:szCs w:val="20"/>
          <w:lang w:val="sl-SI"/>
        </w:rPr>
        <w:t>[KM10] Sprememba rabe zemljišč in kmetijstvo</w:t>
      </w:r>
    </w:p>
    <w:p w:rsidR="00A3208F" w:rsidRPr="005771BD" w:rsidRDefault="00A3208F" w:rsidP="00A3208F">
      <w:pPr>
        <w:spacing w:line="276" w:lineRule="auto"/>
        <w:jc w:val="both"/>
        <w:rPr>
          <w:rFonts w:eastAsia="Calibri" w:cs="Arial"/>
          <w:szCs w:val="20"/>
          <w:lang w:val="sl-SI"/>
        </w:rPr>
      </w:pPr>
      <w:r w:rsidRPr="005771BD">
        <w:rPr>
          <w:rFonts w:eastAsia="Calibri" w:cs="Arial"/>
          <w:szCs w:val="20"/>
          <w:lang w:val="sl-SI"/>
        </w:rPr>
        <w:t xml:space="preserve">[KM11] Načini gospodarjenja na kmetijah </w:t>
      </w:r>
    </w:p>
    <w:p w:rsidR="00A3208F" w:rsidRPr="005771BD" w:rsidRDefault="00A3208F" w:rsidP="00A3208F">
      <w:pPr>
        <w:spacing w:line="276" w:lineRule="auto"/>
        <w:jc w:val="both"/>
        <w:rPr>
          <w:rFonts w:eastAsia="Calibri" w:cs="Arial"/>
          <w:szCs w:val="20"/>
          <w:lang w:val="sl-SI"/>
        </w:rPr>
      </w:pPr>
      <w:r w:rsidRPr="005771BD">
        <w:rPr>
          <w:rFonts w:eastAsia="Calibri" w:cs="Arial"/>
          <w:szCs w:val="20"/>
          <w:lang w:val="sl-SI"/>
        </w:rPr>
        <w:t xml:space="preserve">[KM12] Specializacija in diverzifikacija kmetijstva </w:t>
      </w:r>
    </w:p>
    <w:p w:rsidR="00A3208F" w:rsidRPr="005771BD" w:rsidRDefault="00A3208F" w:rsidP="00A3208F">
      <w:pPr>
        <w:spacing w:line="276" w:lineRule="auto"/>
        <w:jc w:val="both"/>
        <w:rPr>
          <w:rFonts w:eastAsia="Calibri" w:cs="Arial"/>
          <w:szCs w:val="20"/>
          <w:lang w:val="sl-SI"/>
        </w:rPr>
      </w:pPr>
      <w:r w:rsidRPr="005771BD">
        <w:rPr>
          <w:rFonts w:eastAsia="Calibri" w:cs="Arial"/>
          <w:szCs w:val="20"/>
          <w:lang w:val="sl-SI"/>
        </w:rPr>
        <w:t xml:space="preserve">[KM13] Izpusti amoniaka v kmetijstvu </w:t>
      </w:r>
    </w:p>
    <w:p w:rsidR="00A3208F" w:rsidRPr="005771BD" w:rsidRDefault="00A3208F" w:rsidP="00A3208F">
      <w:pPr>
        <w:spacing w:line="276" w:lineRule="auto"/>
        <w:jc w:val="both"/>
        <w:rPr>
          <w:rFonts w:eastAsia="Calibri" w:cs="Arial"/>
          <w:szCs w:val="20"/>
          <w:lang w:val="sl-SI"/>
        </w:rPr>
      </w:pPr>
      <w:r w:rsidRPr="005771BD">
        <w:rPr>
          <w:rFonts w:eastAsia="Calibri" w:cs="Arial"/>
          <w:szCs w:val="20"/>
          <w:lang w:val="sl-SI"/>
        </w:rPr>
        <w:t xml:space="preserve">[KM18] Nitrati v podzemni vodi in kmetijstvo </w:t>
      </w:r>
    </w:p>
    <w:p w:rsidR="00A3208F" w:rsidRPr="005771BD" w:rsidRDefault="00A3208F" w:rsidP="00A3208F">
      <w:pPr>
        <w:spacing w:line="276" w:lineRule="auto"/>
        <w:jc w:val="both"/>
        <w:rPr>
          <w:rFonts w:eastAsia="Calibri" w:cs="Arial"/>
          <w:szCs w:val="20"/>
          <w:lang w:val="sl-SI"/>
        </w:rPr>
      </w:pPr>
      <w:r w:rsidRPr="005771BD">
        <w:rPr>
          <w:rFonts w:eastAsia="Calibri" w:cs="Arial"/>
          <w:szCs w:val="20"/>
          <w:lang w:val="sl-SI"/>
        </w:rPr>
        <w:t>[KM19] Sredstva za varstvo rastlin in njihovi razgradni produkti v podzemni vodi</w:t>
      </w:r>
    </w:p>
    <w:p w:rsidR="00A3208F" w:rsidRPr="005771BD" w:rsidRDefault="00A3208F" w:rsidP="00A3208F">
      <w:pPr>
        <w:spacing w:line="276" w:lineRule="auto"/>
        <w:jc w:val="both"/>
        <w:rPr>
          <w:rFonts w:eastAsia="Calibri" w:cs="Arial"/>
          <w:szCs w:val="20"/>
          <w:lang w:val="sl-SI"/>
        </w:rPr>
      </w:pPr>
      <w:r w:rsidRPr="005771BD">
        <w:rPr>
          <w:rFonts w:eastAsia="Calibri" w:cs="Arial"/>
          <w:szCs w:val="20"/>
          <w:lang w:val="sl-SI"/>
        </w:rPr>
        <w:t>[KM21] Namakanje kmetijskih zemljišč</w:t>
      </w:r>
    </w:p>
    <w:p w:rsidR="00A3208F" w:rsidRPr="005771BD" w:rsidRDefault="00A3208F" w:rsidP="00A3208F">
      <w:pPr>
        <w:spacing w:line="276" w:lineRule="auto"/>
        <w:jc w:val="both"/>
        <w:rPr>
          <w:rFonts w:eastAsia="Calibri" w:cs="Arial"/>
          <w:szCs w:val="20"/>
          <w:lang w:val="sl-SI"/>
        </w:rPr>
      </w:pPr>
      <w:r w:rsidRPr="005771BD">
        <w:rPr>
          <w:rFonts w:eastAsia="Calibri" w:cs="Arial"/>
          <w:szCs w:val="20"/>
          <w:lang w:val="sl-SI"/>
        </w:rPr>
        <w:t>[KM22] Bilanca dušika v kmetijstvu</w:t>
      </w:r>
    </w:p>
    <w:p w:rsidR="00A3208F" w:rsidRPr="005771BD" w:rsidRDefault="00A3208F" w:rsidP="00A3208F">
      <w:pPr>
        <w:spacing w:line="276" w:lineRule="auto"/>
        <w:jc w:val="both"/>
        <w:rPr>
          <w:rFonts w:eastAsia="Calibri" w:cs="Arial"/>
          <w:szCs w:val="20"/>
          <w:lang w:val="sl-SI"/>
        </w:rPr>
      </w:pPr>
      <w:r w:rsidRPr="005771BD">
        <w:rPr>
          <w:rFonts w:eastAsia="Calibri" w:cs="Arial"/>
          <w:szCs w:val="20"/>
          <w:lang w:val="sl-SI"/>
        </w:rPr>
        <w:t xml:space="preserve">[NV01] Varovana območja narave </w:t>
      </w:r>
    </w:p>
    <w:p w:rsidR="00A3208F" w:rsidRPr="005771BD" w:rsidRDefault="00A3208F" w:rsidP="00A3208F">
      <w:pPr>
        <w:spacing w:line="276" w:lineRule="auto"/>
        <w:jc w:val="both"/>
        <w:rPr>
          <w:rFonts w:eastAsia="Calibri" w:cs="Arial"/>
          <w:szCs w:val="20"/>
          <w:lang w:val="sl-SI"/>
        </w:rPr>
      </w:pPr>
      <w:r w:rsidRPr="005771BD">
        <w:rPr>
          <w:rFonts w:eastAsia="Calibri" w:cs="Arial"/>
          <w:szCs w:val="20"/>
          <w:lang w:val="sl-SI"/>
        </w:rPr>
        <w:t xml:space="preserve">[NV02] Zavarovana območja </w:t>
      </w:r>
    </w:p>
    <w:p w:rsidR="00A3208F" w:rsidRPr="005771BD" w:rsidRDefault="00A3208F" w:rsidP="00A3208F">
      <w:pPr>
        <w:spacing w:line="276" w:lineRule="auto"/>
        <w:jc w:val="both"/>
        <w:rPr>
          <w:rFonts w:eastAsia="Calibri" w:cs="Arial"/>
          <w:szCs w:val="20"/>
          <w:lang w:val="sl-SI"/>
        </w:rPr>
      </w:pPr>
      <w:r w:rsidRPr="005771BD">
        <w:rPr>
          <w:rFonts w:eastAsia="Calibri" w:cs="Arial"/>
          <w:szCs w:val="20"/>
          <w:lang w:val="sl-SI"/>
        </w:rPr>
        <w:t xml:space="preserve">[NV03] Natura 2000 </w:t>
      </w:r>
    </w:p>
    <w:p w:rsidR="00A3208F" w:rsidRPr="005771BD" w:rsidRDefault="00A3208F" w:rsidP="00A3208F">
      <w:pPr>
        <w:spacing w:line="276" w:lineRule="auto"/>
        <w:jc w:val="both"/>
        <w:rPr>
          <w:rFonts w:eastAsia="Calibri" w:cs="Arial"/>
          <w:szCs w:val="20"/>
          <w:lang w:val="sl-SI"/>
        </w:rPr>
      </w:pPr>
      <w:r w:rsidRPr="005771BD">
        <w:rPr>
          <w:rFonts w:eastAsia="Calibri" w:cs="Arial"/>
          <w:szCs w:val="20"/>
          <w:lang w:val="sl-SI"/>
        </w:rPr>
        <w:t>[VD 04] Kakovost vodotokov</w:t>
      </w:r>
    </w:p>
    <w:p w:rsidR="00A3208F" w:rsidRPr="005771BD" w:rsidRDefault="00A3208F" w:rsidP="00A3208F">
      <w:pPr>
        <w:spacing w:line="276" w:lineRule="auto"/>
        <w:jc w:val="both"/>
        <w:rPr>
          <w:rFonts w:eastAsia="Calibri" w:cs="Arial"/>
          <w:szCs w:val="20"/>
          <w:lang w:val="sl-SI"/>
        </w:rPr>
      </w:pPr>
      <w:r w:rsidRPr="005771BD">
        <w:rPr>
          <w:rFonts w:eastAsia="Calibri" w:cs="Arial"/>
          <w:szCs w:val="20"/>
          <w:lang w:val="sl-SI"/>
        </w:rPr>
        <w:t>[VD05] Nitrati v podzemni vodi</w:t>
      </w:r>
    </w:p>
    <w:p w:rsidR="00A3208F" w:rsidRPr="005771BD" w:rsidRDefault="00A3208F" w:rsidP="00A3208F">
      <w:pPr>
        <w:spacing w:line="276" w:lineRule="auto"/>
        <w:jc w:val="both"/>
        <w:rPr>
          <w:rFonts w:eastAsia="Calibri" w:cs="Arial"/>
          <w:szCs w:val="20"/>
          <w:lang w:val="sl-SI"/>
        </w:rPr>
      </w:pPr>
      <w:r w:rsidRPr="005771BD">
        <w:rPr>
          <w:rFonts w:eastAsia="Calibri" w:cs="Arial"/>
          <w:szCs w:val="20"/>
          <w:lang w:val="sl-SI"/>
        </w:rPr>
        <w:t>[VD06] Pesticidi v podzemni vode</w:t>
      </w:r>
    </w:p>
    <w:p w:rsidR="00A3208F" w:rsidRPr="005771BD" w:rsidRDefault="00A3208F" w:rsidP="00A3208F">
      <w:pPr>
        <w:spacing w:line="276" w:lineRule="auto"/>
        <w:jc w:val="both"/>
        <w:rPr>
          <w:rFonts w:eastAsia="Calibri" w:cs="Arial"/>
          <w:szCs w:val="20"/>
          <w:lang w:val="sl-SI"/>
        </w:rPr>
      </w:pPr>
      <w:r w:rsidRPr="005771BD">
        <w:rPr>
          <w:rFonts w:eastAsia="Calibri" w:cs="Arial"/>
          <w:szCs w:val="20"/>
          <w:lang w:val="sl-SI"/>
        </w:rPr>
        <w:t>[VD 08] Kakovost pitne vode</w:t>
      </w:r>
    </w:p>
    <w:p w:rsidR="00A3208F" w:rsidRPr="005771BD" w:rsidRDefault="00A3208F" w:rsidP="00A3208F">
      <w:pPr>
        <w:spacing w:line="276" w:lineRule="auto"/>
        <w:jc w:val="both"/>
        <w:rPr>
          <w:rFonts w:eastAsia="Calibri" w:cs="Arial"/>
          <w:szCs w:val="20"/>
          <w:lang w:val="sl-SI"/>
        </w:rPr>
      </w:pPr>
      <w:r w:rsidRPr="005771BD">
        <w:rPr>
          <w:rFonts w:eastAsia="Calibri" w:cs="Arial"/>
          <w:szCs w:val="20"/>
          <w:lang w:val="sl-SI"/>
        </w:rPr>
        <w:t>[VD 09] Kakovost celinskih kopalnih voda</w:t>
      </w:r>
    </w:p>
    <w:p w:rsidR="00A3208F" w:rsidRPr="005771BD" w:rsidRDefault="00A3208F" w:rsidP="00A3208F">
      <w:pPr>
        <w:spacing w:after="360" w:line="276" w:lineRule="auto"/>
        <w:jc w:val="both"/>
        <w:rPr>
          <w:rFonts w:eastAsia="Calibri" w:cs="Arial"/>
          <w:szCs w:val="20"/>
          <w:lang w:val="sl-SI"/>
        </w:rPr>
      </w:pPr>
      <w:r w:rsidRPr="005771BD">
        <w:rPr>
          <w:rFonts w:eastAsia="Calibri" w:cs="Arial"/>
          <w:szCs w:val="20"/>
          <w:lang w:val="sl-SI"/>
        </w:rPr>
        <w:t>[VD 10] Hranila in biokemijska potreba po kisiku v rekah</w:t>
      </w:r>
    </w:p>
    <w:p w:rsidR="00A3208F" w:rsidRPr="005771BD" w:rsidRDefault="00607481" w:rsidP="00A3208F">
      <w:pPr>
        <w:spacing w:after="200" w:line="276" w:lineRule="auto"/>
        <w:jc w:val="both"/>
        <w:rPr>
          <w:rFonts w:eastAsia="Calibri" w:cs="Arial"/>
          <w:szCs w:val="20"/>
          <w:u w:val="single"/>
          <w:lang w:val="sl-SI"/>
        </w:rPr>
      </w:pPr>
      <w:r>
        <w:rPr>
          <w:rFonts w:eastAsia="Calibri" w:cs="Arial"/>
          <w:b/>
          <w:szCs w:val="20"/>
          <w:u w:val="single"/>
          <w:lang w:val="sl-SI"/>
        </w:rPr>
        <w:t>8</w:t>
      </w:r>
      <w:r w:rsidR="00A3208F" w:rsidRPr="005771BD">
        <w:rPr>
          <w:rFonts w:eastAsia="Calibri" w:cs="Arial"/>
          <w:b/>
          <w:szCs w:val="20"/>
          <w:u w:val="single"/>
          <w:lang w:val="sl-SI"/>
        </w:rPr>
        <w:t>.8  Viri in literatura</w:t>
      </w:r>
    </w:p>
    <w:p w:rsidR="00A3208F" w:rsidRPr="005771BD" w:rsidRDefault="00A3208F" w:rsidP="00A3208F">
      <w:pPr>
        <w:spacing w:before="120" w:line="276" w:lineRule="auto"/>
        <w:jc w:val="both"/>
        <w:rPr>
          <w:rFonts w:eastAsia="Calibri" w:cs="Arial"/>
          <w:szCs w:val="20"/>
          <w:lang w:val="sl-SI"/>
        </w:rPr>
      </w:pPr>
      <w:r w:rsidRPr="005771BD">
        <w:rPr>
          <w:rFonts w:eastAsia="Calibri" w:cs="Arial"/>
          <w:szCs w:val="20"/>
          <w:lang w:val="sl-SI"/>
        </w:rPr>
        <w:t xml:space="preserve">Geološki zavod Slovenije, </w:t>
      </w:r>
      <w:r w:rsidRPr="005771BD">
        <w:rPr>
          <w:rFonts w:eastAsia="Calibri" w:cs="Arial"/>
          <w:i/>
          <w:szCs w:val="20"/>
          <w:lang w:val="sl-SI"/>
        </w:rPr>
        <w:t>Okoljsko poročilo Splošnega načrta državnega programa gospodarjenja z mineralnimi surovinami</w:t>
      </w:r>
      <w:r w:rsidRPr="005771BD">
        <w:rPr>
          <w:rFonts w:eastAsia="Calibri" w:cs="Arial"/>
          <w:szCs w:val="20"/>
          <w:lang w:val="sl-SI"/>
        </w:rPr>
        <w:t xml:space="preserve">, 2007  </w:t>
      </w:r>
    </w:p>
    <w:p w:rsidR="00A3208F" w:rsidRPr="005771BD" w:rsidRDefault="00A3208F" w:rsidP="00A3208F">
      <w:pPr>
        <w:spacing w:before="120" w:line="276" w:lineRule="auto"/>
        <w:jc w:val="both"/>
        <w:rPr>
          <w:rFonts w:eastAsia="Calibri" w:cs="Arial"/>
          <w:szCs w:val="20"/>
          <w:lang w:val="sl-SI"/>
        </w:rPr>
      </w:pPr>
      <w:r w:rsidRPr="005771BD">
        <w:rPr>
          <w:rFonts w:eastAsia="Calibri" w:cs="Arial"/>
          <w:szCs w:val="20"/>
          <w:lang w:val="sl-SI"/>
        </w:rPr>
        <w:t>Ivartnik</w:t>
      </w:r>
      <w:r>
        <w:rPr>
          <w:rFonts w:eastAsia="Calibri" w:cs="Arial"/>
          <w:szCs w:val="20"/>
          <w:lang w:val="sl-SI"/>
        </w:rPr>
        <w:t>,</w:t>
      </w:r>
      <w:r w:rsidRPr="005771BD">
        <w:rPr>
          <w:rFonts w:eastAsia="Calibri" w:cs="Arial"/>
          <w:szCs w:val="20"/>
          <w:lang w:val="sl-SI"/>
        </w:rPr>
        <w:t xml:space="preserve"> M., Pavlič</w:t>
      </w:r>
      <w:r>
        <w:rPr>
          <w:rFonts w:eastAsia="Calibri" w:cs="Arial"/>
          <w:szCs w:val="20"/>
          <w:lang w:val="sl-SI"/>
        </w:rPr>
        <w:t>,</w:t>
      </w:r>
      <w:r w:rsidRPr="005771BD">
        <w:rPr>
          <w:rFonts w:eastAsia="Calibri" w:cs="Arial"/>
          <w:szCs w:val="20"/>
          <w:lang w:val="sl-SI"/>
        </w:rPr>
        <w:t xml:space="preserve"> H., Hudopisk</w:t>
      </w:r>
      <w:r>
        <w:rPr>
          <w:rFonts w:eastAsia="Calibri" w:cs="Arial"/>
          <w:szCs w:val="20"/>
          <w:lang w:val="sl-SI"/>
        </w:rPr>
        <w:t>,</w:t>
      </w:r>
      <w:r w:rsidRPr="005771BD">
        <w:rPr>
          <w:rFonts w:eastAsia="Calibri" w:cs="Arial"/>
          <w:szCs w:val="20"/>
          <w:lang w:val="sl-SI"/>
        </w:rPr>
        <w:t xml:space="preserve"> N., Simetinger</w:t>
      </w:r>
      <w:r>
        <w:rPr>
          <w:rFonts w:eastAsia="Calibri" w:cs="Arial"/>
          <w:szCs w:val="20"/>
          <w:lang w:val="sl-SI"/>
        </w:rPr>
        <w:t>,</w:t>
      </w:r>
      <w:r w:rsidRPr="005771BD">
        <w:rPr>
          <w:rFonts w:eastAsia="Calibri" w:cs="Arial"/>
          <w:szCs w:val="20"/>
          <w:lang w:val="sl-SI"/>
        </w:rPr>
        <w:t xml:space="preserve"> M., Hočevar</w:t>
      </w:r>
      <w:r>
        <w:rPr>
          <w:rFonts w:eastAsia="Calibri" w:cs="Arial"/>
          <w:szCs w:val="20"/>
          <w:lang w:val="sl-SI"/>
        </w:rPr>
        <w:t>,</w:t>
      </w:r>
      <w:r w:rsidRPr="005771BD">
        <w:rPr>
          <w:rFonts w:eastAsia="Calibri" w:cs="Arial"/>
          <w:szCs w:val="20"/>
          <w:lang w:val="sl-SI"/>
        </w:rPr>
        <w:t xml:space="preserve"> B., Ploder</w:t>
      </w:r>
      <w:r>
        <w:rPr>
          <w:rFonts w:eastAsia="Calibri" w:cs="Arial"/>
          <w:szCs w:val="20"/>
          <w:lang w:val="sl-SI"/>
        </w:rPr>
        <w:t>,</w:t>
      </w:r>
      <w:r w:rsidRPr="005771BD">
        <w:rPr>
          <w:rFonts w:eastAsia="Calibri" w:cs="Arial"/>
          <w:szCs w:val="20"/>
          <w:lang w:val="sl-SI"/>
        </w:rPr>
        <w:t xml:space="preserve"> J., 2016. </w:t>
      </w:r>
      <w:r w:rsidRPr="005771BD">
        <w:rPr>
          <w:rFonts w:eastAsia="Calibri" w:cs="Arial"/>
          <w:i/>
          <w:szCs w:val="20"/>
          <w:lang w:val="sl-SI"/>
        </w:rPr>
        <w:t>Poročilo o izvajanju programa ukrepov za izboljšanje kakovosti okolja v Zgornji Mežiški dolini v letu 2015</w:t>
      </w:r>
      <w:r w:rsidRPr="005771BD">
        <w:rPr>
          <w:rFonts w:eastAsia="Calibri" w:cs="Arial"/>
          <w:szCs w:val="20"/>
          <w:lang w:val="sl-SI"/>
        </w:rPr>
        <w:t xml:space="preserve">. Dostopno na: </w:t>
      </w:r>
      <w:hyperlink r:id="rId149" w:history="1">
        <w:r w:rsidRPr="005771BD">
          <w:rPr>
            <w:rFonts w:eastAsia="Calibri" w:cs="Arial"/>
            <w:color w:val="0000FF"/>
            <w:szCs w:val="20"/>
            <w:u w:val="single"/>
            <w:lang w:val="sl-SI"/>
          </w:rPr>
          <w:t>http://www.sanacija-svinec.si/public/PORO%C4%8CILO_2015.pdf</w:t>
        </w:r>
      </w:hyperlink>
      <w:r w:rsidRPr="005771BD">
        <w:rPr>
          <w:rFonts w:eastAsia="Calibri" w:cs="Arial"/>
          <w:szCs w:val="20"/>
          <w:lang w:val="sl-SI"/>
        </w:rPr>
        <w:t xml:space="preserve"> (avgust, 2016)</w:t>
      </w:r>
    </w:p>
    <w:p w:rsidR="00A3208F" w:rsidRPr="005771BD" w:rsidRDefault="00A3208F" w:rsidP="00A3208F">
      <w:pPr>
        <w:spacing w:before="120" w:line="276" w:lineRule="auto"/>
        <w:ind w:right="-433"/>
        <w:jc w:val="both"/>
        <w:rPr>
          <w:rFonts w:eastAsia="Calibri" w:cs="Arial"/>
          <w:szCs w:val="20"/>
          <w:lang w:val="sl-SI"/>
        </w:rPr>
      </w:pPr>
      <w:r w:rsidRPr="005771BD">
        <w:rPr>
          <w:rFonts w:eastAsia="Calibri" w:cs="Arial"/>
          <w:szCs w:val="20"/>
          <w:lang w:val="sl-SI"/>
        </w:rPr>
        <w:t xml:space="preserve">Ministrstvo za kmetijstvo, gozdarstvo in prehrano. </w:t>
      </w:r>
      <w:r w:rsidRPr="005771BD">
        <w:rPr>
          <w:rFonts w:eastAsia="Calibri" w:cs="Arial"/>
          <w:i/>
          <w:szCs w:val="20"/>
          <w:lang w:val="sl-SI"/>
        </w:rPr>
        <w:t>Program razvoja podeželja za obdobje 2014–2020</w:t>
      </w:r>
    </w:p>
    <w:p w:rsidR="00A3208F" w:rsidRPr="005771BD" w:rsidRDefault="00A3208F" w:rsidP="00A3208F">
      <w:pPr>
        <w:spacing w:before="120" w:line="276" w:lineRule="auto"/>
        <w:jc w:val="both"/>
        <w:rPr>
          <w:rFonts w:eastAsia="Calibri" w:cs="Arial"/>
          <w:i/>
          <w:szCs w:val="20"/>
          <w:lang w:val="sl-SI"/>
        </w:rPr>
      </w:pPr>
      <w:r w:rsidRPr="005771BD">
        <w:rPr>
          <w:rFonts w:eastAsia="Calibri" w:cs="Arial"/>
          <w:szCs w:val="20"/>
          <w:lang w:val="sl-SI"/>
        </w:rPr>
        <w:t xml:space="preserve">Ministrstvo za infrastrukturo. </w:t>
      </w:r>
      <w:r w:rsidRPr="005771BD">
        <w:rPr>
          <w:rFonts w:eastAsia="Calibri" w:cs="Arial"/>
          <w:i/>
          <w:szCs w:val="20"/>
          <w:lang w:val="sl-SI"/>
        </w:rPr>
        <w:t xml:space="preserve">Resolucija o prometni politiki Republike Slovenije (RePPRS) (Intermodalnost: čas za sinergijo). </w:t>
      </w:r>
    </w:p>
    <w:p w:rsidR="00A3208F" w:rsidRPr="005771BD" w:rsidRDefault="00A3208F" w:rsidP="00A3208F">
      <w:pPr>
        <w:spacing w:before="120" w:line="276" w:lineRule="auto"/>
        <w:jc w:val="both"/>
        <w:rPr>
          <w:rFonts w:eastAsia="Calibri" w:cs="Arial"/>
          <w:szCs w:val="20"/>
          <w:lang w:val="sl-SI"/>
        </w:rPr>
      </w:pPr>
      <w:r w:rsidRPr="005771BD">
        <w:rPr>
          <w:rFonts w:eastAsia="Calibri" w:cs="Arial"/>
          <w:szCs w:val="20"/>
          <w:lang w:val="sl-SI"/>
        </w:rPr>
        <w:t xml:space="preserve">Evropska </w:t>
      </w:r>
      <w:r>
        <w:rPr>
          <w:rFonts w:eastAsia="Calibri" w:cs="Arial"/>
          <w:szCs w:val="20"/>
          <w:lang w:val="sl-SI"/>
        </w:rPr>
        <w:t>k</w:t>
      </w:r>
      <w:r w:rsidRPr="005771BD">
        <w:rPr>
          <w:rFonts w:eastAsia="Calibri" w:cs="Arial"/>
          <w:szCs w:val="20"/>
          <w:lang w:val="sl-SI"/>
        </w:rPr>
        <w:t xml:space="preserve">omisija. 2006. </w:t>
      </w:r>
      <w:r w:rsidRPr="005771BD">
        <w:rPr>
          <w:rFonts w:eastAsia="Calibri" w:cs="Arial"/>
          <w:i/>
          <w:szCs w:val="20"/>
          <w:lang w:val="sl-SI"/>
        </w:rPr>
        <w:t>Tematska strategija za varstvo tal</w:t>
      </w:r>
      <w:r w:rsidRPr="005771BD">
        <w:rPr>
          <w:rFonts w:eastAsia="Calibri" w:cs="Arial"/>
          <w:szCs w:val="20"/>
          <w:lang w:val="sl-SI"/>
        </w:rPr>
        <w:t xml:space="preserve"> </w:t>
      </w:r>
    </w:p>
    <w:p w:rsidR="00A3208F" w:rsidRPr="005771BD" w:rsidRDefault="00A3208F" w:rsidP="00A3208F">
      <w:pPr>
        <w:spacing w:before="120" w:line="276" w:lineRule="auto"/>
        <w:jc w:val="both"/>
        <w:rPr>
          <w:rFonts w:eastAsia="Calibri" w:cs="Arial"/>
          <w:i/>
          <w:szCs w:val="20"/>
          <w:lang w:val="sl-SI"/>
        </w:rPr>
      </w:pPr>
      <w:r w:rsidRPr="005771BD">
        <w:rPr>
          <w:rFonts w:eastAsia="Calibri" w:cs="Arial"/>
          <w:szCs w:val="20"/>
          <w:lang w:val="sl-SI"/>
        </w:rPr>
        <w:t xml:space="preserve">Evropska </w:t>
      </w:r>
      <w:r>
        <w:rPr>
          <w:rFonts w:eastAsia="Calibri" w:cs="Arial"/>
          <w:szCs w:val="20"/>
          <w:lang w:val="sl-SI"/>
        </w:rPr>
        <w:t>k</w:t>
      </w:r>
      <w:r w:rsidRPr="005771BD">
        <w:rPr>
          <w:rFonts w:eastAsia="Calibri" w:cs="Arial"/>
          <w:szCs w:val="20"/>
          <w:lang w:val="sl-SI"/>
        </w:rPr>
        <w:t xml:space="preserve">omisija: 2011. </w:t>
      </w:r>
      <w:r w:rsidRPr="005771BD">
        <w:rPr>
          <w:rFonts w:eastAsia="Calibri" w:cs="Arial"/>
          <w:i/>
          <w:szCs w:val="20"/>
          <w:lang w:val="sl-SI"/>
        </w:rPr>
        <w:t>Časovni okvir za Evropo, gospodarno z viri</w:t>
      </w:r>
    </w:p>
    <w:p w:rsidR="00A3208F" w:rsidRPr="005771BD" w:rsidRDefault="00A3208F" w:rsidP="00A3208F">
      <w:pPr>
        <w:spacing w:before="120" w:line="276" w:lineRule="auto"/>
        <w:jc w:val="both"/>
        <w:rPr>
          <w:rFonts w:eastAsia="Calibri" w:cs="Arial"/>
          <w:szCs w:val="20"/>
          <w:lang w:val="sl-SI"/>
        </w:rPr>
      </w:pPr>
      <w:r w:rsidRPr="005771BD">
        <w:rPr>
          <w:rFonts w:eastAsia="Calibri" w:cs="Arial"/>
          <w:szCs w:val="20"/>
          <w:lang w:val="sl-SI"/>
        </w:rPr>
        <w:t xml:space="preserve">Vlada RS. 2009. </w:t>
      </w:r>
      <w:r w:rsidRPr="005771BD">
        <w:rPr>
          <w:rFonts w:eastAsia="Calibri" w:cs="Arial"/>
          <w:i/>
          <w:szCs w:val="20"/>
          <w:lang w:val="sl-SI"/>
        </w:rPr>
        <w:t>Državni program gospodarjenje z mineralnimi surovinami – splošni del</w:t>
      </w:r>
      <w:r w:rsidRPr="005771BD">
        <w:rPr>
          <w:rFonts w:eastAsia="Calibri" w:cs="Arial"/>
          <w:szCs w:val="20"/>
          <w:lang w:val="sl-SI"/>
        </w:rPr>
        <w:t>. Dostopno na:</w:t>
      </w:r>
    </w:p>
    <w:p w:rsidR="00A3208F" w:rsidRPr="005771BD" w:rsidRDefault="00A3208F" w:rsidP="00A3208F">
      <w:pPr>
        <w:spacing w:line="276" w:lineRule="auto"/>
        <w:jc w:val="both"/>
        <w:rPr>
          <w:rFonts w:eastAsia="Calibri" w:cs="Arial"/>
          <w:szCs w:val="20"/>
          <w:lang w:val="sl-SI"/>
        </w:rPr>
      </w:pPr>
      <w:r w:rsidRPr="005771BD">
        <w:rPr>
          <w:rFonts w:eastAsia="Calibri" w:cs="Arial"/>
          <w:szCs w:val="20"/>
          <w:lang w:val="sl-SI"/>
        </w:rPr>
        <w:t xml:space="preserve"> </w:t>
      </w:r>
      <w:hyperlink r:id="rId150" w:history="1">
        <w:r w:rsidRPr="005771BD">
          <w:rPr>
            <w:rFonts w:eastAsia="Calibri" w:cs="Arial"/>
            <w:color w:val="0000FF"/>
            <w:szCs w:val="20"/>
            <w:u w:val="single"/>
            <w:lang w:val="sl-SI"/>
          </w:rPr>
          <w:t>http://www.energetika-portal.si/fileadmin/dokumenti/publikacije/dp_min_sur/dp_spl_nacrt.pdf</w:t>
        </w:r>
      </w:hyperlink>
    </w:p>
    <w:p w:rsidR="00A3208F" w:rsidRPr="005771BD" w:rsidRDefault="00A3208F" w:rsidP="00A3208F">
      <w:pPr>
        <w:spacing w:before="120" w:line="276" w:lineRule="auto"/>
        <w:jc w:val="both"/>
        <w:rPr>
          <w:rFonts w:eastAsia="Calibri" w:cs="Arial"/>
          <w:szCs w:val="20"/>
          <w:lang w:val="sl-SI"/>
        </w:rPr>
      </w:pPr>
      <w:r w:rsidRPr="005771BD">
        <w:rPr>
          <w:rFonts w:eastAsia="Calibri" w:cs="Arial"/>
          <w:szCs w:val="20"/>
          <w:lang w:val="sl-SI"/>
        </w:rPr>
        <w:t>Vzorčenje tal na območju Zgornje Mežiške doline v okviru projekta Raziskave onesnaženosti tal v Sloveniji v letu 2008, 2010, 2011 in 2015</w:t>
      </w:r>
    </w:p>
    <w:p w:rsidR="00A3208F" w:rsidRPr="005771BD" w:rsidRDefault="00A3208F" w:rsidP="00A3208F">
      <w:pPr>
        <w:spacing w:before="120" w:line="276" w:lineRule="auto"/>
        <w:jc w:val="both"/>
        <w:rPr>
          <w:rFonts w:eastAsia="Calibri" w:cs="Arial"/>
          <w:szCs w:val="20"/>
          <w:lang w:val="sl-SI"/>
        </w:rPr>
      </w:pPr>
      <w:r w:rsidRPr="005771BD">
        <w:rPr>
          <w:rFonts w:eastAsia="Calibri" w:cs="Arial"/>
          <w:szCs w:val="20"/>
          <w:lang w:val="sl-SI"/>
        </w:rPr>
        <w:t>Zupan</w:t>
      </w:r>
      <w:r>
        <w:rPr>
          <w:rFonts w:eastAsia="Calibri" w:cs="Arial"/>
          <w:szCs w:val="20"/>
          <w:lang w:val="sl-SI"/>
        </w:rPr>
        <w:t>,</w:t>
      </w:r>
      <w:r w:rsidRPr="005771BD">
        <w:rPr>
          <w:rFonts w:eastAsia="Calibri" w:cs="Arial"/>
          <w:szCs w:val="20"/>
          <w:lang w:val="sl-SI"/>
        </w:rPr>
        <w:t xml:space="preserve"> M., Grčman</w:t>
      </w:r>
      <w:r>
        <w:rPr>
          <w:rFonts w:eastAsia="Calibri" w:cs="Arial"/>
          <w:szCs w:val="20"/>
          <w:lang w:val="sl-SI"/>
        </w:rPr>
        <w:t>,</w:t>
      </w:r>
      <w:r w:rsidRPr="005771BD">
        <w:rPr>
          <w:rFonts w:eastAsia="Calibri" w:cs="Arial"/>
          <w:szCs w:val="20"/>
          <w:lang w:val="sl-SI"/>
        </w:rPr>
        <w:t xml:space="preserve"> H., Lobnik</w:t>
      </w:r>
      <w:r>
        <w:rPr>
          <w:rFonts w:eastAsia="Calibri" w:cs="Arial"/>
          <w:szCs w:val="20"/>
          <w:lang w:val="sl-SI"/>
        </w:rPr>
        <w:t>,</w:t>
      </w:r>
      <w:r w:rsidRPr="005771BD">
        <w:rPr>
          <w:rFonts w:eastAsia="Calibri" w:cs="Arial"/>
          <w:szCs w:val="20"/>
          <w:lang w:val="sl-SI"/>
        </w:rPr>
        <w:t xml:space="preserve"> F. 2008. </w:t>
      </w:r>
      <w:r w:rsidRPr="005771BD">
        <w:rPr>
          <w:rFonts w:eastAsia="Calibri" w:cs="Arial"/>
          <w:i/>
          <w:szCs w:val="20"/>
          <w:lang w:val="sl-SI"/>
        </w:rPr>
        <w:t>Raziskave onesnaženosti tal Slovenije. Poročilo za leto 2007.</w:t>
      </w:r>
      <w:r w:rsidRPr="005771BD">
        <w:rPr>
          <w:rFonts w:eastAsia="Calibri" w:cs="Arial"/>
          <w:szCs w:val="20"/>
          <w:lang w:val="sl-SI"/>
        </w:rPr>
        <w:t xml:space="preserve"> Ljubljana: Agencija Republike Slovenije za okolje.</w:t>
      </w:r>
    </w:p>
    <w:p w:rsidR="00A3208F" w:rsidRPr="005771BD" w:rsidRDefault="00A3208F" w:rsidP="00A3208F">
      <w:pPr>
        <w:spacing w:before="120" w:line="276" w:lineRule="auto"/>
        <w:jc w:val="both"/>
        <w:rPr>
          <w:rFonts w:eastAsia="Calibri" w:cs="Arial"/>
          <w:szCs w:val="20"/>
          <w:lang w:val="sl-SI"/>
        </w:rPr>
      </w:pPr>
      <w:r w:rsidRPr="005771BD">
        <w:rPr>
          <w:rFonts w:eastAsia="Calibri" w:cs="Arial"/>
          <w:szCs w:val="20"/>
          <w:lang w:val="sl-SI"/>
        </w:rPr>
        <w:t>Zupan</w:t>
      </w:r>
      <w:r>
        <w:rPr>
          <w:rFonts w:eastAsia="Calibri" w:cs="Arial"/>
          <w:szCs w:val="20"/>
          <w:lang w:val="sl-SI"/>
        </w:rPr>
        <w:t>,</w:t>
      </w:r>
      <w:r w:rsidRPr="005771BD">
        <w:rPr>
          <w:rFonts w:eastAsia="Calibri" w:cs="Arial"/>
          <w:szCs w:val="20"/>
          <w:lang w:val="sl-SI"/>
        </w:rPr>
        <w:t xml:space="preserve"> M., Tič</w:t>
      </w:r>
      <w:r>
        <w:rPr>
          <w:rFonts w:eastAsia="Calibri" w:cs="Arial"/>
          <w:szCs w:val="20"/>
          <w:lang w:val="sl-SI"/>
        </w:rPr>
        <w:t>,</w:t>
      </w:r>
      <w:r w:rsidRPr="005771BD">
        <w:rPr>
          <w:rFonts w:eastAsia="Calibri" w:cs="Arial"/>
          <w:szCs w:val="20"/>
          <w:lang w:val="sl-SI"/>
        </w:rPr>
        <w:t xml:space="preserve"> I., Hodnik</w:t>
      </w:r>
      <w:r>
        <w:rPr>
          <w:rFonts w:eastAsia="Calibri" w:cs="Arial"/>
          <w:szCs w:val="20"/>
          <w:lang w:val="sl-SI"/>
        </w:rPr>
        <w:t>,</w:t>
      </w:r>
      <w:r w:rsidRPr="005771BD">
        <w:rPr>
          <w:rFonts w:eastAsia="Calibri" w:cs="Arial"/>
          <w:szCs w:val="20"/>
          <w:lang w:val="sl-SI"/>
        </w:rPr>
        <w:t xml:space="preserve"> A., Ilc</w:t>
      </w:r>
      <w:r>
        <w:rPr>
          <w:rFonts w:eastAsia="Calibri" w:cs="Arial"/>
          <w:szCs w:val="20"/>
          <w:lang w:val="sl-SI"/>
        </w:rPr>
        <w:t>,</w:t>
      </w:r>
      <w:r w:rsidRPr="005771BD">
        <w:rPr>
          <w:rFonts w:eastAsia="Calibri" w:cs="Arial"/>
          <w:szCs w:val="20"/>
          <w:lang w:val="sl-SI"/>
        </w:rPr>
        <w:t xml:space="preserve"> Z., Šijanec</w:t>
      </w:r>
      <w:r>
        <w:rPr>
          <w:rFonts w:eastAsia="Calibri" w:cs="Arial"/>
          <w:szCs w:val="20"/>
          <w:lang w:val="sl-SI"/>
        </w:rPr>
        <w:t>,</w:t>
      </w:r>
      <w:r w:rsidRPr="005771BD">
        <w:rPr>
          <w:rFonts w:eastAsia="Calibri" w:cs="Arial"/>
          <w:szCs w:val="20"/>
          <w:lang w:val="sl-SI"/>
        </w:rPr>
        <w:t xml:space="preserve"> V., Mohorovič</w:t>
      </w:r>
      <w:r>
        <w:rPr>
          <w:rFonts w:eastAsia="Calibri" w:cs="Arial"/>
          <w:szCs w:val="20"/>
          <w:lang w:val="sl-SI"/>
        </w:rPr>
        <w:t>,</w:t>
      </w:r>
      <w:r w:rsidRPr="005771BD">
        <w:rPr>
          <w:rFonts w:eastAsia="Calibri" w:cs="Arial"/>
          <w:szCs w:val="20"/>
          <w:lang w:val="sl-SI"/>
        </w:rPr>
        <w:t xml:space="preserve"> B., Prus</w:t>
      </w:r>
      <w:r>
        <w:rPr>
          <w:rFonts w:eastAsia="Calibri" w:cs="Arial"/>
          <w:szCs w:val="20"/>
          <w:lang w:val="sl-SI"/>
        </w:rPr>
        <w:t>,</w:t>
      </w:r>
      <w:r w:rsidRPr="005771BD">
        <w:rPr>
          <w:rFonts w:eastAsia="Calibri" w:cs="Arial"/>
          <w:szCs w:val="20"/>
          <w:lang w:val="sl-SI"/>
        </w:rPr>
        <w:t xml:space="preserve"> T., Mihelič</w:t>
      </w:r>
      <w:r>
        <w:rPr>
          <w:rFonts w:eastAsia="Calibri" w:cs="Arial"/>
          <w:szCs w:val="20"/>
          <w:lang w:val="sl-SI"/>
        </w:rPr>
        <w:t>,</w:t>
      </w:r>
      <w:r w:rsidRPr="005771BD">
        <w:rPr>
          <w:rFonts w:eastAsia="Calibri" w:cs="Arial"/>
          <w:szCs w:val="20"/>
          <w:lang w:val="sl-SI"/>
        </w:rPr>
        <w:t xml:space="preserve"> R., Kralj</w:t>
      </w:r>
      <w:r>
        <w:rPr>
          <w:rFonts w:eastAsia="Calibri" w:cs="Arial"/>
          <w:szCs w:val="20"/>
          <w:lang w:val="sl-SI"/>
        </w:rPr>
        <w:t>,</w:t>
      </w:r>
      <w:r w:rsidRPr="005771BD">
        <w:rPr>
          <w:rFonts w:eastAsia="Calibri" w:cs="Arial"/>
          <w:szCs w:val="20"/>
          <w:lang w:val="sl-SI"/>
        </w:rPr>
        <w:t xml:space="preserve"> T., Kralj., T., Šijanec M., 2010.  </w:t>
      </w:r>
      <w:r w:rsidRPr="005771BD">
        <w:rPr>
          <w:rFonts w:eastAsia="Calibri" w:cs="Arial"/>
          <w:i/>
          <w:szCs w:val="20"/>
          <w:lang w:val="sl-SI"/>
        </w:rPr>
        <w:t>Raziskave onesnaženosti tal in monitoring tal v Sloveniji v letu 2010. Medfazno poročilo za leto 2010</w:t>
      </w:r>
      <w:r w:rsidRPr="005771BD">
        <w:rPr>
          <w:rFonts w:eastAsia="Calibri" w:cs="Arial"/>
          <w:szCs w:val="20"/>
          <w:lang w:val="sl-SI"/>
        </w:rPr>
        <w:t>. Ljubljana: Agencija Republike Slovenije za okolje.</w:t>
      </w:r>
    </w:p>
    <w:p w:rsidR="00A3208F" w:rsidRPr="005771BD" w:rsidRDefault="00A3208F" w:rsidP="00A3208F">
      <w:pPr>
        <w:spacing w:before="120" w:line="276" w:lineRule="auto"/>
        <w:jc w:val="both"/>
        <w:rPr>
          <w:rFonts w:eastAsia="Calibri" w:cs="Arial"/>
          <w:szCs w:val="20"/>
          <w:lang w:val="sl-SI"/>
        </w:rPr>
      </w:pPr>
      <w:r w:rsidRPr="005771BD">
        <w:rPr>
          <w:rFonts w:eastAsia="Calibri" w:cs="Arial"/>
          <w:szCs w:val="20"/>
          <w:lang w:val="sl-SI"/>
        </w:rPr>
        <w:t>Zupan</w:t>
      </w:r>
      <w:r>
        <w:rPr>
          <w:rFonts w:eastAsia="Calibri" w:cs="Arial"/>
          <w:szCs w:val="20"/>
          <w:lang w:val="sl-SI"/>
        </w:rPr>
        <w:t>,</w:t>
      </w:r>
      <w:r w:rsidRPr="005771BD">
        <w:rPr>
          <w:rFonts w:eastAsia="Calibri" w:cs="Arial"/>
          <w:szCs w:val="20"/>
          <w:lang w:val="sl-SI"/>
        </w:rPr>
        <w:t xml:space="preserve"> M., Tič</w:t>
      </w:r>
      <w:r>
        <w:rPr>
          <w:rFonts w:eastAsia="Calibri" w:cs="Arial"/>
          <w:szCs w:val="20"/>
          <w:lang w:val="sl-SI"/>
        </w:rPr>
        <w:t>,</w:t>
      </w:r>
      <w:r w:rsidRPr="005771BD">
        <w:rPr>
          <w:rFonts w:eastAsia="Calibri" w:cs="Arial"/>
          <w:szCs w:val="20"/>
          <w:lang w:val="sl-SI"/>
        </w:rPr>
        <w:t xml:space="preserve"> I., Šijanec</w:t>
      </w:r>
      <w:r>
        <w:rPr>
          <w:rFonts w:eastAsia="Calibri" w:cs="Arial"/>
          <w:szCs w:val="20"/>
          <w:lang w:val="sl-SI"/>
        </w:rPr>
        <w:t>,</w:t>
      </w:r>
      <w:r w:rsidRPr="005771BD">
        <w:rPr>
          <w:rFonts w:eastAsia="Calibri" w:cs="Arial"/>
          <w:szCs w:val="20"/>
          <w:lang w:val="sl-SI"/>
        </w:rPr>
        <w:t xml:space="preserve"> V., Ilc</w:t>
      </w:r>
      <w:r>
        <w:rPr>
          <w:rFonts w:eastAsia="Calibri" w:cs="Arial"/>
          <w:szCs w:val="20"/>
          <w:lang w:val="sl-SI"/>
        </w:rPr>
        <w:t>,</w:t>
      </w:r>
      <w:r w:rsidRPr="005771BD">
        <w:rPr>
          <w:rFonts w:eastAsia="Calibri" w:cs="Arial"/>
          <w:szCs w:val="20"/>
          <w:lang w:val="sl-SI"/>
        </w:rPr>
        <w:t xml:space="preserve"> Z., Gogić Knežić</w:t>
      </w:r>
      <w:r>
        <w:rPr>
          <w:rFonts w:eastAsia="Calibri" w:cs="Arial"/>
          <w:szCs w:val="20"/>
          <w:lang w:val="sl-SI"/>
        </w:rPr>
        <w:t>,</w:t>
      </w:r>
      <w:r w:rsidRPr="005771BD">
        <w:rPr>
          <w:rFonts w:eastAsia="Calibri" w:cs="Arial"/>
          <w:szCs w:val="20"/>
          <w:lang w:val="sl-SI"/>
        </w:rPr>
        <w:t xml:space="preserve"> S., Grčman</w:t>
      </w:r>
      <w:r>
        <w:rPr>
          <w:rFonts w:eastAsia="Calibri" w:cs="Arial"/>
          <w:szCs w:val="20"/>
          <w:lang w:val="sl-SI"/>
        </w:rPr>
        <w:t>,</w:t>
      </w:r>
      <w:r w:rsidRPr="005771BD">
        <w:rPr>
          <w:rFonts w:eastAsia="Calibri" w:cs="Arial"/>
          <w:szCs w:val="20"/>
          <w:lang w:val="sl-SI"/>
        </w:rPr>
        <w:t xml:space="preserve"> H., Prus</w:t>
      </w:r>
      <w:r>
        <w:rPr>
          <w:rFonts w:eastAsia="Calibri" w:cs="Arial"/>
          <w:szCs w:val="20"/>
          <w:lang w:val="sl-SI"/>
        </w:rPr>
        <w:t>,</w:t>
      </w:r>
      <w:r w:rsidRPr="005771BD">
        <w:rPr>
          <w:rFonts w:eastAsia="Calibri" w:cs="Arial"/>
          <w:szCs w:val="20"/>
          <w:lang w:val="sl-SI"/>
        </w:rPr>
        <w:t xml:space="preserve"> T., 2014. </w:t>
      </w:r>
      <w:r w:rsidRPr="005771BD">
        <w:rPr>
          <w:rFonts w:eastAsia="Calibri" w:cs="Arial"/>
          <w:i/>
          <w:szCs w:val="20"/>
          <w:lang w:val="sl-SI"/>
        </w:rPr>
        <w:t>Poročilo monitoringa tal v letu 2014</w:t>
      </w:r>
      <w:r w:rsidRPr="005771BD">
        <w:rPr>
          <w:rFonts w:eastAsia="Calibri" w:cs="Arial"/>
          <w:szCs w:val="20"/>
          <w:lang w:val="sl-SI"/>
        </w:rPr>
        <w:t>. Ljubljana: Agencija Republike Slovenije za okolje.</w:t>
      </w:r>
    </w:p>
    <w:p w:rsidR="00A3208F" w:rsidRDefault="00A3208F" w:rsidP="00A3208F">
      <w:pPr>
        <w:spacing w:after="200" w:line="276" w:lineRule="auto"/>
        <w:jc w:val="both"/>
        <w:rPr>
          <w:rFonts w:eastAsia="Calibri" w:cs="Arial"/>
          <w:b/>
          <w:sz w:val="22"/>
          <w:szCs w:val="22"/>
          <w:lang w:val="sl-SI"/>
        </w:rPr>
      </w:pPr>
    </w:p>
    <w:p w:rsidR="002F73CD" w:rsidRPr="005771BD" w:rsidRDefault="00607481" w:rsidP="002F3C80">
      <w:pPr>
        <w:spacing w:after="360" w:line="276" w:lineRule="auto"/>
        <w:jc w:val="both"/>
        <w:rPr>
          <w:rFonts w:cs="Arial"/>
          <w:b/>
          <w:sz w:val="22"/>
          <w:szCs w:val="22"/>
          <w:lang w:val="sl-SI"/>
        </w:rPr>
      </w:pPr>
      <w:r>
        <w:rPr>
          <w:rFonts w:eastAsia="Calibri" w:cs="Arial"/>
          <w:b/>
          <w:sz w:val="22"/>
          <w:szCs w:val="22"/>
          <w:lang w:val="sl-SI"/>
        </w:rPr>
        <w:t>9</w:t>
      </w:r>
      <w:r w:rsidR="002F73CD" w:rsidRPr="005771BD">
        <w:rPr>
          <w:rFonts w:eastAsia="Calibri" w:cs="Arial"/>
          <w:b/>
          <w:sz w:val="22"/>
          <w:szCs w:val="22"/>
          <w:lang w:val="sl-SI"/>
        </w:rPr>
        <w:t xml:space="preserve"> </w:t>
      </w:r>
      <w:r w:rsidR="002F73CD" w:rsidRPr="005771BD">
        <w:rPr>
          <w:rFonts w:cs="Arial"/>
          <w:b/>
          <w:sz w:val="22"/>
          <w:szCs w:val="22"/>
          <w:lang w:val="sl-SI"/>
        </w:rPr>
        <w:t xml:space="preserve">RAVNANJE Z VIRI IN ODPADKI </w:t>
      </w:r>
    </w:p>
    <w:p w:rsidR="002F73CD" w:rsidRPr="005771BD" w:rsidRDefault="002F3C80" w:rsidP="002F73CD">
      <w:pPr>
        <w:tabs>
          <w:tab w:val="left" w:pos="1956"/>
        </w:tabs>
        <w:spacing w:after="200" w:line="276" w:lineRule="auto"/>
        <w:jc w:val="both"/>
        <w:rPr>
          <w:rFonts w:eastAsia="Calibri" w:cs="Arial"/>
          <w:b/>
          <w:szCs w:val="20"/>
          <w:u w:val="single"/>
          <w:lang w:val="sl-SI"/>
        </w:rPr>
      </w:pPr>
      <w:r>
        <w:rPr>
          <w:rFonts w:eastAsia="Calibri" w:cs="Arial"/>
          <w:b/>
          <w:szCs w:val="20"/>
          <w:u w:val="single"/>
          <w:lang w:val="sl-SI"/>
        </w:rPr>
        <w:t>9</w:t>
      </w:r>
      <w:r w:rsidR="002F73CD" w:rsidRPr="005771BD">
        <w:rPr>
          <w:rFonts w:eastAsia="Calibri" w:cs="Arial"/>
          <w:b/>
          <w:szCs w:val="20"/>
          <w:u w:val="single"/>
          <w:lang w:val="sl-SI"/>
        </w:rPr>
        <w:t>.1 Povzetek</w:t>
      </w:r>
    </w:p>
    <w:p w:rsidR="002F73CD" w:rsidRPr="005C1DA5" w:rsidRDefault="002F73CD" w:rsidP="002F73CD">
      <w:pPr>
        <w:autoSpaceDE w:val="0"/>
        <w:autoSpaceDN w:val="0"/>
        <w:adjustRightInd w:val="0"/>
        <w:spacing w:after="200" w:line="276" w:lineRule="auto"/>
        <w:jc w:val="both"/>
        <w:rPr>
          <w:rFonts w:cs="Arial"/>
          <w:szCs w:val="20"/>
          <w:lang w:val="sl-SI" w:eastAsia="sl-SI"/>
        </w:rPr>
      </w:pPr>
      <w:r w:rsidRPr="005C1DA5">
        <w:rPr>
          <w:rFonts w:cs="Arial"/>
          <w:szCs w:val="20"/>
          <w:lang w:val="sl-SI" w:eastAsia="sl-SI"/>
        </w:rPr>
        <w:t xml:space="preserve">Okoljska politika na področju ravnanja z viri in odpadki vzpostavlja nove smeri razvoja. </w:t>
      </w:r>
    </w:p>
    <w:p w:rsidR="002F73CD" w:rsidRPr="005771BD" w:rsidRDefault="002F73CD" w:rsidP="002F73CD">
      <w:pPr>
        <w:autoSpaceDE w:val="0"/>
        <w:autoSpaceDN w:val="0"/>
        <w:adjustRightInd w:val="0"/>
        <w:spacing w:after="200" w:line="276" w:lineRule="auto"/>
        <w:jc w:val="both"/>
        <w:rPr>
          <w:rFonts w:cs="Arial"/>
          <w:color w:val="000000"/>
          <w:szCs w:val="20"/>
          <w:lang w:val="sl-SI" w:eastAsia="sl-SI"/>
        </w:rPr>
      </w:pPr>
      <w:r w:rsidRPr="005C1DA5">
        <w:rPr>
          <w:rFonts w:cs="Arial"/>
          <w:szCs w:val="20"/>
          <w:lang w:val="sl-SI" w:eastAsia="sl-SI"/>
        </w:rPr>
        <w:t xml:space="preserve">Pri ravnanju z viri je </w:t>
      </w:r>
      <w:r w:rsidRPr="005771BD">
        <w:rPr>
          <w:rFonts w:cs="Arial"/>
          <w:color w:val="000000"/>
          <w:szCs w:val="20"/>
          <w:lang w:val="sl-SI" w:eastAsia="sl-SI"/>
        </w:rPr>
        <w:t xml:space="preserve">ključnega pomena prizadevanje za povečanje učinkovitosti rabe virov s prehodom z linearnega vzorca  „vzemi, izdelaj, porabi in zavrzi“ na krožni model, po katerem je treba čim bolj izkoristiti vire, zato jih je treba obdržati v gospodarstvu tudi po izteku </w:t>
      </w:r>
      <w:r>
        <w:rPr>
          <w:rFonts w:cs="Arial"/>
          <w:color w:val="000000"/>
          <w:szCs w:val="20"/>
          <w:lang w:val="sl-SI" w:eastAsia="sl-SI"/>
        </w:rPr>
        <w:t>dobe trajanja</w:t>
      </w:r>
      <w:r w:rsidRPr="005771BD">
        <w:rPr>
          <w:rFonts w:cs="Arial"/>
          <w:color w:val="000000"/>
          <w:szCs w:val="20"/>
          <w:lang w:val="sl-SI" w:eastAsia="sl-SI"/>
        </w:rPr>
        <w:t xml:space="preserve"> izdelkov. Snovno učinkov</w:t>
      </w:r>
      <w:r>
        <w:rPr>
          <w:rFonts w:cs="Arial"/>
          <w:color w:val="000000"/>
          <w:szCs w:val="20"/>
          <w:lang w:val="sl-SI" w:eastAsia="sl-SI"/>
        </w:rPr>
        <w:t>ito</w:t>
      </w:r>
      <w:r w:rsidRPr="005771BD">
        <w:rPr>
          <w:rFonts w:cs="Arial"/>
          <w:color w:val="000000"/>
          <w:szCs w:val="20"/>
          <w:lang w:val="sl-SI" w:eastAsia="sl-SI"/>
        </w:rPr>
        <w:t xml:space="preserve"> gospodars</w:t>
      </w:r>
      <w:r>
        <w:rPr>
          <w:rFonts w:cs="Arial"/>
          <w:color w:val="000000"/>
          <w:szCs w:val="20"/>
          <w:lang w:val="sl-SI" w:eastAsia="sl-SI"/>
        </w:rPr>
        <w:t>t</w:t>
      </w:r>
      <w:r w:rsidRPr="005771BD">
        <w:rPr>
          <w:rFonts w:cs="Arial"/>
          <w:color w:val="000000"/>
          <w:szCs w:val="20"/>
          <w:lang w:val="sl-SI" w:eastAsia="sl-SI"/>
        </w:rPr>
        <w:t>vo torej spremlja cikel trajanja izdelkov in išče nove modele s poudarkom na zasnovi izdelkov ter njihovi popravljivosti in ponovni uporabi, na ravnanju z odpadki in njihovim preprečevanjem, na spodbujanju rabe sekundarnih surovin ipd.  Na ravni EU se krožno gospodarstvo osredotoča na preprečevanje nastajanja odpadkov, ravnanje z odpadki in na učinkovito rabo virov.</w:t>
      </w:r>
    </w:p>
    <w:p w:rsidR="002F73CD" w:rsidRPr="005C1DA5" w:rsidRDefault="002F73CD" w:rsidP="002F73CD">
      <w:pPr>
        <w:autoSpaceDE w:val="0"/>
        <w:autoSpaceDN w:val="0"/>
        <w:adjustRightInd w:val="0"/>
        <w:spacing w:after="200" w:line="276" w:lineRule="auto"/>
        <w:jc w:val="both"/>
        <w:rPr>
          <w:rFonts w:cs="Arial"/>
          <w:szCs w:val="20"/>
          <w:lang w:val="sl-SI" w:eastAsia="sl-SI"/>
        </w:rPr>
      </w:pPr>
      <w:r w:rsidRPr="005C1DA5">
        <w:rPr>
          <w:rFonts w:cs="Arial"/>
          <w:szCs w:val="20"/>
          <w:lang w:val="sl-SI" w:eastAsia="sl-SI"/>
        </w:rPr>
        <w:t>Glede ravnanja z odpadki je okoljska politika osredotočena na preprečevanje nastajanja odpadkov in daje prednost predelavi pred odstranjevanjem, glede predelave pa</w:t>
      </w:r>
      <w:r>
        <w:rPr>
          <w:rFonts w:cs="Arial"/>
          <w:szCs w:val="20"/>
          <w:lang w:val="sl-SI" w:eastAsia="sl-SI"/>
        </w:rPr>
        <w:t xml:space="preserve"> daje</w:t>
      </w:r>
      <w:r w:rsidRPr="005C1DA5">
        <w:rPr>
          <w:rFonts w:cs="Arial"/>
          <w:szCs w:val="20"/>
          <w:lang w:val="sl-SI" w:eastAsia="sl-SI"/>
        </w:rPr>
        <w:t xml:space="preserve"> prednost pripravi odpadkov za ponovno uporabo in njihovemu recikliranju pred njihovo energetsko predelavo. </w:t>
      </w:r>
      <w:r w:rsidRPr="005771BD">
        <w:rPr>
          <w:rFonts w:cs="Arial"/>
          <w:color w:val="000000"/>
          <w:szCs w:val="20"/>
          <w:lang w:val="sl-SI" w:eastAsia="sl-SI"/>
        </w:rPr>
        <w:t xml:space="preserve">Preprečevanje nastajanja ter ponovna uporaba in recikliranje odpadkov omogočajo družbi pridobivanje kar največje vrednosti iz virov in prilagoditev porabe dejanskim potrebam. Pri tem se zmanjšujejo potrebe po primarnih virih, kar zmanjšuje s tem povezano rabo energije in blaži vplive na okolje. </w:t>
      </w:r>
      <w:r w:rsidRPr="005C1DA5">
        <w:rPr>
          <w:rFonts w:cs="Arial"/>
          <w:szCs w:val="20"/>
          <w:lang w:val="sl-SI" w:eastAsia="sl-SI"/>
        </w:rPr>
        <w:t>Takšna politika je tudi del politike učinkovi</w:t>
      </w:r>
      <w:r>
        <w:rPr>
          <w:rFonts w:cs="Arial"/>
          <w:szCs w:val="20"/>
          <w:lang w:val="sl-SI" w:eastAsia="sl-SI"/>
        </w:rPr>
        <w:t>te</w:t>
      </w:r>
      <w:r w:rsidRPr="005C1DA5">
        <w:rPr>
          <w:rFonts w:cs="Arial"/>
          <w:szCs w:val="20"/>
          <w:lang w:val="sl-SI" w:eastAsia="sl-SI"/>
        </w:rPr>
        <w:t xml:space="preserve"> rabe virov in krožnega gospodarstva.    </w:t>
      </w:r>
    </w:p>
    <w:p w:rsidR="002F73CD" w:rsidRPr="005771BD" w:rsidRDefault="002F73CD" w:rsidP="002F73CD">
      <w:pPr>
        <w:spacing w:after="200" w:line="276" w:lineRule="auto"/>
        <w:jc w:val="both"/>
        <w:rPr>
          <w:rFonts w:eastAsia="Calibri" w:cs="Arial"/>
          <w:szCs w:val="20"/>
          <w:lang w:val="sl-SI" w:eastAsia="sl-SI"/>
        </w:rPr>
      </w:pPr>
      <w:r w:rsidRPr="005771BD">
        <w:rPr>
          <w:rFonts w:eastAsia="Calibri" w:cs="Arial"/>
          <w:szCs w:val="20"/>
          <w:lang w:val="sl-SI" w:eastAsia="sl-SI"/>
        </w:rPr>
        <w:t xml:space="preserve">Slovenija je pri ločenem zbiranju odpadkov, zmanjšanju odlaganja odpadkov in povečani predelavi odpadkov ter recikliranju dosegla dober napredek. </w:t>
      </w:r>
    </w:p>
    <w:p w:rsidR="002F73CD" w:rsidRPr="005771BD" w:rsidRDefault="002F73CD" w:rsidP="002F73CD">
      <w:pPr>
        <w:spacing w:after="200" w:line="276" w:lineRule="auto"/>
        <w:jc w:val="both"/>
        <w:rPr>
          <w:rFonts w:eastAsia="Calibri" w:cs="Arial"/>
          <w:szCs w:val="20"/>
          <w:lang w:val="sl-SI" w:eastAsia="sl-SI"/>
        </w:rPr>
      </w:pPr>
      <w:r w:rsidRPr="005771BD">
        <w:rPr>
          <w:rFonts w:eastAsia="Calibri" w:cs="Arial"/>
          <w:szCs w:val="20"/>
          <w:lang w:val="sl-SI" w:eastAsia="sl-SI"/>
        </w:rPr>
        <w:t>Količina nastalih podatkov se zmanjšuje. V letu 2014 je v Sloveniji nastalo okoli 4,6</w:t>
      </w:r>
      <w:r w:rsidRPr="005771BD">
        <w:rPr>
          <w:rFonts w:cs="Arial"/>
          <w:szCs w:val="20"/>
          <w:lang w:val="sl-SI" w:eastAsia="sl-SI"/>
        </w:rPr>
        <w:t> </w:t>
      </w:r>
      <w:r w:rsidRPr="005771BD">
        <w:rPr>
          <w:rFonts w:eastAsia="Calibri" w:cs="Arial"/>
          <w:szCs w:val="20"/>
          <w:lang w:val="sl-SI" w:eastAsia="sl-SI"/>
        </w:rPr>
        <w:t>milijona ton odpadkov, od tega v proizvodnih dejavnostih 59</w:t>
      </w:r>
      <w:r>
        <w:rPr>
          <w:rFonts w:eastAsia="Calibri" w:cs="Arial"/>
          <w:szCs w:val="20"/>
          <w:lang w:val="sl-SI" w:eastAsia="sl-SI"/>
        </w:rPr>
        <w:t xml:space="preserve"> </w:t>
      </w:r>
      <w:r w:rsidRPr="005771BD">
        <w:rPr>
          <w:rFonts w:eastAsia="Calibri" w:cs="Arial"/>
          <w:szCs w:val="20"/>
          <w:lang w:val="sl-SI" w:eastAsia="sl-SI"/>
        </w:rPr>
        <w:t>% in storitvenih dejavnostih 29</w:t>
      </w:r>
      <w:r>
        <w:rPr>
          <w:rFonts w:eastAsia="Calibri" w:cs="Arial"/>
          <w:szCs w:val="20"/>
          <w:lang w:val="sl-SI" w:eastAsia="sl-SI"/>
        </w:rPr>
        <w:t xml:space="preserve"> </w:t>
      </w:r>
      <w:r w:rsidRPr="005771BD">
        <w:rPr>
          <w:rFonts w:eastAsia="Calibri" w:cs="Arial"/>
          <w:szCs w:val="20"/>
          <w:lang w:val="sl-SI" w:eastAsia="sl-SI"/>
        </w:rPr>
        <w:t xml:space="preserve">%, gospodinjstva pa so povzročila malo več kot 12 % vseh vrst odpadkov. Med nastalimi odpadki je 19 % komunalnih odpadkov. </w:t>
      </w:r>
    </w:p>
    <w:p w:rsidR="002F73CD" w:rsidRPr="005771BD" w:rsidRDefault="002F73CD" w:rsidP="002F73CD">
      <w:pPr>
        <w:spacing w:after="200" w:line="276" w:lineRule="auto"/>
        <w:jc w:val="both"/>
        <w:rPr>
          <w:rFonts w:eastAsia="Calibri" w:cs="Arial"/>
          <w:szCs w:val="20"/>
          <w:lang w:val="sl-SI" w:eastAsia="sl-SI"/>
        </w:rPr>
      </w:pPr>
      <w:r w:rsidRPr="005771BD">
        <w:rPr>
          <w:rFonts w:eastAsia="Calibri" w:cs="Arial"/>
          <w:szCs w:val="20"/>
          <w:lang w:val="sl-SI" w:eastAsia="sl-SI"/>
        </w:rPr>
        <w:t xml:space="preserve">Dosežen je bil tudi napredek pri ločeno zbranih komunalnih odpadkih, saj se je ta delež </w:t>
      </w:r>
      <w:r>
        <w:rPr>
          <w:rFonts w:eastAsia="Calibri" w:cs="Arial"/>
          <w:szCs w:val="20"/>
          <w:lang w:val="sl-SI" w:eastAsia="sl-SI"/>
        </w:rPr>
        <w:t>z</w:t>
      </w:r>
      <w:r w:rsidRPr="005771BD">
        <w:rPr>
          <w:rFonts w:eastAsia="Calibri" w:cs="Arial"/>
          <w:szCs w:val="20"/>
          <w:lang w:val="sl-SI" w:eastAsia="sl-SI"/>
        </w:rPr>
        <w:t xml:space="preserve"> 8,6</w:t>
      </w:r>
      <w:r w:rsidRPr="005771BD">
        <w:rPr>
          <w:rFonts w:cs="Arial"/>
          <w:szCs w:val="20"/>
          <w:lang w:val="sl-SI" w:eastAsia="sl-SI"/>
        </w:rPr>
        <w:t xml:space="preserve"> % </w:t>
      </w:r>
      <w:r w:rsidRPr="005771BD">
        <w:rPr>
          <w:rFonts w:eastAsia="Calibri" w:cs="Arial"/>
          <w:szCs w:val="20"/>
          <w:lang w:val="sl-SI" w:eastAsia="sl-SI"/>
        </w:rPr>
        <w:t xml:space="preserve">v letu 2002 zvišal na 64,7 % v letu 2014. </w:t>
      </w:r>
    </w:p>
    <w:p w:rsidR="002F73CD" w:rsidRPr="005771BD" w:rsidRDefault="002F73CD" w:rsidP="002F3C80">
      <w:pPr>
        <w:spacing w:after="360" w:line="276" w:lineRule="auto"/>
        <w:jc w:val="both"/>
        <w:rPr>
          <w:rFonts w:eastAsia="Calibri" w:cs="Arial"/>
          <w:szCs w:val="20"/>
          <w:lang w:val="sl-SI" w:eastAsia="sl-SI"/>
        </w:rPr>
      </w:pPr>
      <w:r w:rsidRPr="005771BD">
        <w:rPr>
          <w:rFonts w:eastAsia="Calibri" w:cs="Arial"/>
          <w:szCs w:val="20"/>
          <w:lang w:val="sl-SI" w:eastAsia="sl-SI"/>
        </w:rPr>
        <w:t>Zmanjšal se je delež odloženih odpadkov</w:t>
      </w:r>
      <w:r>
        <w:rPr>
          <w:rFonts w:eastAsia="Calibri" w:cs="Arial"/>
          <w:szCs w:val="20"/>
          <w:lang w:val="sl-SI" w:eastAsia="sl-SI"/>
        </w:rPr>
        <w:t>,</w:t>
      </w:r>
      <w:r w:rsidRPr="005771BD">
        <w:rPr>
          <w:rFonts w:eastAsia="Calibri" w:cs="Arial"/>
          <w:szCs w:val="20"/>
          <w:lang w:val="sl-SI" w:eastAsia="sl-SI"/>
        </w:rPr>
        <w:t xml:space="preserve"> in sicer za 75 % v letu 2014 v primerjavi z letom 2006. </w:t>
      </w:r>
    </w:p>
    <w:p w:rsidR="002F73CD" w:rsidRPr="005771BD" w:rsidRDefault="002F3C80" w:rsidP="002F73CD">
      <w:pPr>
        <w:spacing w:after="200" w:line="276" w:lineRule="auto"/>
        <w:jc w:val="both"/>
        <w:rPr>
          <w:rFonts w:eastAsia="Calibri" w:cs="Arial"/>
          <w:b/>
          <w:szCs w:val="20"/>
          <w:u w:val="single"/>
          <w:lang w:val="sl-SI"/>
        </w:rPr>
      </w:pPr>
      <w:r>
        <w:rPr>
          <w:rFonts w:eastAsia="Calibri" w:cs="Arial"/>
          <w:b/>
          <w:szCs w:val="20"/>
          <w:u w:val="single"/>
          <w:lang w:val="sl-SI"/>
        </w:rPr>
        <w:t>9</w:t>
      </w:r>
      <w:r w:rsidR="002F73CD" w:rsidRPr="005771BD">
        <w:rPr>
          <w:rFonts w:eastAsia="Calibri" w:cs="Arial"/>
          <w:b/>
          <w:szCs w:val="20"/>
          <w:u w:val="single"/>
          <w:lang w:val="sl-SI"/>
        </w:rPr>
        <w:t xml:space="preserve">.2 Ravnanje z viri  </w:t>
      </w:r>
    </w:p>
    <w:p w:rsidR="002F73CD" w:rsidRPr="005771BD" w:rsidRDefault="002F73CD" w:rsidP="002F73CD">
      <w:pPr>
        <w:spacing w:after="200" w:line="276" w:lineRule="auto"/>
        <w:jc w:val="both"/>
        <w:rPr>
          <w:rFonts w:eastAsia="Calibri" w:cs="Arial"/>
          <w:szCs w:val="20"/>
          <w:lang w:val="sl-SI"/>
        </w:rPr>
      </w:pPr>
      <w:r w:rsidRPr="005771BD">
        <w:rPr>
          <w:rFonts w:eastAsia="Calibri" w:cs="Arial"/>
          <w:szCs w:val="20"/>
          <w:lang w:val="sl-SI"/>
        </w:rPr>
        <w:t>Z naravnimi viri</w:t>
      </w:r>
      <w:r>
        <w:rPr>
          <w:rFonts w:eastAsia="Calibri" w:cs="Arial"/>
          <w:szCs w:val="20"/>
          <w:lang w:val="sl-SI"/>
        </w:rPr>
        <w:t>,</w:t>
      </w:r>
      <w:r w:rsidRPr="005771BD">
        <w:rPr>
          <w:rFonts w:eastAsia="Calibri" w:cs="Arial"/>
          <w:szCs w:val="20"/>
          <w:lang w:val="sl-SI"/>
        </w:rPr>
        <w:t xml:space="preserve"> kot so voda, tla, kovine, minerali, goriva in biotska raznovrstnost, ki nam zagotavljajo hrano, energijo, zavetje in </w:t>
      </w:r>
      <w:r>
        <w:rPr>
          <w:rFonts w:eastAsia="Calibri" w:cs="Arial"/>
          <w:szCs w:val="20"/>
          <w:lang w:val="sl-SI"/>
        </w:rPr>
        <w:t>druge</w:t>
      </w:r>
      <w:r w:rsidRPr="005771BD">
        <w:rPr>
          <w:rFonts w:eastAsia="Calibri" w:cs="Arial"/>
          <w:szCs w:val="20"/>
          <w:lang w:val="sl-SI"/>
        </w:rPr>
        <w:t xml:space="preserve"> dobrine, ki jih potrebujemo za preživetje in razvoj, moramo ravnati gospodarno, saj je njihova količina omejena. </w:t>
      </w:r>
    </w:p>
    <w:p w:rsidR="002F73CD" w:rsidRPr="005771BD" w:rsidRDefault="002F73CD" w:rsidP="002F73CD">
      <w:pPr>
        <w:shd w:val="clear" w:color="auto" w:fill="FFFFFF"/>
        <w:spacing w:after="200" w:line="276" w:lineRule="auto"/>
        <w:jc w:val="both"/>
        <w:rPr>
          <w:rFonts w:cs="Arial"/>
          <w:szCs w:val="20"/>
          <w:lang w:val="sl-SI"/>
        </w:rPr>
      </w:pPr>
      <w:r w:rsidRPr="005771BD">
        <w:rPr>
          <w:rFonts w:cs="Arial"/>
          <w:szCs w:val="20"/>
          <w:lang w:val="sl-SI"/>
        </w:rPr>
        <w:t>V prihodnje bo dostop do cenovno ugodnih virov in surovin vse težji in bo tako vplival na (ne)konkurenčnost gospodarstva. Zato je učinkovit</w:t>
      </w:r>
      <w:r>
        <w:rPr>
          <w:rFonts w:cs="Arial"/>
          <w:szCs w:val="20"/>
          <w:lang w:val="sl-SI"/>
        </w:rPr>
        <w:t>a</w:t>
      </w:r>
      <w:r w:rsidRPr="005771BD">
        <w:rPr>
          <w:rFonts w:cs="Arial"/>
          <w:szCs w:val="20"/>
          <w:lang w:val="sl-SI"/>
        </w:rPr>
        <w:t xml:space="preserve"> rab</w:t>
      </w:r>
      <w:r>
        <w:rPr>
          <w:rFonts w:cs="Arial"/>
          <w:szCs w:val="20"/>
          <w:lang w:val="sl-SI"/>
        </w:rPr>
        <w:t>a</w:t>
      </w:r>
      <w:r w:rsidRPr="005771BD">
        <w:rPr>
          <w:rFonts w:cs="Arial"/>
          <w:szCs w:val="20"/>
          <w:lang w:val="sl-SI"/>
        </w:rPr>
        <w:t xml:space="preserve"> virov in s tem povezano obremenjevanje okolja treb</w:t>
      </w:r>
      <w:r>
        <w:rPr>
          <w:rFonts w:cs="Arial"/>
          <w:szCs w:val="20"/>
          <w:lang w:val="sl-SI"/>
        </w:rPr>
        <w:t>a</w:t>
      </w:r>
      <w:r w:rsidRPr="005771BD">
        <w:rPr>
          <w:rFonts w:cs="Arial"/>
          <w:szCs w:val="20"/>
          <w:lang w:val="sl-SI"/>
        </w:rPr>
        <w:t xml:space="preserve"> obravnavati tudi v drugih sektorjih, predvsem v gospodarstvu. </w:t>
      </w:r>
    </w:p>
    <w:p w:rsidR="002F73CD" w:rsidRPr="005771BD" w:rsidRDefault="002F73CD" w:rsidP="002F73CD">
      <w:pPr>
        <w:autoSpaceDE w:val="0"/>
        <w:autoSpaceDN w:val="0"/>
        <w:adjustRightInd w:val="0"/>
        <w:spacing w:after="200" w:line="276" w:lineRule="auto"/>
        <w:jc w:val="both"/>
        <w:rPr>
          <w:rFonts w:cs="Arial"/>
          <w:szCs w:val="20"/>
          <w:lang w:val="sl-SI"/>
        </w:rPr>
      </w:pPr>
      <w:r w:rsidRPr="005771BD">
        <w:rPr>
          <w:rFonts w:cs="Arial"/>
          <w:szCs w:val="20"/>
          <w:lang w:val="sl-SI"/>
        </w:rPr>
        <w:t xml:space="preserve">Mnoge mednarodne (na </w:t>
      </w:r>
      <w:r>
        <w:rPr>
          <w:rFonts w:cs="Arial"/>
          <w:szCs w:val="20"/>
          <w:lang w:val="sl-SI"/>
        </w:rPr>
        <w:t>svetovni</w:t>
      </w:r>
      <w:r w:rsidRPr="005771BD">
        <w:rPr>
          <w:rFonts w:cs="Arial"/>
          <w:szCs w:val="20"/>
          <w:lang w:val="sl-SI"/>
        </w:rPr>
        <w:t xml:space="preserve"> in regionalni ravni) strategije in politike države opozarjajo in spodbujajo k prehodu v družbo in gospodarstvo, ki temelji</w:t>
      </w:r>
      <w:r>
        <w:rPr>
          <w:rFonts w:cs="Arial"/>
          <w:szCs w:val="20"/>
          <w:lang w:val="sl-SI"/>
        </w:rPr>
        <w:t>ta</w:t>
      </w:r>
      <w:r w:rsidRPr="005771BD">
        <w:rPr>
          <w:rFonts w:cs="Arial"/>
          <w:szCs w:val="20"/>
          <w:lang w:val="sl-SI"/>
        </w:rPr>
        <w:t xml:space="preserve"> na upoštevanju življenjskega kroga in kroženju snovi, kaskadni rabi virov in izogibanju nastajanja odpadkov. </w:t>
      </w:r>
    </w:p>
    <w:p w:rsidR="002F73CD" w:rsidRPr="005771BD" w:rsidRDefault="002F73CD" w:rsidP="002F73CD">
      <w:pPr>
        <w:autoSpaceDE w:val="0"/>
        <w:autoSpaceDN w:val="0"/>
        <w:adjustRightInd w:val="0"/>
        <w:spacing w:after="200" w:line="276" w:lineRule="auto"/>
        <w:jc w:val="both"/>
        <w:rPr>
          <w:rFonts w:cs="Arial"/>
          <w:szCs w:val="20"/>
          <w:lang w:val="sl-SI"/>
        </w:rPr>
      </w:pPr>
      <w:r w:rsidRPr="005771BD">
        <w:rPr>
          <w:rFonts w:cs="Arial"/>
          <w:szCs w:val="20"/>
          <w:lang w:val="sl-SI"/>
        </w:rPr>
        <w:t>Slovenija nima strateškega dokumenta</w:t>
      </w:r>
      <w:r>
        <w:rPr>
          <w:rFonts w:cs="Arial"/>
          <w:szCs w:val="20"/>
          <w:lang w:val="sl-SI"/>
        </w:rPr>
        <w:t>, ki bi obravnaval</w:t>
      </w:r>
      <w:r w:rsidRPr="005771BD">
        <w:rPr>
          <w:rFonts w:cs="Arial"/>
          <w:szCs w:val="20"/>
          <w:lang w:val="sl-SI"/>
        </w:rPr>
        <w:t xml:space="preserve">  </w:t>
      </w:r>
      <w:r>
        <w:rPr>
          <w:rFonts w:cs="Arial"/>
          <w:szCs w:val="20"/>
          <w:lang w:val="sl-SI"/>
        </w:rPr>
        <w:t>samo</w:t>
      </w:r>
      <w:r w:rsidRPr="005771BD">
        <w:rPr>
          <w:rFonts w:cs="Arial"/>
          <w:szCs w:val="20"/>
          <w:lang w:val="sl-SI"/>
        </w:rPr>
        <w:t xml:space="preserve"> učinkovito rabo virov, zeleno ali krožno gospodarstvo, čeprav so vse te usmeritve </w:t>
      </w:r>
      <w:r>
        <w:rPr>
          <w:rFonts w:cs="Arial"/>
          <w:szCs w:val="20"/>
          <w:lang w:val="sl-SI"/>
        </w:rPr>
        <w:t xml:space="preserve">v nekaterih dokumentih </w:t>
      </w:r>
      <w:r w:rsidRPr="005771BD">
        <w:rPr>
          <w:rFonts w:cs="Arial"/>
          <w:szCs w:val="20"/>
          <w:lang w:val="sl-SI"/>
        </w:rPr>
        <w:t>upoštevane. Najambicioz</w:t>
      </w:r>
      <w:r>
        <w:rPr>
          <w:rFonts w:cs="Arial"/>
          <w:szCs w:val="20"/>
          <w:lang w:val="sl-SI"/>
        </w:rPr>
        <w:t>nejši</w:t>
      </w:r>
      <w:r w:rsidRPr="005771BD">
        <w:rPr>
          <w:rFonts w:cs="Arial"/>
          <w:szCs w:val="20"/>
          <w:lang w:val="sl-SI"/>
        </w:rPr>
        <w:t xml:space="preserve"> na tem področju je </w:t>
      </w:r>
      <w:r w:rsidRPr="005771BD">
        <w:rPr>
          <w:rFonts w:eastAsia="Calibri" w:cs="Arial"/>
          <w:szCs w:val="20"/>
          <w:lang w:val="sl-SI"/>
        </w:rPr>
        <w:t>oktobra 2015 sprejet</w:t>
      </w:r>
      <w:r>
        <w:rPr>
          <w:rFonts w:eastAsia="Calibri" w:cs="Arial"/>
          <w:szCs w:val="20"/>
          <w:lang w:val="sl-SI"/>
        </w:rPr>
        <w:t>i</w:t>
      </w:r>
      <w:r w:rsidRPr="005771BD">
        <w:rPr>
          <w:rFonts w:eastAsia="Calibri" w:cs="Arial"/>
          <w:szCs w:val="20"/>
          <w:lang w:val="sl-SI"/>
        </w:rPr>
        <w:t xml:space="preserve"> </w:t>
      </w:r>
      <w:r>
        <w:rPr>
          <w:rFonts w:eastAsia="Calibri" w:cs="Arial"/>
          <w:szCs w:val="20"/>
          <w:lang w:val="sl-SI"/>
        </w:rPr>
        <w:t>o</w:t>
      </w:r>
      <w:r w:rsidRPr="005771BD">
        <w:rPr>
          <w:rFonts w:eastAsia="Calibri" w:cs="Arial"/>
          <w:szCs w:val="20"/>
          <w:lang w:val="sl-SI"/>
        </w:rPr>
        <w:t>kvirni program za prehod v zeleno</w:t>
      </w:r>
      <w:r w:rsidRPr="005771BD">
        <w:rPr>
          <w:rFonts w:eastAsia="Calibri" w:cs="Arial"/>
          <w:color w:val="000000"/>
          <w:szCs w:val="20"/>
          <w:lang w:val="sl-SI"/>
        </w:rPr>
        <w:t xml:space="preserve"> </w:t>
      </w:r>
      <w:r w:rsidRPr="005771BD">
        <w:rPr>
          <w:rFonts w:eastAsia="Calibri" w:cs="Arial"/>
          <w:szCs w:val="20"/>
          <w:lang w:val="sl-SI"/>
        </w:rPr>
        <w:t>gospodarstvo</w:t>
      </w:r>
      <w:r w:rsidRPr="005771BD">
        <w:rPr>
          <w:rFonts w:eastAsia="Calibri" w:cs="Arial"/>
          <w:szCs w:val="20"/>
          <w:vertAlign w:val="superscript"/>
          <w:lang w:val="sl-SI"/>
        </w:rPr>
        <w:footnoteReference w:id="18"/>
      </w:r>
      <w:r w:rsidRPr="005771BD">
        <w:rPr>
          <w:rFonts w:eastAsia="Calibri" w:cs="Arial"/>
          <w:szCs w:val="20"/>
          <w:lang w:val="sl-SI"/>
        </w:rPr>
        <w:t xml:space="preserve">, ki upošteva nekatera priporočila, predvsem pa ima za cilj povezovanje in usklajevanje resorjev ter deležnikov. </w:t>
      </w:r>
      <w:r w:rsidRPr="005771BD">
        <w:rPr>
          <w:rFonts w:eastAsia="Calibri" w:cs="Arial"/>
          <w:color w:val="000000"/>
          <w:szCs w:val="20"/>
          <w:lang w:val="sl-SI"/>
        </w:rPr>
        <w:t>Prehod v k</w:t>
      </w:r>
      <w:r w:rsidRPr="005771BD">
        <w:rPr>
          <w:rFonts w:eastAsia="Calibri" w:cs="Arial"/>
          <w:szCs w:val="20"/>
          <w:lang w:val="sl-SI"/>
        </w:rPr>
        <w:t xml:space="preserve">rožno gospodarstvo spodbuja tudi septembra 2015 sprejeta </w:t>
      </w:r>
      <w:r>
        <w:rPr>
          <w:rFonts w:eastAsia="Calibri" w:cs="Arial"/>
          <w:szCs w:val="20"/>
          <w:lang w:val="sl-SI"/>
        </w:rPr>
        <w:t>s</w:t>
      </w:r>
      <w:r w:rsidRPr="005771BD">
        <w:rPr>
          <w:rFonts w:eastAsia="Calibri" w:cs="Arial"/>
          <w:szCs w:val="20"/>
          <w:lang w:val="sl-SI"/>
        </w:rPr>
        <w:t>trategija pametne specializacije, ki bo podlaga za vlaganja</w:t>
      </w:r>
      <w:r w:rsidRPr="005771BD">
        <w:rPr>
          <w:rFonts w:eastAsia="Calibri" w:cs="Arial"/>
          <w:color w:val="000000"/>
          <w:szCs w:val="20"/>
          <w:lang w:val="sl-SI"/>
        </w:rPr>
        <w:t xml:space="preserve"> javnih in zasebnih sredstev</w:t>
      </w:r>
      <w:r w:rsidRPr="005771BD">
        <w:rPr>
          <w:rFonts w:eastAsia="Calibri" w:cs="Arial"/>
          <w:szCs w:val="20"/>
          <w:lang w:val="sl-SI"/>
        </w:rPr>
        <w:t xml:space="preserve"> v mreže krožnega gospodarstva</w:t>
      </w:r>
      <w:r w:rsidRPr="005771BD">
        <w:rPr>
          <w:rFonts w:eastAsia="Calibri" w:cs="Arial"/>
          <w:szCs w:val="20"/>
          <w:vertAlign w:val="superscript"/>
          <w:lang w:val="sl-SI"/>
        </w:rPr>
        <w:footnoteReference w:id="19"/>
      </w:r>
      <w:r w:rsidRPr="005771BD">
        <w:rPr>
          <w:rFonts w:eastAsia="Calibri" w:cs="Arial"/>
          <w:szCs w:val="20"/>
          <w:lang w:val="sl-SI"/>
        </w:rPr>
        <w:t>.</w:t>
      </w:r>
      <w:r w:rsidRPr="005771BD">
        <w:rPr>
          <w:rFonts w:eastAsia="Calibri" w:cs="Arial"/>
          <w:color w:val="000000"/>
          <w:szCs w:val="20"/>
          <w:lang w:val="sl-SI"/>
        </w:rPr>
        <w:t xml:space="preserve"> </w:t>
      </w:r>
    </w:p>
    <w:p w:rsidR="002F73CD" w:rsidRPr="005771BD" w:rsidRDefault="002F73CD" w:rsidP="002F73CD">
      <w:pPr>
        <w:shd w:val="clear" w:color="auto" w:fill="FFFFFF"/>
        <w:spacing w:after="200" w:line="276" w:lineRule="auto"/>
        <w:jc w:val="both"/>
        <w:rPr>
          <w:rFonts w:cs="Arial"/>
          <w:szCs w:val="20"/>
          <w:lang w:val="sl-SI"/>
        </w:rPr>
      </w:pPr>
      <w:r w:rsidRPr="005771BD">
        <w:rPr>
          <w:rFonts w:cs="Arial"/>
          <w:szCs w:val="20"/>
          <w:lang w:val="sl-SI"/>
        </w:rPr>
        <w:t>Podatki kažejo, da bo poleg političnih usmeritev treba pripraviti tudi konkretne ukrepe, da se bo prehod v zeleno oziroma krožno gospodarstvo lahko zares zgodil.</w:t>
      </w:r>
    </w:p>
    <w:p w:rsidR="002F73CD" w:rsidRPr="005771BD" w:rsidRDefault="002F73CD" w:rsidP="002F73CD">
      <w:pPr>
        <w:spacing w:after="200" w:line="276" w:lineRule="auto"/>
        <w:jc w:val="both"/>
        <w:rPr>
          <w:rFonts w:eastAsia="Calibri" w:cs="Arial"/>
          <w:szCs w:val="20"/>
          <w:lang w:val="sl-SI"/>
        </w:rPr>
      </w:pPr>
      <w:r w:rsidRPr="007F272F">
        <w:rPr>
          <w:rFonts w:eastAsia="Calibri" w:cs="Arial"/>
          <w:noProof/>
          <w:szCs w:val="20"/>
          <w:lang w:val="sl-SI" w:eastAsia="sl-SI"/>
        </w:rPr>
        <w:drawing>
          <wp:inline distT="0" distB="0" distL="0" distR="0" wp14:anchorId="358C1189" wp14:editId="59898611">
            <wp:extent cx="5773420" cy="3956685"/>
            <wp:effectExtent l="0" t="0" r="0" b="5715"/>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73420" cy="3956685"/>
                    </a:xfrm>
                    <a:prstGeom prst="rect">
                      <a:avLst/>
                    </a:prstGeom>
                    <a:noFill/>
                  </pic:spPr>
                </pic:pic>
              </a:graphicData>
            </a:graphic>
          </wp:inline>
        </w:drawing>
      </w:r>
    </w:p>
    <w:p w:rsidR="002F73CD" w:rsidRPr="005C1DA5" w:rsidRDefault="002F73CD" w:rsidP="002F73CD">
      <w:pPr>
        <w:spacing w:after="200" w:line="276" w:lineRule="auto"/>
        <w:jc w:val="both"/>
        <w:rPr>
          <w:rFonts w:cs="Arial"/>
          <w:i/>
          <w:szCs w:val="20"/>
          <w:lang w:val="sl-SI"/>
        </w:rPr>
      </w:pPr>
      <w:r w:rsidRPr="005C1DA5">
        <w:rPr>
          <w:rFonts w:cs="Arial"/>
          <w:i/>
          <w:szCs w:val="20"/>
          <w:lang w:val="sl-SI"/>
        </w:rPr>
        <w:t xml:space="preserve">Slika </w:t>
      </w:r>
      <w:r w:rsidR="002F3C80">
        <w:rPr>
          <w:rFonts w:cs="Arial"/>
          <w:i/>
          <w:szCs w:val="20"/>
          <w:lang w:val="sl-SI"/>
        </w:rPr>
        <w:t>9</w:t>
      </w:r>
      <w:r w:rsidRPr="005C1DA5">
        <w:rPr>
          <w:rFonts w:cs="Arial"/>
          <w:i/>
          <w:szCs w:val="20"/>
          <w:lang w:val="sl-SI"/>
        </w:rPr>
        <w:t>.1: Domača poraba snovi</w:t>
      </w:r>
      <w:r w:rsidRPr="005C1DA5">
        <w:rPr>
          <w:rFonts w:cs="Arial"/>
          <w:i/>
          <w:szCs w:val="20"/>
          <w:vertAlign w:val="superscript"/>
          <w:lang w:val="sl-SI"/>
        </w:rPr>
        <w:footnoteReference w:id="20"/>
      </w:r>
      <w:r w:rsidRPr="005C1DA5">
        <w:rPr>
          <w:rFonts w:cs="Arial"/>
          <w:i/>
          <w:szCs w:val="20"/>
          <w:lang w:val="sl-SI"/>
        </w:rPr>
        <w:t xml:space="preserve"> na osebo, primerjav</w:t>
      </w:r>
      <w:r>
        <w:rPr>
          <w:rFonts w:cs="Arial"/>
          <w:i/>
          <w:szCs w:val="20"/>
          <w:lang w:val="sl-SI"/>
        </w:rPr>
        <w:t>a</w:t>
      </w:r>
      <w:r w:rsidRPr="005C1DA5">
        <w:rPr>
          <w:rFonts w:cs="Arial"/>
          <w:i/>
          <w:szCs w:val="20"/>
          <w:lang w:val="sl-SI"/>
        </w:rPr>
        <w:t xml:space="preserve"> med članicami </w:t>
      </w:r>
      <w:r>
        <w:rPr>
          <w:rFonts w:cs="Arial"/>
          <w:i/>
          <w:szCs w:val="20"/>
          <w:lang w:val="sl-SI"/>
        </w:rPr>
        <w:t xml:space="preserve">EU </w:t>
      </w:r>
      <w:r w:rsidRPr="005C1DA5">
        <w:rPr>
          <w:rFonts w:cs="Arial"/>
          <w:i/>
          <w:szCs w:val="20"/>
          <w:lang w:val="sl-SI"/>
        </w:rPr>
        <w:t>in Slovenijo</w:t>
      </w:r>
    </w:p>
    <w:p w:rsidR="002F73CD" w:rsidRPr="005771BD" w:rsidRDefault="002F73CD" w:rsidP="002F73CD">
      <w:pPr>
        <w:spacing w:after="200" w:line="276" w:lineRule="auto"/>
        <w:jc w:val="both"/>
        <w:rPr>
          <w:rFonts w:eastAsia="Calibri" w:cs="Arial"/>
          <w:szCs w:val="20"/>
          <w:lang w:val="sl-SI"/>
        </w:rPr>
      </w:pPr>
      <w:r w:rsidRPr="005771BD">
        <w:rPr>
          <w:rFonts w:eastAsia="Calibri" w:cs="Arial"/>
          <w:szCs w:val="20"/>
          <w:lang w:val="sl-SI"/>
        </w:rPr>
        <w:t xml:space="preserve">Za učinkovito spremljanje napredka na področju rabe virov so potrebni posebni kazalniki. Dobro izhodišče za opredelitev kazalnikov učinkovite rabe virov za Slovenijo je shema učinkovite rabe virov evropskega statističnega urada Eurostat. Kazalnike v Eurostatovi shemi lahko razdelimo v tri skupine: vodilni, nadzorni in tematski kazalniki. Vodilna kazalnika sta snovna produktivnost (SP) in domača poraba snovi (DPS), nadzorni kazalniki pa pokrivajo področja, kot so produktivnost ter raba tal, vode in energije. DPS meri celotne količine vseh snovi, neposredno uporabljenih v gospodarstvu. Snovna produktivnost je izračunana kot razmerje med in DPS (EUR/kg). Poleg kazalnikov SP in DPS je pomembno tudi spremljanje </w:t>
      </w:r>
      <w:r>
        <w:rPr>
          <w:rFonts w:eastAsia="Calibri" w:cs="Arial"/>
          <w:szCs w:val="20"/>
          <w:lang w:val="sl-SI"/>
        </w:rPr>
        <w:t>drugih</w:t>
      </w:r>
      <w:r w:rsidRPr="005771BD">
        <w:rPr>
          <w:rFonts w:eastAsia="Calibri" w:cs="Arial"/>
          <w:szCs w:val="20"/>
          <w:lang w:val="sl-SI"/>
        </w:rPr>
        <w:t xml:space="preserve"> kazalnikov, saj sta ta dva kazalnika visoko agregirana in za oceno realnega napredka na področju učinkovitosti rabe virov le delno uporabna. </w:t>
      </w:r>
    </w:p>
    <w:p w:rsidR="002F73CD" w:rsidRPr="005771BD" w:rsidRDefault="002F73CD" w:rsidP="002F73CD">
      <w:pPr>
        <w:spacing w:after="200" w:line="276" w:lineRule="auto"/>
        <w:jc w:val="both"/>
        <w:rPr>
          <w:rFonts w:eastAsia="Calibri" w:cs="Arial"/>
          <w:szCs w:val="20"/>
          <w:lang w:val="sl-SI"/>
        </w:rPr>
      </w:pPr>
      <w:r w:rsidRPr="005771BD">
        <w:rPr>
          <w:rFonts w:eastAsia="Calibri" w:cs="Arial"/>
          <w:szCs w:val="20"/>
          <w:lang w:val="sl-SI"/>
        </w:rPr>
        <w:t>Slovensko gospodarstvo je leta 2014 je porabilo 27 milijonov ton snovi, kar je 0.4 % celotne EU-28 porabe. Glede na količinsko porabo po prebivalcu smo bili v 2014 z 13.1 tonami na osebo povsem v EU-28 povprečju</w:t>
      </w:r>
      <w:r w:rsidRPr="005771BD">
        <w:rPr>
          <w:rFonts w:eastAsia="Calibri" w:cs="Arial"/>
          <w:szCs w:val="20"/>
          <w:vertAlign w:val="superscript"/>
          <w:lang w:val="sl-SI"/>
        </w:rPr>
        <w:footnoteReference w:id="21"/>
      </w:r>
      <w:r w:rsidRPr="005771BD">
        <w:rPr>
          <w:rFonts w:eastAsia="Calibri" w:cs="Arial"/>
          <w:szCs w:val="20"/>
          <w:lang w:val="sl-SI"/>
        </w:rPr>
        <w:t>.</w:t>
      </w:r>
    </w:p>
    <w:p w:rsidR="002F73CD" w:rsidRPr="005771BD" w:rsidRDefault="002F73CD" w:rsidP="002F73CD">
      <w:pPr>
        <w:spacing w:after="200" w:line="276" w:lineRule="auto"/>
        <w:jc w:val="both"/>
        <w:rPr>
          <w:rFonts w:cs="Arial"/>
          <w:szCs w:val="20"/>
          <w:lang w:val="sl-SI"/>
        </w:rPr>
      </w:pPr>
      <w:r w:rsidRPr="005771BD">
        <w:rPr>
          <w:rFonts w:cs="Arial"/>
          <w:szCs w:val="20"/>
          <w:lang w:val="sl-SI"/>
        </w:rPr>
        <w:t>Snovna produktivnost,slovenskega gospodarstva je z 1.34 EUR/kg kljub izboljšanju še vedno pod povprečjem  EU</w:t>
      </w:r>
      <w:r>
        <w:rPr>
          <w:rFonts w:cs="Arial"/>
          <w:szCs w:val="20"/>
          <w:lang w:val="sl-SI"/>
        </w:rPr>
        <w:t>-</w:t>
      </w:r>
      <w:r w:rsidRPr="005771BD">
        <w:rPr>
          <w:rFonts w:cs="Arial"/>
          <w:szCs w:val="20"/>
          <w:lang w:val="sl-SI"/>
        </w:rPr>
        <w:t xml:space="preserve">28 (68 % </w:t>
      </w:r>
      <w:r>
        <w:rPr>
          <w:rFonts w:cs="Arial"/>
          <w:szCs w:val="20"/>
          <w:lang w:val="sl-SI"/>
        </w:rPr>
        <w:t xml:space="preserve">povprečja </w:t>
      </w:r>
      <w:r w:rsidRPr="005771BD">
        <w:rPr>
          <w:rFonts w:cs="Arial"/>
          <w:szCs w:val="20"/>
          <w:lang w:val="sl-SI"/>
        </w:rPr>
        <w:t xml:space="preserve">EU-28 v </w:t>
      </w:r>
      <w:r>
        <w:rPr>
          <w:rFonts w:cs="Arial"/>
          <w:szCs w:val="20"/>
          <w:lang w:val="sl-SI"/>
        </w:rPr>
        <w:t xml:space="preserve">letu </w:t>
      </w:r>
      <w:r w:rsidRPr="005771BD">
        <w:rPr>
          <w:rFonts w:cs="Arial"/>
          <w:szCs w:val="20"/>
          <w:lang w:val="sl-SI"/>
        </w:rPr>
        <w:t>2014).</w:t>
      </w:r>
    </w:p>
    <w:p w:rsidR="002F73CD" w:rsidRPr="005771BD" w:rsidRDefault="002F73CD" w:rsidP="002F73CD">
      <w:pPr>
        <w:spacing w:after="200" w:line="276" w:lineRule="auto"/>
        <w:jc w:val="center"/>
        <w:rPr>
          <w:rFonts w:eastAsia="Calibri" w:cs="Arial"/>
          <w:b/>
          <w:szCs w:val="20"/>
          <w:u w:val="single"/>
          <w:lang w:val="sl-SI"/>
        </w:rPr>
      </w:pPr>
      <w:r w:rsidRPr="007F272F">
        <w:rPr>
          <w:rFonts w:eastAsia="Calibri" w:cs="Arial"/>
          <w:b/>
          <w:noProof/>
          <w:szCs w:val="20"/>
          <w:u w:val="single"/>
          <w:lang w:val="sl-SI" w:eastAsia="sl-SI"/>
        </w:rPr>
        <w:drawing>
          <wp:inline distT="0" distB="0" distL="0" distR="0" wp14:anchorId="0BE91717" wp14:editId="082789D4">
            <wp:extent cx="3466214" cy="2055866"/>
            <wp:effectExtent l="0" t="0" r="1270" b="1905"/>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474955" cy="2061051"/>
                    </a:xfrm>
                    <a:prstGeom prst="rect">
                      <a:avLst/>
                    </a:prstGeom>
                    <a:noFill/>
                  </pic:spPr>
                </pic:pic>
              </a:graphicData>
            </a:graphic>
          </wp:inline>
        </w:drawing>
      </w:r>
    </w:p>
    <w:p w:rsidR="002F73CD" w:rsidRPr="005771BD" w:rsidRDefault="002F73CD" w:rsidP="002F73CD">
      <w:pPr>
        <w:spacing w:after="200" w:line="276" w:lineRule="auto"/>
        <w:rPr>
          <w:rFonts w:cs="Arial"/>
          <w:i/>
          <w:szCs w:val="20"/>
          <w:lang w:val="sl-SI"/>
        </w:rPr>
      </w:pPr>
      <w:r w:rsidRPr="005771BD">
        <w:rPr>
          <w:rFonts w:cs="Arial"/>
          <w:i/>
          <w:szCs w:val="20"/>
          <w:lang w:val="sl-SI"/>
        </w:rPr>
        <w:t xml:space="preserve">Slika </w:t>
      </w:r>
      <w:r w:rsidR="002F3C80">
        <w:rPr>
          <w:rFonts w:cs="Arial"/>
          <w:i/>
          <w:szCs w:val="20"/>
          <w:lang w:val="sl-SI"/>
        </w:rPr>
        <w:t>9</w:t>
      </w:r>
      <w:r w:rsidRPr="005771BD">
        <w:rPr>
          <w:rFonts w:cs="Arial"/>
          <w:i/>
          <w:szCs w:val="20"/>
          <w:lang w:val="sl-SI"/>
        </w:rPr>
        <w:t>.2: Poraba snovi (v milijonih ton), Slovenija 2000–2014</w:t>
      </w:r>
    </w:p>
    <w:p w:rsidR="002F73CD" w:rsidRPr="005771BD" w:rsidRDefault="002F73CD" w:rsidP="002F73CD">
      <w:pPr>
        <w:spacing w:after="200" w:line="276" w:lineRule="auto"/>
        <w:rPr>
          <w:rFonts w:cs="Arial"/>
          <w:i/>
          <w:szCs w:val="20"/>
          <w:lang w:val="sl-SI"/>
        </w:rPr>
      </w:pPr>
      <w:r w:rsidRPr="007F272F">
        <w:rPr>
          <w:rFonts w:cs="Arial"/>
          <w:i/>
          <w:noProof/>
          <w:szCs w:val="20"/>
          <w:lang w:val="sl-SI" w:eastAsia="sl-SI"/>
        </w:rPr>
        <w:drawing>
          <wp:inline distT="0" distB="0" distL="0" distR="0" wp14:anchorId="6FDF2D87" wp14:editId="5FE297FD">
            <wp:extent cx="5773420" cy="3127375"/>
            <wp:effectExtent l="0" t="0" r="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73420" cy="3127375"/>
                    </a:xfrm>
                    <a:prstGeom prst="rect">
                      <a:avLst/>
                    </a:prstGeom>
                    <a:noFill/>
                  </pic:spPr>
                </pic:pic>
              </a:graphicData>
            </a:graphic>
          </wp:inline>
        </w:drawing>
      </w:r>
    </w:p>
    <w:p w:rsidR="002F73CD" w:rsidRPr="005771BD" w:rsidRDefault="002F73CD" w:rsidP="002F73CD">
      <w:pPr>
        <w:spacing w:after="200" w:line="276" w:lineRule="auto"/>
        <w:rPr>
          <w:rFonts w:cs="Arial"/>
          <w:i/>
          <w:szCs w:val="20"/>
          <w:lang w:val="sl-SI"/>
        </w:rPr>
      </w:pPr>
      <w:r w:rsidRPr="005771BD">
        <w:rPr>
          <w:rFonts w:cs="Arial"/>
          <w:i/>
          <w:szCs w:val="20"/>
          <w:lang w:val="sl-SI"/>
        </w:rPr>
        <w:t xml:space="preserve">Slika </w:t>
      </w:r>
      <w:r w:rsidR="002F3C80">
        <w:rPr>
          <w:rFonts w:cs="Arial"/>
          <w:i/>
          <w:szCs w:val="20"/>
          <w:lang w:val="sl-SI"/>
        </w:rPr>
        <w:t>9</w:t>
      </w:r>
      <w:r w:rsidRPr="005771BD">
        <w:rPr>
          <w:rFonts w:cs="Arial"/>
          <w:i/>
          <w:szCs w:val="20"/>
          <w:lang w:val="sl-SI"/>
        </w:rPr>
        <w:t>. 3: Snovna produktivnost (GDP/DMC) – primerjava med članicami</w:t>
      </w:r>
      <w:r>
        <w:rPr>
          <w:rFonts w:cs="Arial"/>
          <w:i/>
          <w:szCs w:val="20"/>
          <w:lang w:val="sl-SI"/>
        </w:rPr>
        <w:t xml:space="preserve"> EU</w:t>
      </w:r>
      <w:r w:rsidRPr="005771BD">
        <w:rPr>
          <w:rFonts w:cs="Arial"/>
          <w:i/>
          <w:szCs w:val="20"/>
          <w:lang w:val="sl-SI"/>
        </w:rPr>
        <w:t xml:space="preserve"> in Slovenijo </w:t>
      </w:r>
    </w:p>
    <w:p w:rsidR="002F73CD" w:rsidRPr="005771BD" w:rsidRDefault="002F73CD" w:rsidP="002F73CD">
      <w:pPr>
        <w:spacing w:after="200" w:line="276" w:lineRule="auto"/>
        <w:jc w:val="both"/>
        <w:rPr>
          <w:rFonts w:cs="Arial"/>
          <w:szCs w:val="20"/>
          <w:lang w:val="sl-SI"/>
        </w:rPr>
      </w:pPr>
      <w:r w:rsidRPr="005771BD">
        <w:rPr>
          <w:rFonts w:cs="Arial"/>
          <w:szCs w:val="20"/>
          <w:lang w:val="sl-SI"/>
        </w:rPr>
        <w:t>Snovno učinkovito gospodarstvo svoje konkurenčnosti ne gradi na večji porabi snovi oz</w:t>
      </w:r>
      <w:r>
        <w:rPr>
          <w:rFonts w:cs="Arial"/>
          <w:szCs w:val="20"/>
          <w:lang w:val="sl-SI"/>
        </w:rPr>
        <w:t>iroma</w:t>
      </w:r>
      <w:r w:rsidRPr="005771BD">
        <w:rPr>
          <w:rFonts w:cs="Arial"/>
          <w:szCs w:val="20"/>
          <w:lang w:val="sl-SI"/>
        </w:rPr>
        <w:t xml:space="preserve"> materialov, ampak na učinkovit</w:t>
      </w:r>
      <w:r>
        <w:rPr>
          <w:rFonts w:cs="Arial"/>
          <w:szCs w:val="20"/>
          <w:lang w:val="sl-SI"/>
        </w:rPr>
        <w:t>ejši</w:t>
      </w:r>
      <w:r w:rsidRPr="005771BD">
        <w:rPr>
          <w:rFonts w:cs="Arial"/>
          <w:szCs w:val="20"/>
          <w:lang w:val="sl-SI"/>
        </w:rPr>
        <w:t xml:space="preserve"> rabi razpoložljivih materialov oz</w:t>
      </w:r>
      <w:r>
        <w:rPr>
          <w:rFonts w:cs="Arial"/>
          <w:szCs w:val="20"/>
          <w:lang w:val="sl-SI"/>
        </w:rPr>
        <w:t>iroma</w:t>
      </w:r>
      <w:r w:rsidRPr="005771BD">
        <w:rPr>
          <w:rFonts w:cs="Arial"/>
          <w:szCs w:val="20"/>
          <w:lang w:val="sl-SI"/>
        </w:rPr>
        <w:t xml:space="preserve"> snovi</w:t>
      </w:r>
      <w:r>
        <w:rPr>
          <w:rFonts w:cs="Arial"/>
          <w:szCs w:val="20"/>
          <w:lang w:val="sl-SI"/>
        </w:rPr>
        <w:t xml:space="preserve">, </w:t>
      </w:r>
      <w:r w:rsidRPr="005771BD">
        <w:rPr>
          <w:rFonts w:cs="Arial"/>
          <w:szCs w:val="20"/>
          <w:lang w:val="sl-SI"/>
        </w:rPr>
        <w:t xml:space="preserve"> torej več dodane vrednosti proizvede z enako ali manjšo količino porabljenih snovi ali materialov. Opazimo lahko, da v Sloveniji v zadnjem obdobju bruto proizvod raste kljub zmanjševanju porabe snovi. Ta trend je pozitiven, vendar zaradi sovpadanja z obdobjem gospodarske krize in že omenjenega upada gradbeništva težko sklepamo, da gre za dolgoročno popolno prekinitev medsebojne povezave. </w:t>
      </w:r>
    </w:p>
    <w:p w:rsidR="002F73CD" w:rsidRPr="005C1DA5" w:rsidRDefault="002F73CD" w:rsidP="002F73CD">
      <w:pPr>
        <w:spacing w:after="200" w:line="276" w:lineRule="auto"/>
        <w:ind w:left="360"/>
        <w:jc w:val="both"/>
        <w:rPr>
          <w:noProof/>
          <w:lang w:val="sl-SI" w:eastAsia="sl-SI"/>
        </w:rPr>
      </w:pPr>
      <w:r w:rsidRPr="007F272F">
        <w:rPr>
          <w:noProof/>
          <w:lang w:val="sl-SI" w:eastAsia="sl-SI"/>
        </w:rPr>
        <w:drawing>
          <wp:inline distT="0" distB="0" distL="0" distR="0" wp14:anchorId="12EDC02C" wp14:editId="45F203BE">
            <wp:extent cx="3670300" cy="2432685"/>
            <wp:effectExtent l="0" t="0" r="6350" b="5715"/>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670300" cy="2432685"/>
                    </a:xfrm>
                    <a:prstGeom prst="rect">
                      <a:avLst/>
                    </a:prstGeom>
                    <a:noFill/>
                  </pic:spPr>
                </pic:pic>
              </a:graphicData>
            </a:graphic>
          </wp:inline>
        </w:drawing>
      </w:r>
    </w:p>
    <w:p w:rsidR="002F73CD" w:rsidRPr="005771BD" w:rsidRDefault="002F73CD" w:rsidP="002F73CD">
      <w:pPr>
        <w:spacing w:after="200" w:line="276" w:lineRule="auto"/>
        <w:rPr>
          <w:rFonts w:cs="Arial"/>
          <w:b/>
          <w:i/>
          <w:szCs w:val="20"/>
          <w:lang w:val="sl-SI"/>
        </w:rPr>
      </w:pPr>
      <w:r w:rsidRPr="005771BD">
        <w:rPr>
          <w:rFonts w:cs="Arial"/>
          <w:i/>
          <w:szCs w:val="20"/>
          <w:lang w:val="sl-SI"/>
        </w:rPr>
        <w:t xml:space="preserve">Slika </w:t>
      </w:r>
      <w:r w:rsidR="002F3C80">
        <w:rPr>
          <w:rFonts w:cs="Arial"/>
          <w:i/>
          <w:szCs w:val="20"/>
          <w:lang w:val="sl-SI"/>
        </w:rPr>
        <w:t>9</w:t>
      </w:r>
      <w:r w:rsidRPr="005771BD">
        <w:rPr>
          <w:rFonts w:cs="Arial"/>
          <w:i/>
          <w:szCs w:val="20"/>
          <w:lang w:val="sl-SI"/>
        </w:rPr>
        <w:t>.4: Gibanja domačega bruto proizvoda, domače porabe snovi in snovne produktivnosti v Sloveniji (2000–2014</w:t>
      </w:r>
      <w:r w:rsidRPr="005771BD">
        <w:rPr>
          <w:rFonts w:cs="Arial"/>
          <w:b/>
          <w:i/>
          <w:szCs w:val="20"/>
          <w:lang w:val="sl-SI"/>
        </w:rPr>
        <w:t>)</w:t>
      </w:r>
    </w:p>
    <w:p w:rsidR="002F73CD" w:rsidRPr="005771BD" w:rsidRDefault="002F73CD" w:rsidP="002F73CD">
      <w:pPr>
        <w:spacing w:after="200" w:line="276" w:lineRule="auto"/>
        <w:jc w:val="both"/>
        <w:rPr>
          <w:rFonts w:cs="Arial"/>
          <w:szCs w:val="20"/>
          <w:lang w:val="sl-SI"/>
        </w:rPr>
      </w:pPr>
      <w:r w:rsidRPr="005771BD">
        <w:rPr>
          <w:rFonts w:cs="Arial"/>
          <w:szCs w:val="20"/>
          <w:lang w:val="sl-SI"/>
        </w:rPr>
        <w:t>v Sloveniji so z vidika prehoda na krožno gospodarstvo pomembna mala in srednja podjetja (MSP)</w:t>
      </w:r>
      <w:r>
        <w:rPr>
          <w:rFonts w:cs="Arial"/>
          <w:szCs w:val="20"/>
          <w:lang w:val="sl-SI"/>
        </w:rPr>
        <w:t>,</w:t>
      </w:r>
      <w:r w:rsidRPr="005771BD">
        <w:rPr>
          <w:rFonts w:cs="Arial"/>
          <w:szCs w:val="20"/>
          <w:lang w:val="sl-SI"/>
        </w:rPr>
        <w:t xml:space="preserve"> in sicer zaradi </w:t>
      </w:r>
      <w:r>
        <w:rPr>
          <w:rFonts w:cs="Arial"/>
          <w:szCs w:val="20"/>
          <w:lang w:val="sl-SI"/>
        </w:rPr>
        <w:t>njihovega</w:t>
      </w:r>
      <w:r w:rsidRPr="005771BD">
        <w:rPr>
          <w:rFonts w:cs="Arial"/>
          <w:szCs w:val="20"/>
          <w:lang w:val="sl-SI"/>
        </w:rPr>
        <w:t xml:space="preserve"> deleža v gospodarstvu (63</w:t>
      </w:r>
      <w:r>
        <w:rPr>
          <w:rFonts w:cs="Arial"/>
          <w:szCs w:val="20"/>
          <w:lang w:val="sl-SI"/>
        </w:rPr>
        <w:t xml:space="preserve"> </w:t>
      </w:r>
      <w:r w:rsidRPr="005771BD">
        <w:rPr>
          <w:rFonts w:cs="Arial"/>
          <w:szCs w:val="20"/>
          <w:lang w:val="sl-SI"/>
        </w:rPr>
        <w:t>% dodane vrednosti in 73</w:t>
      </w:r>
      <w:r>
        <w:rPr>
          <w:rFonts w:cs="Arial"/>
          <w:szCs w:val="20"/>
          <w:lang w:val="sl-SI"/>
        </w:rPr>
        <w:t xml:space="preserve"> </w:t>
      </w:r>
      <w:r w:rsidRPr="005771BD">
        <w:rPr>
          <w:rFonts w:cs="Arial"/>
          <w:szCs w:val="20"/>
          <w:lang w:val="sl-SI"/>
        </w:rPr>
        <w:t xml:space="preserve">% zaposlitev), potreb po svetovanju in podatkov, ki kažejo, da imajo še rezerve </w:t>
      </w:r>
      <w:r>
        <w:rPr>
          <w:rFonts w:cs="Arial"/>
          <w:szCs w:val="20"/>
          <w:lang w:val="sl-SI"/>
        </w:rPr>
        <w:t>glede</w:t>
      </w:r>
      <w:r w:rsidRPr="005771BD">
        <w:rPr>
          <w:rFonts w:cs="Arial"/>
          <w:szCs w:val="20"/>
          <w:lang w:val="sl-SI"/>
        </w:rPr>
        <w:t xml:space="preserve"> konkurenčnosti</w:t>
      </w:r>
      <w:r>
        <w:rPr>
          <w:rFonts w:cs="Arial"/>
          <w:szCs w:val="20"/>
          <w:lang w:val="sl-SI"/>
        </w:rPr>
        <w:t xml:space="preserve"> ter</w:t>
      </w:r>
      <w:r w:rsidRPr="005771BD">
        <w:rPr>
          <w:rFonts w:cs="Arial"/>
          <w:szCs w:val="20"/>
          <w:lang w:val="sl-SI"/>
        </w:rPr>
        <w:t xml:space="preserve"> okoljsk</w:t>
      </w:r>
      <w:r>
        <w:rPr>
          <w:rFonts w:cs="Arial"/>
          <w:szCs w:val="20"/>
          <w:lang w:val="sl-SI"/>
        </w:rPr>
        <w:t>e</w:t>
      </w:r>
      <w:r w:rsidRPr="005771BD">
        <w:rPr>
          <w:rFonts w:cs="Arial"/>
          <w:szCs w:val="20"/>
          <w:lang w:val="sl-SI"/>
        </w:rPr>
        <w:t xml:space="preserve"> in snovn</w:t>
      </w:r>
      <w:r>
        <w:rPr>
          <w:rFonts w:cs="Arial"/>
          <w:szCs w:val="20"/>
          <w:lang w:val="sl-SI"/>
        </w:rPr>
        <w:t>e</w:t>
      </w:r>
      <w:r w:rsidRPr="005771BD">
        <w:rPr>
          <w:rFonts w:cs="Arial"/>
          <w:szCs w:val="20"/>
          <w:lang w:val="sl-SI"/>
        </w:rPr>
        <w:t xml:space="preserve"> učinkovitosti. </w:t>
      </w:r>
    </w:p>
    <w:p w:rsidR="002F73CD" w:rsidRPr="005771BD" w:rsidRDefault="002F73CD" w:rsidP="002F73CD">
      <w:pPr>
        <w:spacing w:after="200" w:line="276" w:lineRule="auto"/>
        <w:jc w:val="both"/>
        <w:rPr>
          <w:rFonts w:cs="Arial"/>
          <w:szCs w:val="20"/>
          <w:lang w:val="sl-SI"/>
        </w:rPr>
      </w:pPr>
      <w:r>
        <w:rPr>
          <w:rFonts w:cs="Arial"/>
          <w:szCs w:val="20"/>
          <w:lang w:val="sl-SI"/>
        </w:rPr>
        <w:t>U</w:t>
      </w:r>
      <w:r w:rsidRPr="005771BD">
        <w:rPr>
          <w:rFonts w:cs="Arial"/>
          <w:szCs w:val="20"/>
          <w:lang w:val="sl-SI"/>
        </w:rPr>
        <w:t>činkovit</w:t>
      </w:r>
      <w:r>
        <w:rPr>
          <w:rFonts w:cs="Arial"/>
          <w:szCs w:val="20"/>
          <w:lang w:val="sl-SI"/>
        </w:rPr>
        <w:t>ejša</w:t>
      </w:r>
      <w:r w:rsidRPr="005771BD">
        <w:rPr>
          <w:rFonts w:cs="Arial"/>
          <w:szCs w:val="20"/>
          <w:lang w:val="sl-SI"/>
        </w:rPr>
        <w:t xml:space="preserve"> raba virov za podjetje ne pomeni vedno velikih vlaganj. Raziskava Evropske komisije – </w:t>
      </w:r>
      <w:r w:rsidRPr="005771BD">
        <w:rPr>
          <w:rFonts w:cs="Arial"/>
          <w:i/>
          <w:szCs w:val="20"/>
          <w:lang w:val="sl-SI"/>
        </w:rPr>
        <w:t>MSP, snovna učinkovitost in zeleni trgi</w:t>
      </w:r>
      <w:r w:rsidRPr="005771BD">
        <w:rPr>
          <w:rFonts w:cs="Arial"/>
          <w:szCs w:val="20"/>
          <w:vertAlign w:val="superscript"/>
          <w:lang w:val="sl-SI"/>
        </w:rPr>
        <w:footnoteReference w:id="22"/>
      </w:r>
      <w:r w:rsidRPr="005771BD">
        <w:rPr>
          <w:rFonts w:cs="Arial"/>
          <w:szCs w:val="20"/>
          <w:lang w:val="sl-SI"/>
        </w:rPr>
        <w:t xml:space="preserve"> kaže, da kar četrtini slovenskih MSP, ki so uvedla ukrepe za izboljšanje učinkovite rabe virov, v zadnjih dveh letih ni bilo treb</w:t>
      </w:r>
      <w:r>
        <w:rPr>
          <w:rFonts w:cs="Arial"/>
          <w:szCs w:val="20"/>
          <w:lang w:val="sl-SI"/>
        </w:rPr>
        <w:t>a</w:t>
      </w:r>
      <w:r w:rsidRPr="005771BD">
        <w:rPr>
          <w:rFonts w:cs="Arial"/>
          <w:szCs w:val="20"/>
          <w:lang w:val="sl-SI"/>
        </w:rPr>
        <w:t xml:space="preserve"> nameniti dela dobička v tovrstne ukrepe, velik delež (58 %) jih je za ukrepe za učinkovito rabo virov namenilo do 5% dobička. Kakšne ukrepe so uvajala slovenska podjetja? 33 % jih je ponujalo zelene izdelke in storitve (</w:t>
      </w:r>
      <w:r>
        <w:rPr>
          <w:rFonts w:cs="Arial"/>
          <w:szCs w:val="20"/>
          <w:lang w:val="sl-SI"/>
        </w:rPr>
        <w:t xml:space="preserve">povprečje </w:t>
      </w:r>
      <w:r w:rsidRPr="005771BD">
        <w:rPr>
          <w:rFonts w:cs="Arial"/>
          <w:szCs w:val="20"/>
          <w:lang w:val="sl-SI"/>
        </w:rPr>
        <w:t>EU-28 je 26</w:t>
      </w:r>
      <w:r>
        <w:rPr>
          <w:rFonts w:cs="Arial"/>
          <w:szCs w:val="20"/>
          <w:lang w:val="sl-SI"/>
        </w:rPr>
        <w:t xml:space="preserve"> </w:t>
      </w:r>
      <w:r w:rsidRPr="005771BD">
        <w:rPr>
          <w:rFonts w:cs="Arial"/>
          <w:szCs w:val="20"/>
          <w:lang w:val="sl-SI"/>
        </w:rPr>
        <w:t>%), 44</w:t>
      </w:r>
      <w:r>
        <w:rPr>
          <w:rFonts w:cs="Arial"/>
          <w:szCs w:val="20"/>
          <w:lang w:val="sl-SI"/>
        </w:rPr>
        <w:t xml:space="preserve"> </w:t>
      </w:r>
      <w:r w:rsidRPr="005771BD">
        <w:rPr>
          <w:rFonts w:cs="Arial"/>
          <w:szCs w:val="20"/>
          <w:lang w:val="sl-SI"/>
        </w:rPr>
        <w:t>% jih je uvedlo ukrepe za varčevanje energije (</w:t>
      </w:r>
      <w:r>
        <w:rPr>
          <w:rFonts w:cs="Arial"/>
          <w:szCs w:val="20"/>
          <w:lang w:val="sl-SI"/>
        </w:rPr>
        <w:t xml:space="preserve">povprečje </w:t>
      </w:r>
      <w:r w:rsidRPr="005771BD">
        <w:rPr>
          <w:rFonts w:cs="Arial"/>
          <w:szCs w:val="20"/>
          <w:lang w:val="sl-SI"/>
        </w:rPr>
        <w:t xml:space="preserve">EU-28 </w:t>
      </w:r>
      <w:r>
        <w:rPr>
          <w:rFonts w:cs="Arial"/>
          <w:szCs w:val="20"/>
          <w:lang w:val="sl-SI"/>
        </w:rPr>
        <w:t xml:space="preserve">je </w:t>
      </w:r>
      <w:r w:rsidRPr="005771BD">
        <w:rPr>
          <w:rFonts w:cs="Arial"/>
          <w:szCs w:val="20"/>
          <w:lang w:val="sl-SI"/>
        </w:rPr>
        <w:t>59</w:t>
      </w:r>
      <w:r>
        <w:rPr>
          <w:rFonts w:cs="Arial"/>
          <w:szCs w:val="20"/>
          <w:lang w:val="sl-SI"/>
        </w:rPr>
        <w:t xml:space="preserve"> </w:t>
      </w:r>
      <w:r w:rsidRPr="005771BD">
        <w:rPr>
          <w:rFonts w:cs="Arial"/>
          <w:szCs w:val="20"/>
          <w:lang w:val="sl-SI"/>
        </w:rPr>
        <w:t>%), 40</w:t>
      </w:r>
      <w:r>
        <w:rPr>
          <w:rFonts w:cs="Arial"/>
          <w:szCs w:val="20"/>
          <w:lang w:val="sl-SI"/>
        </w:rPr>
        <w:t xml:space="preserve"> </w:t>
      </w:r>
      <w:r w:rsidRPr="005771BD">
        <w:rPr>
          <w:rFonts w:cs="Arial"/>
          <w:szCs w:val="20"/>
          <w:lang w:val="sl-SI"/>
        </w:rPr>
        <w:t>% jih je zmanjšalo odpadke (</w:t>
      </w:r>
      <w:r>
        <w:rPr>
          <w:rFonts w:cs="Arial"/>
          <w:szCs w:val="20"/>
          <w:lang w:val="sl-SI"/>
        </w:rPr>
        <w:t xml:space="preserve">povprečje </w:t>
      </w:r>
      <w:r w:rsidRPr="005771BD">
        <w:rPr>
          <w:rFonts w:cs="Arial"/>
          <w:szCs w:val="20"/>
          <w:lang w:val="sl-SI"/>
        </w:rPr>
        <w:t>EU-28 je 60</w:t>
      </w:r>
      <w:r>
        <w:rPr>
          <w:rFonts w:cs="Arial"/>
          <w:szCs w:val="20"/>
          <w:lang w:val="sl-SI"/>
        </w:rPr>
        <w:t xml:space="preserve"> </w:t>
      </w:r>
      <w:r w:rsidRPr="005771BD">
        <w:rPr>
          <w:rFonts w:cs="Arial"/>
          <w:szCs w:val="20"/>
          <w:lang w:val="sl-SI"/>
        </w:rPr>
        <w:t>%), 29</w:t>
      </w:r>
      <w:r>
        <w:rPr>
          <w:rFonts w:cs="Arial"/>
          <w:szCs w:val="20"/>
          <w:lang w:val="sl-SI"/>
        </w:rPr>
        <w:t xml:space="preserve"> </w:t>
      </w:r>
      <w:r w:rsidRPr="005771BD">
        <w:rPr>
          <w:rFonts w:cs="Arial"/>
          <w:szCs w:val="20"/>
          <w:lang w:val="sl-SI"/>
        </w:rPr>
        <w:t>% jih je izboljšalo ravnanje z vodo (varčevanje) (</w:t>
      </w:r>
      <w:r>
        <w:rPr>
          <w:rFonts w:cs="Arial"/>
          <w:szCs w:val="20"/>
          <w:lang w:val="sl-SI"/>
        </w:rPr>
        <w:t xml:space="preserve">povprečje </w:t>
      </w:r>
      <w:r w:rsidRPr="005771BD">
        <w:rPr>
          <w:rFonts w:cs="Arial"/>
          <w:szCs w:val="20"/>
          <w:lang w:val="sl-SI"/>
        </w:rPr>
        <w:t>EU-28 je 44</w:t>
      </w:r>
      <w:r>
        <w:rPr>
          <w:rFonts w:cs="Arial"/>
          <w:szCs w:val="20"/>
          <w:lang w:val="sl-SI"/>
        </w:rPr>
        <w:t xml:space="preserve"> </w:t>
      </w:r>
      <w:r w:rsidRPr="005771BD">
        <w:rPr>
          <w:rFonts w:cs="Arial"/>
          <w:szCs w:val="20"/>
          <w:lang w:val="sl-SI"/>
        </w:rPr>
        <w:t>%) in 45</w:t>
      </w:r>
      <w:r>
        <w:rPr>
          <w:rFonts w:cs="Arial"/>
          <w:szCs w:val="20"/>
          <w:lang w:val="sl-SI"/>
        </w:rPr>
        <w:t xml:space="preserve"> </w:t>
      </w:r>
      <w:r w:rsidRPr="005771BD">
        <w:rPr>
          <w:rFonts w:cs="Arial"/>
          <w:szCs w:val="20"/>
          <w:lang w:val="sl-SI"/>
        </w:rPr>
        <w:t>% jih je investiralo</w:t>
      </w:r>
      <w:r>
        <w:rPr>
          <w:rFonts w:cs="Arial"/>
          <w:szCs w:val="20"/>
          <w:lang w:val="sl-SI"/>
        </w:rPr>
        <w:t xml:space="preserve"> </w:t>
      </w:r>
      <w:r w:rsidRPr="005771BD">
        <w:rPr>
          <w:rFonts w:cs="Arial"/>
          <w:szCs w:val="20"/>
          <w:lang w:val="sl-SI"/>
        </w:rPr>
        <w:t>v varčevanje z materiali (</w:t>
      </w:r>
      <w:r>
        <w:rPr>
          <w:rFonts w:cs="Arial"/>
          <w:szCs w:val="20"/>
          <w:lang w:val="sl-SI"/>
        </w:rPr>
        <w:t xml:space="preserve">povprečje </w:t>
      </w:r>
      <w:r w:rsidRPr="005771BD">
        <w:rPr>
          <w:rFonts w:cs="Arial"/>
          <w:szCs w:val="20"/>
          <w:lang w:val="sl-SI"/>
        </w:rPr>
        <w:t>EU-28 je 54</w:t>
      </w:r>
      <w:r>
        <w:rPr>
          <w:rFonts w:cs="Arial"/>
          <w:szCs w:val="20"/>
          <w:lang w:val="sl-SI"/>
        </w:rPr>
        <w:t xml:space="preserve"> </w:t>
      </w:r>
      <w:r w:rsidRPr="005771BD">
        <w:rPr>
          <w:rFonts w:cs="Arial"/>
          <w:szCs w:val="20"/>
          <w:lang w:val="sl-SI"/>
        </w:rPr>
        <w:t xml:space="preserve">%). </w:t>
      </w:r>
    </w:p>
    <w:p w:rsidR="002F73CD" w:rsidRPr="005771BD" w:rsidRDefault="002F73CD" w:rsidP="002F73CD">
      <w:pPr>
        <w:spacing w:after="200" w:line="276" w:lineRule="auto"/>
        <w:rPr>
          <w:rFonts w:cs="Arial"/>
          <w:szCs w:val="20"/>
          <w:lang w:val="sl-SI"/>
        </w:rPr>
      </w:pPr>
      <w:r w:rsidRPr="005771BD">
        <w:rPr>
          <w:rFonts w:cs="Arial"/>
          <w:szCs w:val="20"/>
          <w:lang w:val="sl-SI"/>
        </w:rPr>
        <w:t xml:space="preserve">V okviru koncepta (modela) krožnega gospodarstva so zanimivi ukrepi: </w:t>
      </w:r>
    </w:p>
    <w:tbl>
      <w:tblPr>
        <w:tblStyle w:val="Svetelseznampoudarek31"/>
        <w:tblW w:w="9180" w:type="dxa"/>
        <w:tblBorders>
          <w:top w:val="single" w:sz="8" w:space="0" w:color="969696" w:themeColor="accent3"/>
          <w:left w:val="single" w:sz="8" w:space="0" w:color="969696" w:themeColor="accent3"/>
          <w:bottom w:val="single" w:sz="8" w:space="0" w:color="969696" w:themeColor="accent3"/>
          <w:right w:val="single" w:sz="8" w:space="0" w:color="969696" w:themeColor="accent3"/>
          <w:insideH w:val="single" w:sz="6" w:space="0" w:color="969696" w:themeColor="accent3"/>
          <w:insideV w:val="single" w:sz="6" w:space="0" w:color="969696" w:themeColor="accent3"/>
        </w:tblBorders>
        <w:tblLook w:val="04A0" w:firstRow="1" w:lastRow="0" w:firstColumn="1" w:lastColumn="0" w:noHBand="0" w:noVBand="1"/>
      </w:tblPr>
      <w:tblGrid>
        <w:gridCol w:w="5495"/>
        <w:gridCol w:w="1560"/>
        <w:gridCol w:w="2125"/>
      </w:tblGrid>
      <w:tr w:rsidR="002F73CD" w:rsidRPr="005771BD" w:rsidTr="00ED0D9D">
        <w:trPr>
          <w:cnfStyle w:val="100000000000" w:firstRow="1" w:lastRow="0" w:firstColumn="0" w:lastColumn="0" w:oddVBand="0" w:evenVBand="0" w:oddHBand="0"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5495" w:type="dxa"/>
          </w:tcPr>
          <w:p w:rsidR="002F73CD" w:rsidRPr="002F3C80" w:rsidRDefault="002F73CD" w:rsidP="00ED0D9D">
            <w:pPr>
              <w:keepNext/>
              <w:tabs>
                <w:tab w:val="left" w:pos="851"/>
                <w:tab w:val="left" w:pos="1134"/>
              </w:tabs>
              <w:spacing w:before="60" w:line="276" w:lineRule="auto"/>
              <w:ind w:left="851" w:hanging="851"/>
              <w:rPr>
                <w:rFonts w:cs="Arial"/>
                <w:b w:val="0"/>
                <w:i/>
                <w:noProof/>
                <w:sz w:val="18"/>
                <w:szCs w:val="18"/>
                <w:lang w:val="sl-SI"/>
              </w:rPr>
            </w:pPr>
            <w:r w:rsidRPr="002F3C80">
              <w:rPr>
                <w:rFonts w:cs="Arial"/>
                <w:b w:val="0"/>
                <w:i/>
                <w:noProof/>
                <w:sz w:val="18"/>
                <w:szCs w:val="18"/>
                <w:lang w:val="sl-SI"/>
              </w:rPr>
              <w:t>Ukrep, ki so ga uvedli</w:t>
            </w:r>
          </w:p>
        </w:tc>
        <w:tc>
          <w:tcPr>
            <w:tcW w:w="1560" w:type="dxa"/>
          </w:tcPr>
          <w:p w:rsidR="002F73CD" w:rsidRPr="002F3C80" w:rsidRDefault="002F73CD" w:rsidP="00ED0D9D">
            <w:pPr>
              <w:keepNext/>
              <w:tabs>
                <w:tab w:val="left" w:pos="851"/>
                <w:tab w:val="left" w:pos="1134"/>
              </w:tabs>
              <w:spacing w:before="60" w:line="276" w:lineRule="auto"/>
              <w:ind w:left="851" w:hanging="851"/>
              <w:cnfStyle w:val="100000000000" w:firstRow="1" w:lastRow="0" w:firstColumn="0" w:lastColumn="0" w:oddVBand="0" w:evenVBand="0" w:oddHBand="0" w:evenHBand="0" w:firstRowFirstColumn="0" w:firstRowLastColumn="0" w:lastRowFirstColumn="0" w:lastRowLastColumn="0"/>
              <w:rPr>
                <w:rFonts w:cs="Arial"/>
                <w:b w:val="0"/>
                <w:i/>
                <w:noProof/>
                <w:sz w:val="18"/>
                <w:szCs w:val="18"/>
                <w:lang w:val="sl-SI"/>
              </w:rPr>
            </w:pPr>
            <w:r w:rsidRPr="002F3C80">
              <w:rPr>
                <w:rFonts w:cs="Arial"/>
                <w:b w:val="0"/>
                <w:i/>
                <w:noProof/>
                <w:sz w:val="18"/>
                <w:szCs w:val="18"/>
                <w:lang w:val="sl-SI"/>
              </w:rPr>
              <w:t>Delež SI MSP</w:t>
            </w:r>
          </w:p>
        </w:tc>
        <w:tc>
          <w:tcPr>
            <w:tcW w:w="2125" w:type="dxa"/>
          </w:tcPr>
          <w:p w:rsidR="002F73CD" w:rsidRPr="002F3C80" w:rsidRDefault="002F73CD" w:rsidP="00ED0D9D">
            <w:pPr>
              <w:keepNext/>
              <w:tabs>
                <w:tab w:val="left" w:pos="851"/>
                <w:tab w:val="left" w:pos="1134"/>
              </w:tabs>
              <w:spacing w:before="60" w:line="276" w:lineRule="auto"/>
              <w:ind w:left="851" w:hanging="851"/>
              <w:cnfStyle w:val="100000000000" w:firstRow="1" w:lastRow="0" w:firstColumn="0" w:lastColumn="0" w:oddVBand="0" w:evenVBand="0" w:oddHBand="0" w:evenHBand="0" w:firstRowFirstColumn="0" w:firstRowLastColumn="0" w:lastRowFirstColumn="0" w:lastRowLastColumn="0"/>
              <w:rPr>
                <w:rFonts w:cs="Arial"/>
                <w:b w:val="0"/>
                <w:i/>
                <w:noProof/>
                <w:sz w:val="18"/>
                <w:szCs w:val="18"/>
                <w:lang w:val="sl-SI"/>
              </w:rPr>
            </w:pPr>
            <w:r w:rsidRPr="002F3C80">
              <w:rPr>
                <w:rFonts w:cs="Arial"/>
                <w:b w:val="0"/>
                <w:i/>
                <w:noProof/>
                <w:sz w:val="18"/>
                <w:szCs w:val="18"/>
                <w:lang w:val="sl-SI"/>
              </w:rPr>
              <w:t>Delež EU-28 MSP</w:t>
            </w:r>
          </w:p>
        </w:tc>
      </w:tr>
      <w:tr w:rsidR="002F73CD" w:rsidRPr="005771BD" w:rsidTr="00ED0D9D">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5495" w:type="dxa"/>
            <w:tcBorders>
              <w:top w:val="none" w:sz="0" w:space="0" w:color="auto"/>
              <w:left w:val="none" w:sz="0" w:space="0" w:color="auto"/>
              <w:bottom w:val="none" w:sz="0" w:space="0" w:color="auto"/>
            </w:tcBorders>
          </w:tcPr>
          <w:p w:rsidR="002F73CD" w:rsidRPr="002F3C80" w:rsidRDefault="002F73CD" w:rsidP="00ED0D9D">
            <w:pPr>
              <w:keepNext/>
              <w:tabs>
                <w:tab w:val="left" w:pos="0"/>
                <w:tab w:val="left" w:pos="1134"/>
              </w:tabs>
              <w:spacing w:before="60" w:line="276" w:lineRule="auto"/>
              <w:rPr>
                <w:rFonts w:cs="Arial"/>
                <w:b w:val="0"/>
                <w:noProof/>
                <w:sz w:val="18"/>
                <w:szCs w:val="18"/>
                <w:lang w:val="sl-SI"/>
              </w:rPr>
            </w:pPr>
            <w:r w:rsidRPr="002F3C80">
              <w:rPr>
                <w:rFonts w:cs="Arial"/>
                <w:b w:val="0"/>
                <w:noProof/>
                <w:sz w:val="18"/>
                <w:szCs w:val="18"/>
                <w:lang w:val="sl-SI"/>
              </w:rPr>
              <w:t>Recikliranje s ponovno uporabo materialov oziroma odpadkov znotraj podjetja</w:t>
            </w:r>
          </w:p>
        </w:tc>
        <w:tc>
          <w:tcPr>
            <w:tcW w:w="1560" w:type="dxa"/>
            <w:tcBorders>
              <w:top w:val="none" w:sz="0" w:space="0" w:color="auto"/>
              <w:bottom w:val="none" w:sz="0" w:space="0" w:color="auto"/>
            </w:tcBorders>
          </w:tcPr>
          <w:p w:rsidR="002F73CD" w:rsidRPr="002F3C80" w:rsidRDefault="002F73CD" w:rsidP="00ED0D9D">
            <w:pPr>
              <w:keepNext/>
              <w:tabs>
                <w:tab w:val="left" w:pos="851"/>
                <w:tab w:val="left" w:pos="1134"/>
              </w:tabs>
              <w:spacing w:before="60" w:line="276" w:lineRule="auto"/>
              <w:ind w:left="851" w:hanging="851"/>
              <w:jc w:val="center"/>
              <w:cnfStyle w:val="000000100000" w:firstRow="0" w:lastRow="0" w:firstColumn="0" w:lastColumn="0" w:oddVBand="0" w:evenVBand="0" w:oddHBand="1" w:evenHBand="0" w:firstRowFirstColumn="0" w:firstRowLastColumn="0" w:lastRowFirstColumn="0" w:lastRowLastColumn="0"/>
              <w:rPr>
                <w:rFonts w:cs="Arial"/>
                <w:bCs/>
                <w:i/>
                <w:noProof/>
                <w:sz w:val="18"/>
                <w:szCs w:val="18"/>
                <w:lang w:val="sl-SI"/>
              </w:rPr>
            </w:pPr>
            <w:r w:rsidRPr="002F3C80">
              <w:rPr>
                <w:rFonts w:cs="Arial"/>
                <w:bCs/>
                <w:i/>
                <w:noProof/>
                <w:sz w:val="18"/>
                <w:szCs w:val="18"/>
                <w:lang w:val="sl-SI"/>
              </w:rPr>
              <w:t>30 %</w:t>
            </w:r>
          </w:p>
        </w:tc>
        <w:tc>
          <w:tcPr>
            <w:tcW w:w="2125" w:type="dxa"/>
            <w:tcBorders>
              <w:top w:val="none" w:sz="0" w:space="0" w:color="auto"/>
              <w:bottom w:val="none" w:sz="0" w:space="0" w:color="auto"/>
              <w:right w:val="none" w:sz="0" w:space="0" w:color="auto"/>
            </w:tcBorders>
          </w:tcPr>
          <w:p w:rsidR="002F73CD" w:rsidRPr="002F3C80" w:rsidRDefault="002F73CD" w:rsidP="00ED0D9D">
            <w:pPr>
              <w:keepNext/>
              <w:tabs>
                <w:tab w:val="left" w:pos="851"/>
                <w:tab w:val="left" w:pos="1134"/>
              </w:tabs>
              <w:spacing w:before="60" w:line="276" w:lineRule="auto"/>
              <w:ind w:left="851" w:hanging="851"/>
              <w:jc w:val="center"/>
              <w:cnfStyle w:val="000000100000" w:firstRow="0" w:lastRow="0" w:firstColumn="0" w:lastColumn="0" w:oddVBand="0" w:evenVBand="0" w:oddHBand="1" w:evenHBand="0" w:firstRowFirstColumn="0" w:firstRowLastColumn="0" w:lastRowFirstColumn="0" w:lastRowLastColumn="0"/>
              <w:rPr>
                <w:rFonts w:cs="Arial"/>
                <w:bCs/>
                <w:i/>
                <w:noProof/>
                <w:sz w:val="18"/>
                <w:szCs w:val="18"/>
                <w:lang w:val="sl-SI"/>
              </w:rPr>
            </w:pPr>
            <w:r w:rsidRPr="002F3C80">
              <w:rPr>
                <w:rFonts w:cs="Arial"/>
                <w:bCs/>
                <w:i/>
                <w:noProof/>
                <w:sz w:val="18"/>
                <w:szCs w:val="18"/>
                <w:lang w:val="sl-SI"/>
              </w:rPr>
              <w:t>40 %</w:t>
            </w:r>
          </w:p>
        </w:tc>
      </w:tr>
      <w:tr w:rsidR="002F73CD" w:rsidRPr="005771BD" w:rsidTr="00ED0D9D">
        <w:trPr>
          <w:trHeight w:val="260"/>
        </w:trPr>
        <w:tc>
          <w:tcPr>
            <w:cnfStyle w:val="001000000000" w:firstRow="0" w:lastRow="0" w:firstColumn="1" w:lastColumn="0" w:oddVBand="0" w:evenVBand="0" w:oddHBand="0" w:evenHBand="0" w:firstRowFirstColumn="0" w:firstRowLastColumn="0" w:lastRowFirstColumn="0" w:lastRowLastColumn="0"/>
            <w:tcW w:w="5495" w:type="dxa"/>
          </w:tcPr>
          <w:p w:rsidR="002F73CD" w:rsidRPr="002F3C80" w:rsidRDefault="002F73CD" w:rsidP="00ED0D9D">
            <w:pPr>
              <w:keepNext/>
              <w:tabs>
                <w:tab w:val="left" w:pos="0"/>
                <w:tab w:val="left" w:pos="1134"/>
              </w:tabs>
              <w:spacing w:before="60" w:line="276" w:lineRule="auto"/>
              <w:rPr>
                <w:rFonts w:cs="Arial"/>
                <w:b w:val="0"/>
                <w:noProof/>
                <w:sz w:val="18"/>
                <w:szCs w:val="18"/>
                <w:lang w:val="sl-SI"/>
              </w:rPr>
            </w:pPr>
            <w:r w:rsidRPr="002F3C80">
              <w:rPr>
                <w:rFonts w:cs="Arial"/>
                <w:b w:val="0"/>
                <w:noProof/>
                <w:sz w:val="18"/>
                <w:szCs w:val="18"/>
                <w:lang w:val="sl-SI"/>
              </w:rPr>
              <w:t>Oblikovanje  izdelkov, ki jih je lažje vzdrževati, popraviti  ali ponovno uporabiti</w:t>
            </w:r>
          </w:p>
        </w:tc>
        <w:tc>
          <w:tcPr>
            <w:tcW w:w="1560" w:type="dxa"/>
          </w:tcPr>
          <w:p w:rsidR="002F73CD" w:rsidRPr="002F3C80" w:rsidRDefault="002F73CD" w:rsidP="00ED0D9D">
            <w:pPr>
              <w:keepNext/>
              <w:tabs>
                <w:tab w:val="left" w:pos="851"/>
                <w:tab w:val="left" w:pos="1134"/>
              </w:tabs>
              <w:spacing w:before="60" w:line="276" w:lineRule="auto"/>
              <w:ind w:left="851" w:hanging="851"/>
              <w:jc w:val="center"/>
              <w:cnfStyle w:val="000000000000" w:firstRow="0" w:lastRow="0" w:firstColumn="0" w:lastColumn="0" w:oddVBand="0" w:evenVBand="0" w:oddHBand="0" w:evenHBand="0" w:firstRowFirstColumn="0" w:firstRowLastColumn="0" w:lastRowFirstColumn="0" w:lastRowLastColumn="0"/>
              <w:rPr>
                <w:rFonts w:cs="Arial"/>
                <w:bCs/>
                <w:i/>
                <w:noProof/>
                <w:sz w:val="18"/>
                <w:szCs w:val="18"/>
                <w:lang w:val="sl-SI"/>
              </w:rPr>
            </w:pPr>
            <w:r w:rsidRPr="002F3C80">
              <w:rPr>
                <w:rFonts w:cs="Arial"/>
                <w:bCs/>
                <w:i/>
                <w:noProof/>
                <w:sz w:val="18"/>
                <w:szCs w:val="18"/>
                <w:lang w:val="sl-SI"/>
              </w:rPr>
              <w:t>19 %</w:t>
            </w:r>
          </w:p>
        </w:tc>
        <w:tc>
          <w:tcPr>
            <w:tcW w:w="2125" w:type="dxa"/>
          </w:tcPr>
          <w:p w:rsidR="002F73CD" w:rsidRPr="002F3C80" w:rsidRDefault="002F73CD" w:rsidP="00ED0D9D">
            <w:pPr>
              <w:keepNext/>
              <w:tabs>
                <w:tab w:val="left" w:pos="851"/>
                <w:tab w:val="left" w:pos="1134"/>
              </w:tabs>
              <w:spacing w:before="60" w:line="276" w:lineRule="auto"/>
              <w:ind w:left="851" w:hanging="851"/>
              <w:jc w:val="center"/>
              <w:cnfStyle w:val="000000000000" w:firstRow="0" w:lastRow="0" w:firstColumn="0" w:lastColumn="0" w:oddVBand="0" w:evenVBand="0" w:oddHBand="0" w:evenHBand="0" w:firstRowFirstColumn="0" w:firstRowLastColumn="0" w:lastRowFirstColumn="0" w:lastRowLastColumn="0"/>
              <w:rPr>
                <w:rFonts w:cs="Arial"/>
                <w:bCs/>
                <w:i/>
                <w:noProof/>
                <w:sz w:val="18"/>
                <w:szCs w:val="18"/>
                <w:lang w:val="sl-SI"/>
              </w:rPr>
            </w:pPr>
            <w:r w:rsidRPr="002F3C80">
              <w:rPr>
                <w:rFonts w:cs="Arial"/>
                <w:bCs/>
                <w:i/>
                <w:noProof/>
                <w:sz w:val="18"/>
                <w:szCs w:val="18"/>
                <w:lang w:val="sl-SI"/>
              </w:rPr>
              <w:t>22 %</w:t>
            </w:r>
          </w:p>
        </w:tc>
      </w:tr>
      <w:tr w:rsidR="002F73CD" w:rsidRPr="005771BD" w:rsidTr="00ED0D9D">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5495" w:type="dxa"/>
            <w:tcBorders>
              <w:top w:val="none" w:sz="0" w:space="0" w:color="auto"/>
              <w:left w:val="none" w:sz="0" w:space="0" w:color="auto"/>
              <w:bottom w:val="none" w:sz="0" w:space="0" w:color="auto"/>
            </w:tcBorders>
          </w:tcPr>
          <w:p w:rsidR="002F73CD" w:rsidRPr="002F3C80" w:rsidRDefault="002F73CD" w:rsidP="00ED0D9D">
            <w:pPr>
              <w:keepNext/>
              <w:tabs>
                <w:tab w:val="left" w:pos="0"/>
                <w:tab w:val="left" w:pos="1134"/>
              </w:tabs>
              <w:spacing w:before="60" w:line="276" w:lineRule="auto"/>
              <w:rPr>
                <w:rFonts w:cs="Arial"/>
                <w:b w:val="0"/>
                <w:noProof/>
                <w:sz w:val="18"/>
                <w:szCs w:val="18"/>
                <w:lang w:val="sl-SI"/>
              </w:rPr>
            </w:pPr>
            <w:r w:rsidRPr="002F3C80">
              <w:rPr>
                <w:rFonts w:cs="Arial"/>
                <w:b w:val="0"/>
                <w:noProof/>
                <w:sz w:val="18"/>
                <w:szCs w:val="18"/>
                <w:lang w:val="sl-SI"/>
              </w:rPr>
              <w:t>Prodaja odpadnega materiala drugemu podjetju</w:t>
            </w:r>
          </w:p>
        </w:tc>
        <w:tc>
          <w:tcPr>
            <w:tcW w:w="1560" w:type="dxa"/>
            <w:tcBorders>
              <w:top w:val="none" w:sz="0" w:space="0" w:color="auto"/>
              <w:bottom w:val="none" w:sz="0" w:space="0" w:color="auto"/>
            </w:tcBorders>
          </w:tcPr>
          <w:p w:rsidR="002F73CD" w:rsidRPr="002F3C80" w:rsidRDefault="002F73CD" w:rsidP="00ED0D9D">
            <w:pPr>
              <w:keepNext/>
              <w:tabs>
                <w:tab w:val="left" w:pos="851"/>
                <w:tab w:val="left" w:pos="1134"/>
              </w:tabs>
              <w:spacing w:before="60" w:line="276" w:lineRule="auto"/>
              <w:ind w:left="851" w:hanging="851"/>
              <w:jc w:val="center"/>
              <w:cnfStyle w:val="000000100000" w:firstRow="0" w:lastRow="0" w:firstColumn="0" w:lastColumn="0" w:oddVBand="0" w:evenVBand="0" w:oddHBand="1" w:evenHBand="0" w:firstRowFirstColumn="0" w:firstRowLastColumn="0" w:lastRowFirstColumn="0" w:lastRowLastColumn="0"/>
              <w:rPr>
                <w:rFonts w:cs="Arial"/>
                <w:bCs/>
                <w:i/>
                <w:noProof/>
                <w:sz w:val="18"/>
                <w:szCs w:val="18"/>
                <w:lang w:val="sl-SI"/>
              </w:rPr>
            </w:pPr>
            <w:r w:rsidRPr="002F3C80">
              <w:rPr>
                <w:rFonts w:cs="Arial"/>
                <w:bCs/>
                <w:i/>
                <w:noProof/>
                <w:sz w:val="18"/>
                <w:szCs w:val="18"/>
                <w:lang w:val="sl-SI"/>
              </w:rPr>
              <w:t>20 %</w:t>
            </w:r>
          </w:p>
        </w:tc>
        <w:tc>
          <w:tcPr>
            <w:tcW w:w="2125" w:type="dxa"/>
            <w:tcBorders>
              <w:top w:val="none" w:sz="0" w:space="0" w:color="auto"/>
              <w:bottom w:val="none" w:sz="0" w:space="0" w:color="auto"/>
              <w:right w:val="none" w:sz="0" w:space="0" w:color="auto"/>
            </w:tcBorders>
          </w:tcPr>
          <w:p w:rsidR="002F73CD" w:rsidRPr="002F3C80" w:rsidRDefault="002F73CD" w:rsidP="00ED0D9D">
            <w:pPr>
              <w:keepNext/>
              <w:tabs>
                <w:tab w:val="left" w:pos="851"/>
                <w:tab w:val="left" w:pos="1134"/>
              </w:tabs>
              <w:spacing w:before="60" w:line="276" w:lineRule="auto"/>
              <w:ind w:left="851" w:hanging="851"/>
              <w:jc w:val="center"/>
              <w:cnfStyle w:val="000000100000" w:firstRow="0" w:lastRow="0" w:firstColumn="0" w:lastColumn="0" w:oddVBand="0" w:evenVBand="0" w:oddHBand="1" w:evenHBand="0" w:firstRowFirstColumn="0" w:firstRowLastColumn="0" w:lastRowFirstColumn="0" w:lastRowLastColumn="0"/>
              <w:rPr>
                <w:rFonts w:cs="Arial"/>
                <w:bCs/>
                <w:i/>
                <w:noProof/>
                <w:sz w:val="18"/>
                <w:szCs w:val="18"/>
                <w:lang w:val="sl-SI"/>
              </w:rPr>
            </w:pPr>
            <w:r w:rsidRPr="002F3C80">
              <w:rPr>
                <w:rFonts w:cs="Arial"/>
                <w:bCs/>
                <w:i/>
                <w:noProof/>
                <w:sz w:val="18"/>
                <w:szCs w:val="18"/>
                <w:lang w:val="sl-SI"/>
              </w:rPr>
              <w:t>25 %</w:t>
            </w:r>
          </w:p>
        </w:tc>
      </w:tr>
    </w:tbl>
    <w:p w:rsidR="002F73CD" w:rsidRPr="005771BD" w:rsidRDefault="002F73CD" w:rsidP="002F73CD">
      <w:pPr>
        <w:spacing w:after="200" w:line="276" w:lineRule="auto"/>
        <w:rPr>
          <w:rFonts w:cs="Arial"/>
          <w:color w:val="FF0000"/>
          <w:szCs w:val="20"/>
          <w:lang w:val="sl-SI"/>
        </w:rPr>
      </w:pPr>
    </w:p>
    <w:p w:rsidR="002F73CD" w:rsidRPr="005771BD" w:rsidRDefault="002F73CD" w:rsidP="002F73CD">
      <w:pPr>
        <w:spacing w:after="200" w:line="276" w:lineRule="auto"/>
        <w:jc w:val="both"/>
        <w:rPr>
          <w:rFonts w:cs="Arial"/>
          <w:szCs w:val="20"/>
          <w:lang w:val="sl-SI"/>
        </w:rPr>
      </w:pPr>
      <w:r w:rsidRPr="005771BD">
        <w:rPr>
          <w:rFonts w:cs="Arial"/>
          <w:szCs w:val="20"/>
          <w:lang w:val="sl-SI"/>
        </w:rPr>
        <w:t>Vsi ti ukrepi so prispevali k pomembnemu zmanjšanju proizvodnih stroškov na ravni države, kar</w:t>
      </w:r>
      <w:r>
        <w:rPr>
          <w:rFonts w:cs="Arial"/>
          <w:szCs w:val="20"/>
          <w:lang w:val="sl-SI"/>
        </w:rPr>
        <w:t xml:space="preserve"> je</w:t>
      </w:r>
      <w:r w:rsidRPr="005771BD">
        <w:rPr>
          <w:rFonts w:cs="Arial"/>
          <w:szCs w:val="20"/>
          <w:lang w:val="sl-SI"/>
        </w:rPr>
        <w:t xml:space="preserve"> 61% v primerjavi </w:t>
      </w:r>
      <w:r>
        <w:rPr>
          <w:rFonts w:cs="Arial"/>
          <w:szCs w:val="20"/>
          <w:lang w:val="sl-SI"/>
        </w:rPr>
        <w:t xml:space="preserve">s povprečjem </w:t>
      </w:r>
      <w:r w:rsidRPr="005771BD">
        <w:rPr>
          <w:rFonts w:cs="Arial"/>
          <w:szCs w:val="20"/>
          <w:lang w:val="sl-SI"/>
        </w:rPr>
        <w:t>EU-28, ki je 45</w:t>
      </w:r>
      <w:r>
        <w:rPr>
          <w:rFonts w:cs="Arial"/>
          <w:szCs w:val="20"/>
          <w:lang w:val="sl-SI"/>
        </w:rPr>
        <w:t xml:space="preserve"> </w:t>
      </w:r>
      <w:r w:rsidRPr="005771BD">
        <w:rPr>
          <w:rFonts w:cs="Arial"/>
          <w:szCs w:val="20"/>
          <w:lang w:val="sl-SI"/>
        </w:rPr>
        <w:t>%).</w:t>
      </w:r>
    </w:p>
    <w:p w:rsidR="002F73CD" w:rsidRPr="005771BD" w:rsidRDefault="002F73CD" w:rsidP="002F73CD">
      <w:pPr>
        <w:spacing w:after="200" w:line="276" w:lineRule="auto"/>
        <w:jc w:val="both"/>
        <w:rPr>
          <w:rFonts w:cs="Arial"/>
          <w:szCs w:val="20"/>
          <w:lang w:val="sl-SI"/>
        </w:rPr>
      </w:pPr>
      <w:r>
        <w:rPr>
          <w:rFonts w:cs="Arial"/>
          <w:szCs w:val="20"/>
          <w:lang w:val="sl-SI"/>
        </w:rPr>
        <w:t>Omenjena</w:t>
      </w:r>
      <w:r w:rsidRPr="005771BD">
        <w:rPr>
          <w:rFonts w:cs="Arial"/>
          <w:szCs w:val="20"/>
          <w:lang w:val="sl-SI"/>
        </w:rPr>
        <w:t xml:space="preserve"> raziskava prikazuje zanimive podatke za spremljanje prehoda v zeleno in krožno gospodarstvo, saj naj bi</w:t>
      </w:r>
      <w:r>
        <w:rPr>
          <w:rFonts w:cs="Arial"/>
          <w:szCs w:val="20"/>
          <w:lang w:val="sl-SI"/>
        </w:rPr>
        <w:t xml:space="preserve"> imela</w:t>
      </w:r>
      <w:r w:rsidRPr="005771BD">
        <w:rPr>
          <w:rFonts w:cs="Arial"/>
          <w:szCs w:val="20"/>
          <w:lang w:val="sl-SI"/>
        </w:rPr>
        <w:t xml:space="preserve"> slovenska MSP povprečno kar </w:t>
      </w:r>
      <w:r>
        <w:rPr>
          <w:rFonts w:cs="Arial"/>
          <w:szCs w:val="20"/>
          <w:lang w:val="sl-SI"/>
        </w:rPr>
        <w:t>dva</w:t>
      </w:r>
      <w:r w:rsidRPr="005771BD">
        <w:rPr>
          <w:rFonts w:cs="Arial"/>
          <w:szCs w:val="20"/>
          <w:lang w:val="sl-SI"/>
        </w:rPr>
        <w:t xml:space="preserve"> zaposlena na zelenih delovnih mestih, kar je več od </w:t>
      </w:r>
      <w:r>
        <w:rPr>
          <w:rFonts w:cs="Arial"/>
          <w:szCs w:val="20"/>
          <w:lang w:val="sl-SI"/>
        </w:rPr>
        <w:t xml:space="preserve">povprečja </w:t>
      </w:r>
      <w:r w:rsidRPr="005771BD">
        <w:rPr>
          <w:rFonts w:cs="Arial"/>
          <w:szCs w:val="20"/>
          <w:lang w:val="sl-SI"/>
        </w:rPr>
        <w:t>EU-28 (1.7).</w:t>
      </w:r>
      <w:r w:rsidRPr="005771BD">
        <w:rPr>
          <w:rFonts w:cs="Arial"/>
          <w:szCs w:val="20"/>
          <w:vertAlign w:val="superscript"/>
          <w:lang w:val="sl-SI"/>
        </w:rPr>
        <w:footnoteReference w:id="23"/>
      </w:r>
    </w:p>
    <w:p w:rsidR="002F73CD" w:rsidRPr="005771BD" w:rsidRDefault="002F73CD" w:rsidP="002F73CD">
      <w:pPr>
        <w:spacing w:line="276" w:lineRule="auto"/>
        <w:jc w:val="both"/>
        <w:rPr>
          <w:rFonts w:eastAsia="Calibri" w:cs="Arial"/>
          <w:b/>
          <w:szCs w:val="20"/>
          <w:u w:val="single"/>
          <w:lang w:val="sl-SI"/>
        </w:rPr>
      </w:pPr>
    </w:p>
    <w:p w:rsidR="002F73CD" w:rsidRPr="005771BD" w:rsidRDefault="002F3C80" w:rsidP="002F73CD">
      <w:pPr>
        <w:spacing w:after="200" w:line="276" w:lineRule="auto"/>
        <w:jc w:val="both"/>
        <w:rPr>
          <w:rFonts w:eastAsia="Calibri" w:cs="Arial"/>
          <w:b/>
          <w:szCs w:val="20"/>
          <w:u w:val="single"/>
          <w:lang w:val="sl-SI"/>
        </w:rPr>
      </w:pPr>
      <w:r>
        <w:rPr>
          <w:rFonts w:eastAsia="Calibri" w:cs="Arial"/>
          <w:b/>
          <w:szCs w:val="20"/>
          <w:u w:val="single"/>
          <w:lang w:val="sl-SI"/>
        </w:rPr>
        <w:t>9</w:t>
      </w:r>
      <w:r w:rsidR="002F73CD" w:rsidRPr="005771BD">
        <w:rPr>
          <w:rFonts w:eastAsia="Calibri" w:cs="Arial"/>
          <w:b/>
          <w:szCs w:val="20"/>
          <w:u w:val="single"/>
          <w:lang w:val="sl-SI"/>
        </w:rPr>
        <w:t xml:space="preserve">.3 Ravnanje z odpadki  </w:t>
      </w:r>
    </w:p>
    <w:p w:rsidR="002F73CD" w:rsidRPr="005771BD" w:rsidRDefault="002F3C80" w:rsidP="002F73CD">
      <w:pPr>
        <w:spacing w:after="200" w:line="276" w:lineRule="auto"/>
        <w:jc w:val="both"/>
        <w:rPr>
          <w:rFonts w:eastAsia="Calibri" w:cs="Arial"/>
          <w:b/>
          <w:szCs w:val="20"/>
          <w:lang w:val="sl-SI"/>
        </w:rPr>
      </w:pPr>
      <w:r>
        <w:rPr>
          <w:rFonts w:eastAsia="Calibri" w:cs="Arial"/>
          <w:b/>
          <w:szCs w:val="20"/>
          <w:lang w:val="sl-SI"/>
        </w:rPr>
        <w:t>9</w:t>
      </w:r>
      <w:r w:rsidR="002F73CD" w:rsidRPr="005771BD">
        <w:rPr>
          <w:rFonts w:eastAsia="Calibri" w:cs="Arial"/>
          <w:b/>
          <w:szCs w:val="20"/>
          <w:lang w:val="sl-SI"/>
        </w:rPr>
        <w:t xml:space="preserve">.3.1 Nastajanje odpadkov </w:t>
      </w:r>
    </w:p>
    <w:p w:rsidR="002F73CD" w:rsidRPr="005771BD" w:rsidRDefault="002F73CD" w:rsidP="002F73CD">
      <w:pPr>
        <w:spacing w:after="200" w:line="276" w:lineRule="auto"/>
        <w:jc w:val="both"/>
        <w:rPr>
          <w:rFonts w:eastAsia="Calibri" w:cs="Arial"/>
          <w:szCs w:val="20"/>
          <w:lang w:val="sl-SI"/>
        </w:rPr>
      </w:pPr>
      <w:r w:rsidRPr="005771BD">
        <w:rPr>
          <w:rFonts w:eastAsia="Calibri" w:cs="Arial"/>
          <w:szCs w:val="20"/>
          <w:lang w:val="sl-SI"/>
        </w:rPr>
        <w:t>Odpadek je snov ali predmet, ki ga imetnik zavrže, namerava zavreči ali mora zavreči, imetnik odpadka pa je oseba, ki je povzročil nastanek odpadka</w:t>
      </w:r>
      <w:r>
        <w:rPr>
          <w:rFonts w:eastAsia="Calibri" w:cs="Arial"/>
          <w:szCs w:val="20"/>
          <w:lang w:val="sl-SI"/>
        </w:rPr>
        <w:t>,</w:t>
      </w:r>
      <w:r w:rsidRPr="005771BD">
        <w:rPr>
          <w:rFonts w:eastAsia="Calibri" w:cs="Arial"/>
          <w:szCs w:val="20"/>
          <w:lang w:val="sl-SI"/>
        </w:rPr>
        <w:t xml:space="preserve"> ali oseba, ki ima odpadke v posesti.</w:t>
      </w:r>
    </w:p>
    <w:p w:rsidR="002F73CD" w:rsidRPr="005771BD" w:rsidRDefault="002F73CD" w:rsidP="002F73CD">
      <w:pPr>
        <w:spacing w:after="200" w:line="276" w:lineRule="auto"/>
        <w:jc w:val="both"/>
        <w:rPr>
          <w:rFonts w:eastAsia="Calibri" w:cs="Arial"/>
          <w:szCs w:val="20"/>
          <w:lang w:val="sl-SI"/>
        </w:rPr>
      </w:pPr>
      <w:r w:rsidRPr="005C1DA5">
        <w:rPr>
          <w:rFonts w:cs="Arial"/>
          <w:szCs w:val="20"/>
          <w:lang w:val="sl-SI"/>
        </w:rPr>
        <w:t xml:space="preserve">Med letoma 2002 in 2014 je v Sloveniji letno nastalo od </w:t>
      </w:r>
      <w:r w:rsidRPr="005C1DA5">
        <w:rPr>
          <w:rFonts w:cs="Arial"/>
          <w:color w:val="000000"/>
          <w:szCs w:val="20"/>
          <w:lang w:val="sl-SI" w:eastAsia="sl-SI"/>
        </w:rPr>
        <w:t>4,466</w:t>
      </w:r>
      <w:r w:rsidRPr="005C1DA5">
        <w:rPr>
          <w:rFonts w:cs="Arial"/>
          <w:color w:val="333232"/>
          <w:szCs w:val="20"/>
          <w:lang w:val="sl-SI" w:eastAsia="sl-SI"/>
        </w:rPr>
        <w:t> </w:t>
      </w:r>
      <w:r w:rsidRPr="005C1DA5">
        <w:rPr>
          <w:rFonts w:cs="Arial"/>
          <w:color w:val="000000"/>
          <w:szCs w:val="20"/>
          <w:lang w:val="sl-SI" w:eastAsia="sl-SI"/>
        </w:rPr>
        <w:t>milijona</w:t>
      </w:r>
      <w:r w:rsidRPr="005C1DA5">
        <w:rPr>
          <w:rFonts w:cs="Arial"/>
          <w:color w:val="333232"/>
          <w:szCs w:val="20"/>
          <w:lang w:val="sl-SI" w:eastAsia="sl-SI"/>
        </w:rPr>
        <w:t> </w:t>
      </w:r>
      <w:r w:rsidRPr="005C1DA5">
        <w:rPr>
          <w:rFonts w:cs="Arial"/>
          <w:color w:val="000000"/>
          <w:szCs w:val="20"/>
          <w:lang w:val="sl-SI" w:eastAsia="sl-SI"/>
        </w:rPr>
        <w:t xml:space="preserve">ton </w:t>
      </w:r>
      <w:r w:rsidRPr="005C1DA5">
        <w:rPr>
          <w:rFonts w:cs="Arial"/>
          <w:szCs w:val="20"/>
          <w:lang w:val="sl-SI"/>
        </w:rPr>
        <w:t>do 6,827</w:t>
      </w:r>
      <w:r w:rsidRPr="005C1DA5">
        <w:rPr>
          <w:rFonts w:cs="Arial"/>
          <w:color w:val="333232"/>
          <w:szCs w:val="20"/>
          <w:lang w:val="sl-SI" w:eastAsia="sl-SI"/>
        </w:rPr>
        <w:t> </w:t>
      </w:r>
      <w:r w:rsidRPr="005C1DA5">
        <w:rPr>
          <w:rFonts w:cs="Arial"/>
          <w:szCs w:val="20"/>
          <w:lang w:val="sl-SI"/>
        </w:rPr>
        <w:t>milijona</w:t>
      </w:r>
      <w:r w:rsidRPr="005C1DA5">
        <w:rPr>
          <w:rFonts w:cs="Arial"/>
          <w:color w:val="333232"/>
          <w:szCs w:val="20"/>
          <w:lang w:val="sl-SI" w:eastAsia="sl-SI"/>
        </w:rPr>
        <w:t> </w:t>
      </w:r>
      <w:r w:rsidRPr="005C1DA5">
        <w:rPr>
          <w:rFonts w:cs="Arial"/>
          <w:szCs w:val="20"/>
          <w:lang w:val="sl-SI"/>
        </w:rPr>
        <w:t>ton odpadkov. Letna količina nastalih odpadkov je dosegla največje vrednosti v obdobju 2004–2008, v letu 2014 pa se je</w:t>
      </w:r>
      <w:r>
        <w:rPr>
          <w:rFonts w:cs="Arial"/>
          <w:szCs w:val="20"/>
          <w:lang w:val="sl-SI"/>
        </w:rPr>
        <w:t xml:space="preserve"> količina</w:t>
      </w:r>
      <w:r w:rsidRPr="005C1DA5">
        <w:rPr>
          <w:rFonts w:cs="Arial"/>
          <w:szCs w:val="20"/>
          <w:lang w:val="sl-SI"/>
        </w:rPr>
        <w:t xml:space="preserve"> glede na to obdobje zmanjšala za okoli 28</w:t>
      </w:r>
      <w:r w:rsidRPr="005C1DA5">
        <w:rPr>
          <w:rFonts w:cs="Arial"/>
          <w:color w:val="333232"/>
          <w:szCs w:val="20"/>
          <w:lang w:val="sl-SI" w:eastAsia="sl-SI"/>
        </w:rPr>
        <w:t> </w:t>
      </w:r>
      <w:r w:rsidRPr="005C1DA5">
        <w:rPr>
          <w:rFonts w:cs="Arial"/>
          <w:szCs w:val="20"/>
          <w:lang w:val="sl-SI"/>
        </w:rPr>
        <w:t>odstotkov in je znašala okoli 4,677</w:t>
      </w:r>
      <w:r w:rsidRPr="005C1DA5">
        <w:rPr>
          <w:rFonts w:cs="Arial"/>
          <w:color w:val="333232"/>
          <w:szCs w:val="20"/>
          <w:lang w:val="sl-SI" w:eastAsia="sl-SI"/>
        </w:rPr>
        <w:t> </w:t>
      </w:r>
      <w:r w:rsidRPr="005C1DA5">
        <w:rPr>
          <w:rFonts w:cs="Arial"/>
          <w:szCs w:val="20"/>
          <w:lang w:val="sl-SI"/>
        </w:rPr>
        <w:t>milijona</w:t>
      </w:r>
      <w:r w:rsidRPr="005C1DA5">
        <w:rPr>
          <w:rFonts w:cs="Arial"/>
          <w:color w:val="333232"/>
          <w:szCs w:val="20"/>
          <w:lang w:val="sl-SI" w:eastAsia="sl-SI"/>
        </w:rPr>
        <w:t> </w:t>
      </w:r>
      <w:r w:rsidRPr="005C1DA5">
        <w:rPr>
          <w:rFonts w:cs="Arial"/>
          <w:szCs w:val="20"/>
          <w:lang w:val="sl-SI"/>
        </w:rPr>
        <w:t xml:space="preserve">ton. </w:t>
      </w:r>
      <w:r w:rsidRPr="005771BD">
        <w:rPr>
          <w:rFonts w:eastAsia="Calibri" w:cs="Arial"/>
          <w:szCs w:val="20"/>
          <w:lang w:val="sl-SI"/>
        </w:rPr>
        <w:t xml:space="preserve"> </w:t>
      </w:r>
    </w:p>
    <w:p w:rsidR="002F73CD" w:rsidRPr="005771BD" w:rsidRDefault="002F73CD" w:rsidP="002F73CD">
      <w:pPr>
        <w:spacing w:after="200" w:line="276" w:lineRule="auto"/>
        <w:jc w:val="both"/>
        <w:rPr>
          <w:rFonts w:eastAsia="Calibri" w:cs="Arial"/>
          <w:szCs w:val="20"/>
          <w:lang w:val="sl-SI"/>
        </w:rPr>
      </w:pPr>
      <w:r w:rsidRPr="005771BD">
        <w:rPr>
          <w:rFonts w:eastAsia="Calibri" w:cs="Arial"/>
          <w:szCs w:val="20"/>
          <w:lang w:val="sl-SI"/>
        </w:rPr>
        <w:t>Najopaznejš</w:t>
      </w:r>
      <w:r>
        <w:rPr>
          <w:rFonts w:eastAsia="Calibri" w:cs="Arial"/>
          <w:szCs w:val="20"/>
          <w:lang w:val="sl-SI"/>
        </w:rPr>
        <w:t>e zmanjšanje</w:t>
      </w:r>
      <w:r w:rsidRPr="005771BD">
        <w:rPr>
          <w:rFonts w:eastAsia="Calibri" w:cs="Arial"/>
          <w:szCs w:val="20"/>
          <w:lang w:val="sl-SI"/>
        </w:rPr>
        <w:t xml:space="preserve"> nastalih količin odpadkov je v letu 2012 pri komun</w:t>
      </w:r>
      <w:r>
        <w:rPr>
          <w:rFonts w:eastAsia="Calibri" w:cs="Arial"/>
          <w:szCs w:val="20"/>
          <w:lang w:val="sl-SI"/>
        </w:rPr>
        <w:t>alnih</w:t>
      </w:r>
      <w:r w:rsidRPr="005771BD">
        <w:rPr>
          <w:rFonts w:eastAsia="Calibri" w:cs="Arial"/>
          <w:szCs w:val="20"/>
          <w:lang w:val="sl-SI"/>
        </w:rPr>
        <w:t xml:space="preserve"> odpadki</w:t>
      </w:r>
      <w:r>
        <w:rPr>
          <w:rFonts w:eastAsia="Calibri" w:cs="Arial"/>
          <w:szCs w:val="20"/>
          <w:lang w:val="sl-SI"/>
        </w:rPr>
        <w:t>h</w:t>
      </w:r>
      <w:r w:rsidRPr="005771BD">
        <w:rPr>
          <w:rFonts w:eastAsia="Calibri" w:cs="Arial"/>
          <w:szCs w:val="20"/>
          <w:lang w:val="sl-SI"/>
        </w:rPr>
        <w:t xml:space="preserve"> in odpadn</w:t>
      </w:r>
      <w:r>
        <w:rPr>
          <w:rFonts w:eastAsia="Calibri" w:cs="Arial"/>
          <w:szCs w:val="20"/>
          <w:lang w:val="sl-SI"/>
        </w:rPr>
        <w:t>i</w:t>
      </w:r>
      <w:r w:rsidRPr="005771BD">
        <w:rPr>
          <w:rFonts w:eastAsia="Calibri" w:cs="Arial"/>
          <w:szCs w:val="20"/>
          <w:lang w:val="sl-SI"/>
        </w:rPr>
        <w:t xml:space="preserve"> embalaž</w:t>
      </w:r>
      <w:r>
        <w:rPr>
          <w:rFonts w:eastAsia="Calibri" w:cs="Arial"/>
          <w:szCs w:val="20"/>
          <w:lang w:val="sl-SI"/>
        </w:rPr>
        <w:t>i</w:t>
      </w:r>
      <w:r w:rsidRPr="005771BD">
        <w:rPr>
          <w:rFonts w:eastAsia="Calibri" w:cs="Arial"/>
          <w:szCs w:val="20"/>
          <w:lang w:val="sl-SI"/>
        </w:rPr>
        <w:t>, zemeljski</w:t>
      </w:r>
      <w:r>
        <w:rPr>
          <w:rFonts w:eastAsia="Calibri" w:cs="Arial"/>
          <w:szCs w:val="20"/>
          <w:lang w:val="sl-SI"/>
        </w:rPr>
        <w:t>h</w:t>
      </w:r>
      <w:r w:rsidRPr="005771BD">
        <w:rPr>
          <w:rFonts w:eastAsia="Calibri" w:cs="Arial"/>
          <w:szCs w:val="20"/>
          <w:lang w:val="sl-SI"/>
        </w:rPr>
        <w:t xml:space="preserve"> izkopi</w:t>
      </w:r>
      <w:r>
        <w:rPr>
          <w:rFonts w:eastAsia="Calibri" w:cs="Arial"/>
          <w:szCs w:val="20"/>
          <w:lang w:val="sl-SI"/>
        </w:rPr>
        <w:t>h</w:t>
      </w:r>
      <w:r w:rsidRPr="005771BD">
        <w:rPr>
          <w:rFonts w:eastAsia="Calibri" w:cs="Arial"/>
          <w:szCs w:val="20"/>
          <w:lang w:val="sl-SI"/>
        </w:rPr>
        <w:t>, gradbeni</w:t>
      </w:r>
      <w:r>
        <w:rPr>
          <w:rFonts w:eastAsia="Calibri" w:cs="Arial"/>
          <w:szCs w:val="20"/>
          <w:lang w:val="sl-SI"/>
        </w:rPr>
        <w:t>h</w:t>
      </w:r>
      <w:r w:rsidRPr="005771BD">
        <w:rPr>
          <w:rFonts w:eastAsia="Calibri" w:cs="Arial"/>
          <w:szCs w:val="20"/>
          <w:lang w:val="sl-SI"/>
        </w:rPr>
        <w:t xml:space="preserve"> odpadki</w:t>
      </w:r>
      <w:r>
        <w:rPr>
          <w:rFonts w:eastAsia="Calibri" w:cs="Arial"/>
          <w:szCs w:val="20"/>
          <w:lang w:val="sl-SI"/>
        </w:rPr>
        <w:t>h</w:t>
      </w:r>
      <w:r w:rsidRPr="005771BD">
        <w:rPr>
          <w:rFonts w:eastAsia="Calibri" w:cs="Arial"/>
          <w:szCs w:val="20"/>
          <w:lang w:val="sl-SI"/>
        </w:rPr>
        <w:t xml:space="preserve"> in odpadki</w:t>
      </w:r>
      <w:r>
        <w:rPr>
          <w:rFonts w:eastAsia="Calibri" w:cs="Arial"/>
          <w:szCs w:val="20"/>
          <w:lang w:val="sl-SI"/>
        </w:rPr>
        <w:t>h pri toplotnih</w:t>
      </w:r>
      <w:r w:rsidRPr="005771BD">
        <w:rPr>
          <w:rFonts w:eastAsia="Calibri" w:cs="Arial"/>
          <w:szCs w:val="20"/>
          <w:lang w:val="sl-SI"/>
        </w:rPr>
        <w:t xml:space="preserve"> proces</w:t>
      </w:r>
      <w:r>
        <w:rPr>
          <w:rFonts w:eastAsia="Calibri" w:cs="Arial"/>
          <w:szCs w:val="20"/>
          <w:lang w:val="sl-SI"/>
        </w:rPr>
        <w:t>ih</w:t>
      </w:r>
      <w:r w:rsidRPr="005771BD">
        <w:rPr>
          <w:rFonts w:eastAsia="Calibri" w:cs="Arial"/>
          <w:szCs w:val="20"/>
          <w:lang w:val="sl-SI"/>
        </w:rPr>
        <w:t xml:space="preserve">. </w:t>
      </w:r>
      <w:r>
        <w:rPr>
          <w:rFonts w:eastAsia="Calibri" w:cs="Arial"/>
          <w:szCs w:val="20"/>
          <w:lang w:val="sl-SI"/>
        </w:rPr>
        <w:t>K</w:t>
      </w:r>
      <w:r w:rsidRPr="005771BD">
        <w:rPr>
          <w:rFonts w:eastAsia="Calibri" w:cs="Arial"/>
          <w:szCs w:val="20"/>
          <w:lang w:val="sl-SI"/>
        </w:rPr>
        <w:t>oličin</w:t>
      </w:r>
      <w:r>
        <w:rPr>
          <w:rFonts w:eastAsia="Calibri" w:cs="Arial"/>
          <w:szCs w:val="20"/>
          <w:lang w:val="sl-SI"/>
        </w:rPr>
        <w:t>a</w:t>
      </w:r>
      <w:r w:rsidRPr="005771BD">
        <w:rPr>
          <w:rFonts w:eastAsia="Calibri" w:cs="Arial"/>
          <w:szCs w:val="20"/>
          <w:lang w:val="sl-SI"/>
        </w:rPr>
        <w:t xml:space="preserve"> odpadkov </w:t>
      </w:r>
      <w:r>
        <w:rPr>
          <w:rFonts w:eastAsia="Calibri" w:cs="Arial"/>
          <w:szCs w:val="20"/>
          <w:lang w:val="sl-SI"/>
        </w:rPr>
        <w:t>se zmanjšuje zaradi</w:t>
      </w:r>
      <w:r w:rsidRPr="005771BD">
        <w:rPr>
          <w:rFonts w:eastAsia="Calibri" w:cs="Arial"/>
          <w:szCs w:val="20"/>
          <w:lang w:val="sl-SI"/>
        </w:rPr>
        <w:t xml:space="preserve"> </w:t>
      </w:r>
      <w:r>
        <w:rPr>
          <w:rFonts w:eastAsia="Calibri" w:cs="Arial"/>
          <w:szCs w:val="20"/>
          <w:lang w:val="sl-SI"/>
        </w:rPr>
        <w:t>začetka veljavnosti</w:t>
      </w:r>
      <w:r w:rsidRPr="005771BD">
        <w:rPr>
          <w:rFonts w:eastAsia="Calibri" w:cs="Arial"/>
          <w:szCs w:val="20"/>
          <w:lang w:val="sl-SI"/>
        </w:rPr>
        <w:t xml:space="preserve"> zakonodajnih sprememb glede stranskih proizvodov in prenehanja statusa odpadka, precejšnjega </w:t>
      </w:r>
      <w:r>
        <w:rPr>
          <w:rFonts w:eastAsia="Calibri" w:cs="Arial"/>
          <w:szCs w:val="20"/>
          <w:lang w:val="sl-SI"/>
        </w:rPr>
        <w:t>zmanjšanja</w:t>
      </w:r>
      <w:r w:rsidRPr="005771BD">
        <w:rPr>
          <w:rFonts w:eastAsia="Calibri" w:cs="Arial"/>
          <w:szCs w:val="20"/>
          <w:lang w:val="sl-SI"/>
        </w:rPr>
        <w:t xml:space="preserve"> gradbenih odpadkov, kar je delno posledica krize v gradbeništvu, delno pa zakonodaje in načina poročanja o teh odpadkih, ki zavezuje investitorja, da ne poroča vsako leto</w:t>
      </w:r>
      <w:r>
        <w:rPr>
          <w:rFonts w:eastAsia="Calibri" w:cs="Arial"/>
          <w:szCs w:val="20"/>
          <w:lang w:val="sl-SI"/>
        </w:rPr>
        <w:t>,</w:t>
      </w:r>
      <w:r w:rsidRPr="005771BD">
        <w:rPr>
          <w:rFonts w:eastAsia="Calibri" w:cs="Arial"/>
          <w:szCs w:val="20"/>
          <w:lang w:val="sl-SI"/>
        </w:rPr>
        <w:t xml:space="preserve"> temveč enkrat na tri leta. Predvsem pa gre znižanje količin odpadkov tudi </w:t>
      </w:r>
      <w:r>
        <w:rPr>
          <w:rFonts w:eastAsia="Calibri" w:cs="Arial"/>
          <w:szCs w:val="20"/>
          <w:lang w:val="sl-SI"/>
        </w:rPr>
        <w:t>zaradi</w:t>
      </w:r>
      <w:r w:rsidRPr="005771BD">
        <w:rPr>
          <w:rFonts w:eastAsia="Calibri" w:cs="Arial"/>
          <w:szCs w:val="20"/>
          <w:lang w:val="sl-SI"/>
        </w:rPr>
        <w:t xml:space="preserve"> znižanja bruto družbenega proizvoda (BDP).</w:t>
      </w:r>
    </w:p>
    <w:p w:rsidR="002F73CD" w:rsidRPr="005771BD" w:rsidRDefault="002F73CD" w:rsidP="002F73CD">
      <w:pPr>
        <w:spacing w:after="200" w:line="276" w:lineRule="auto"/>
        <w:jc w:val="center"/>
        <w:rPr>
          <w:rFonts w:eastAsia="Calibri" w:cs="Arial"/>
          <w:szCs w:val="20"/>
          <w:lang w:val="sl-SI"/>
        </w:rPr>
      </w:pPr>
      <w:r w:rsidRPr="007F272F">
        <w:rPr>
          <w:rFonts w:eastAsia="Calibri" w:cs="Arial"/>
          <w:noProof/>
          <w:szCs w:val="20"/>
          <w:lang w:val="sl-SI" w:eastAsia="sl-SI"/>
        </w:rPr>
        <w:drawing>
          <wp:inline distT="0" distB="0" distL="0" distR="0" wp14:anchorId="04AD41CA" wp14:editId="05C18D19">
            <wp:extent cx="3724910" cy="2249805"/>
            <wp:effectExtent l="0" t="0" r="889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724910" cy="2249805"/>
                    </a:xfrm>
                    <a:prstGeom prst="rect">
                      <a:avLst/>
                    </a:prstGeom>
                    <a:noFill/>
                  </pic:spPr>
                </pic:pic>
              </a:graphicData>
            </a:graphic>
          </wp:inline>
        </w:drawing>
      </w:r>
    </w:p>
    <w:p w:rsidR="002F73CD" w:rsidRPr="005771BD" w:rsidRDefault="002F73CD" w:rsidP="00FF4C0C">
      <w:pPr>
        <w:keepNext/>
        <w:tabs>
          <w:tab w:val="left" w:pos="0"/>
        </w:tabs>
        <w:spacing w:before="200" w:after="360" w:line="276" w:lineRule="auto"/>
        <w:jc w:val="both"/>
        <w:rPr>
          <w:rFonts w:cs="Arial"/>
          <w:bCs/>
          <w:i/>
          <w:noProof/>
          <w:sz w:val="18"/>
          <w:szCs w:val="18"/>
          <w:lang w:val="sl-SI"/>
        </w:rPr>
      </w:pPr>
      <w:bookmarkStart w:id="20" w:name="_Toc452023639"/>
      <w:r w:rsidRPr="005771BD">
        <w:rPr>
          <w:rFonts w:cs="Arial"/>
          <w:bCs/>
          <w:i/>
          <w:noProof/>
          <w:szCs w:val="20"/>
          <w:lang w:val="sl-SI"/>
        </w:rPr>
        <w:t xml:space="preserve">Slika </w:t>
      </w:r>
      <w:r w:rsidR="002F3C80">
        <w:rPr>
          <w:rFonts w:cs="Arial"/>
          <w:bCs/>
          <w:i/>
          <w:noProof/>
          <w:szCs w:val="20"/>
          <w:lang w:val="sl-SI"/>
        </w:rPr>
        <w:t>9</w:t>
      </w:r>
      <w:r w:rsidRPr="005771BD">
        <w:rPr>
          <w:rFonts w:cs="Arial"/>
          <w:bCs/>
          <w:i/>
          <w:noProof/>
          <w:szCs w:val="20"/>
          <w:lang w:val="sl-SI"/>
        </w:rPr>
        <w:t>.5: Primerjava letnih količin nastajanja pomembnejših tokov odpadkov v obdobju 2006</w:t>
      </w:r>
      <w:r>
        <w:rPr>
          <w:rFonts w:cs="Arial"/>
          <w:bCs/>
          <w:i/>
          <w:noProof/>
          <w:szCs w:val="20"/>
          <w:lang w:val="sl-SI"/>
        </w:rPr>
        <w:t>–</w:t>
      </w:r>
      <w:r w:rsidRPr="005771BD">
        <w:rPr>
          <w:rFonts w:cs="Arial"/>
          <w:bCs/>
          <w:i/>
          <w:noProof/>
          <w:szCs w:val="20"/>
          <w:lang w:val="sl-SI"/>
        </w:rPr>
        <w:t>2014, v t/leto</w:t>
      </w:r>
      <w:r w:rsidR="00FF4C0C">
        <w:rPr>
          <w:rFonts w:cs="Arial"/>
          <w:bCs/>
          <w:i/>
          <w:noProof/>
          <w:szCs w:val="20"/>
          <w:lang w:val="sl-SI"/>
        </w:rPr>
        <w:t xml:space="preserve"> (</w:t>
      </w:r>
      <w:r w:rsidRPr="005771BD">
        <w:rPr>
          <w:rFonts w:cs="Arial"/>
          <w:bCs/>
          <w:i/>
          <w:noProof/>
          <w:sz w:val="18"/>
          <w:szCs w:val="18"/>
          <w:lang w:val="sl-SI"/>
        </w:rPr>
        <w:t>Vir: ARSO, SURS</w:t>
      </w:r>
      <w:bookmarkEnd w:id="20"/>
      <w:r w:rsidR="00FF4C0C">
        <w:rPr>
          <w:rFonts w:cs="Arial"/>
          <w:bCs/>
          <w:i/>
          <w:noProof/>
          <w:sz w:val="18"/>
          <w:szCs w:val="18"/>
          <w:lang w:val="sl-SI"/>
        </w:rPr>
        <w:t>)</w:t>
      </w:r>
    </w:p>
    <w:p w:rsidR="002F73CD" w:rsidRPr="005C1DA5" w:rsidRDefault="002F73CD" w:rsidP="002F73CD">
      <w:pPr>
        <w:shd w:val="clear" w:color="auto" w:fill="FFFFFF"/>
        <w:spacing w:after="200" w:line="276" w:lineRule="auto"/>
        <w:jc w:val="both"/>
        <w:rPr>
          <w:rFonts w:cs="Arial"/>
          <w:szCs w:val="20"/>
          <w:lang w:val="sl-SI" w:eastAsia="sl-SI"/>
        </w:rPr>
      </w:pPr>
      <w:r w:rsidRPr="005C1DA5">
        <w:rPr>
          <w:rFonts w:cs="Arial"/>
          <w:szCs w:val="20"/>
          <w:lang w:val="sl-SI" w:eastAsia="sl-SI"/>
        </w:rPr>
        <w:t>V letu 2014 je nastalo največ gradbenih odpadkov in zemeljskih izkopov (24 %), komunalni</w:t>
      </w:r>
      <w:r>
        <w:rPr>
          <w:rFonts w:cs="Arial"/>
          <w:szCs w:val="20"/>
          <w:lang w:val="sl-SI" w:eastAsia="sl-SI"/>
        </w:rPr>
        <w:t>h</w:t>
      </w:r>
      <w:r w:rsidRPr="005C1DA5">
        <w:rPr>
          <w:rFonts w:cs="Arial"/>
          <w:szCs w:val="20"/>
          <w:lang w:val="sl-SI" w:eastAsia="sl-SI"/>
        </w:rPr>
        <w:t xml:space="preserve"> odpadk</w:t>
      </w:r>
      <w:r>
        <w:rPr>
          <w:rFonts w:cs="Arial"/>
          <w:szCs w:val="20"/>
          <w:lang w:val="sl-SI" w:eastAsia="sl-SI"/>
        </w:rPr>
        <w:t>ov</w:t>
      </w:r>
      <w:r w:rsidRPr="005C1DA5">
        <w:rPr>
          <w:rFonts w:cs="Arial"/>
          <w:szCs w:val="20"/>
          <w:lang w:val="sl-SI" w:eastAsia="sl-SI"/>
        </w:rPr>
        <w:t xml:space="preserve"> (19 %; od teh 25 % odpadne embalaže), odpadk</w:t>
      </w:r>
      <w:r>
        <w:rPr>
          <w:rFonts w:cs="Arial"/>
          <w:szCs w:val="20"/>
          <w:lang w:val="sl-SI" w:eastAsia="sl-SI"/>
        </w:rPr>
        <w:t>ov</w:t>
      </w:r>
      <w:r w:rsidRPr="005C1DA5">
        <w:rPr>
          <w:rFonts w:cs="Arial"/>
          <w:szCs w:val="20"/>
          <w:lang w:val="sl-SI" w:eastAsia="sl-SI"/>
        </w:rPr>
        <w:t xml:space="preserve"> </w:t>
      </w:r>
      <w:r>
        <w:rPr>
          <w:rFonts w:cs="Arial"/>
          <w:szCs w:val="20"/>
          <w:lang w:val="sl-SI" w:eastAsia="sl-SI"/>
        </w:rPr>
        <w:t>pri</w:t>
      </w:r>
      <w:r w:rsidRPr="005C1DA5">
        <w:rPr>
          <w:rFonts w:cs="Arial"/>
          <w:szCs w:val="20"/>
          <w:lang w:val="sl-SI" w:eastAsia="sl-SI"/>
        </w:rPr>
        <w:t xml:space="preserve"> t</w:t>
      </w:r>
      <w:r>
        <w:rPr>
          <w:rFonts w:cs="Arial"/>
          <w:szCs w:val="20"/>
          <w:lang w:val="sl-SI" w:eastAsia="sl-SI"/>
        </w:rPr>
        <w:t>oplotnih</w:t>
      </w:r>
      <w:r w:rsidRPr="005C1DA5">
        <w:rPr>
          <w:rFonts w:cs="Arial"/>
          <w:szCs w:val="20"/>
          <w:lang w:val="sl-SI" w:eastAsia="sl-SI"/>
        </w:rPr>
        <w:t xml:space="preserve"> proces</w:t>
      </w:r>
      <w:r>
        <w:rPr>
          <w:rFonts w:cs="Arial"/>
          <w:szCs w:val="20"/>
          <w:lang w:val="sl-SI" w:eastAsia="sl-SI"/>
        </w:rPr>
        <w:t>ih</w:t>
      </w:r>
      <w:r w:rsidRPr="005C1DA5">
        <w:rPr>
          <w:rFonts w:cs="Arial"/>
          <w:szCs w:val="20"/>
          <w:lang w:val="sl-SI" w:eastAsia="sl-SI"/>
        </w:rPr>
        <w:t xml:space="preserve"> (17 %), odpadki iz naprav za obdelavo odpadkov (15 %), odpadki iz obdelave in predelave lesa, proizvodnje papirja in usnja (7 %), oblikovanja in površinske obdelave (7 %) ter odpadki iz anorganskih in organskih procesov in barv (7 %). </w:t>
      </w:r>
    </w:p>
    <w:p w:rsidR="002F73CD" w:rsidRPr="005771BD" w:rsidRDefault="002F73CD" w:rsidP="002F73CD">
      <w:pPr>
        <w:spacing w:after="200" w:line="276" w:lineRule="auto"/>
        <w:jc w:val="center"/>
        <w:rPr>
          <w:rFonts w:eastAsia="Calibri" w:cs="Arial"/>
          <w:szCs w:val="20"/>
          <w:lang w:val="sl-SI"/>
        </w:rPr>
      </w:pPr>
      <w:r w:rsidRPr="007F272F">
        <w:rPr>
          <w:rFonts w:eastAsia="Calibri" w:cs="Arial"/>
          <w:noProof/>
          <w:szCs w:val="20"/>
          <w:lang w:val="sl-SI" w:eastAsia="sl-SI"/>
        </w:rPr>
        <w:drawing>
          <wp:inline distT="0" distB="0" distL="0" distR="0" wp14:anchorId="6D4E99B9" wp14:editId="7B6C3D66">
            <wp:extent cx="3542030" cy="3316605"/>
            <wp:effectExtent l="0" t="0" r="127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542030" cy="3316605"/>
                    </a:xfrm>
                    <a:prstGeom prst="rect">
                      <a:avLst/>
                    </a:prstGeom>
                    <a:noFill/>
                  </pic:spPr>
                </pic:pic>
              </a:graphicData>
            </a:graphic>
          </wp:inline>
        </w:drawing>
      </w:r>
    </w:p>
    <w:p w:rsidR="002F73CD" w:rsidRPr="005771BD" w:rsidRDefault="002F73CD" w:rsidP="00FF4C0C">
      <w:pPr>
        <w:keepNext/>
        <w:tabs>
          <w:tab w:val="left" w:pos="0"/>
        </w:tabs>
        <w:spacing w:before="200" w:after="360" w:line="276" w:lineRule="auto"/>
        <w:jc w:val="both"/>
        <w:rPr>
          <w:rFonts w:cs="Arial"/>
          <w:bCs/>
          <w:noProof/>
          <w:sz w:val="18"/>
          <w:szCs w:val="18"/>
          <w:lang w:val="sl-SI"/>
        </w:rPr>
      </w:pPr>
      <w:r w:rsidRPr="005771BD">
        <w:rPr>
          <w:rFonts w:cs="Arial"/>
          <w:bCs/>
          <w:i/>
          <w:noProof/>
          <w:szCs w:val="20"/>
          <w:lang w:val="sl-SI"/>
        </w:rPr>
        <w:t xml:space="preserve">Slika </w:t>
      </w:r>
      <w:r w:rsidR="002F3C80">
        <w:rPr>
          <w:rFonts w:cs="Arial"/>
          <w:bCs/>
          <w:i/>
          <w:noProof/>
          <w:szCs w:val="20"/>
          <w:lang w:val="sl-SI"/>
        </w:rPr>
        <w:t>9</w:t>
      </w:r>
      <w:r w:rsidRPr="005771BD">
        <w:rPr>
          <w:rFonts w:cs="Arial"/>
          <w:bCs/>
          <w:i/>
          <w:noProof/>
          <w:szCs w:val="20"/>
          <w:lang w:val="sl-SI"/>
        </w:rPr>
        <w:t>.6: Vrste odpadkov, ki so v Sloveniji nastali v letu 2014</w:t>
      </w:r>
      <w:r w:rsidR="00FF4C0C">
        <w:rPr>
          <w:rFonts w:cs="Arial"/>
          <w:bCs/>
          <w:i/>
          <w:noProof/>
          <w:szCs w:val="20"/>
          <w:lang w:val="sl-SI"/>
        </w:rPr>
        <w:t xml:space="preserve"> (</w:t>
      </w:r>
      <w:r w:rsidRPr="005771BD">
        <w:rPr>
          <w:rFonts w:cs="Arial"/>
          <w:bCs/>
          <w:noProof/>
          <w:sz w:val="18"/>
          <w:szCs w:val="18"/>
          <w:lang w:val="sl-SI"/>
        </w:rPr>
        <w:t>Vir: ARSO, SURS</w:t>
      </w:r>
      <w:r w:rsidR="00FF4C0C">
        <w:rPr>
          <w:rFonts w:cs="Arial"/>
          <w:bCs/>
          <w:noProof/>
          <w:sz w:val="18"/>
          <w:szCs w:val="18"/>
          <w:lang w:val="sl-SI"/>
        </w:rPr>
        <w:t>)</w:t>
      </w:r>
    </w:p>
    <w:p w:rsidR="002F73CD" w:rsidRPr="005771BD" w:rsidRDefault="002F73CD" w:rsidP="002F73CD">
      <w:pPr>
        <w:spacing w:after="200" w:line="276" w:lineRule="auto"/>
        <w:jc w:val="both"/>
        <w:rPr>
          <w:rFonts w:eastAsia="Calibri" w:cs="Arial"/>
          <w:szCs w:val="20"/>
          <w:lang w:val="sl-SI"/>
        </w:rPr>
      </w:pPr>
      <w:r w:rsidRPr="005771BD">
        <w:rPr>
          <w:rFonts w:eastAsia="Calibri" w:cs="Arial"/>
          <w:szCs w:val="20"/>
          <w:lang w:val="sl-SI"/>
        </w:rPr>
        <w:t xml:space="preserve">Skupna masa odpadkov bilančno ne vključuje le odpadkov, ki jih povzročajo izvirni povzročitelji, pri katerih nastajajo odpadki pri izvornih dejavnostih, temveč tudi odpadke, ki nastanejo pri obdelavi odpadkov, kot so žlindra in pepel </w:t>
      </w:r>
      <w:r>
        <w:rPr>
          <w:rFonts w:eastAsia="Calibri" w:cs="Arial"/>
          <w:szCs w:val="20"/>
          <w:lang w:val="sl-SI"/>
        </w:rPr>
        <w:t>pri toplotni</w:t>
      </w:r>
      <w:r w:rsidRPr="005771BD">
        <w:rPr>
          <w:rFonts w:eastAsia="Calibri" w:cs="Arial"/>
          <w:szCs w:val="20"/>
          <w:lang w:val="sl-SI"/>
        </w:rPr>
        <w:t xml:space="preserve"> obdelav</w:t>
      </w:r>
      <w:r>
        <w:rPr>
          <w:rFonts w:eastAsia="Calibri" w:cs="Arial"/>
          <w:szCs w:val="20"/>
          <w:lang w:val="sl-SI"/>
        </w:rPr>
        <w:t>i</w:t>
      </w:r>
      <w:r w:rsidRPr="005771BD">
        <w:rPr>
          <w:rFonts w:eastAsia="Calibri" w:cs="Arial"/>
          <w:szCs w:val="20"/>
          <w:lang w:val="sl-SI"/>
        </w:rPr>
        <w:t xml:space="preserve"> odpadkov, ostanki predelave odpadkov in mehansko biološke obdelave mešanih komunalnih odpadkov ter odpadki, ki nastajajo pri drobljenju odpadkov. Odpadkov,</w:t>
      </w:r>
      <w:r>
        <w:rPr>
          <w:rFonts w:eastAsia="Calibri" w:cs="Arial"/>
          <w:szCs w:val="20"/>
          <w:lang w:val="sl-SI"/>
        </w:rPr>
        <w:t xml:space="preserve"> </w:t>
      </w:r>
      <w:r w:rsidRPr="005771BD">
        <w:rPr>
          <w:rFonts w:eastAsia="Calibri" w:cs="Arial"/>
          <w:szCs w:val="20"/>
          <w:lang w:val="sl-SI"/>
        </w:rPr>
        <w:t>nastali</w:t>
      </w:r>
      <w:r>
        <w:rPr>
          <w:rFonts w:eastAsia="Calibri" w:cs="Arial"/>
          <w:szCs w:val="20"/>
          <w:lang w:val="sl-SI"/>
        </w:rPr>
        <w:t>h</w:t>
      </w:r>
      <w:r w:rsidRPr="005771BD">
        <w:rPr>
          <w:rFonts w:eastAsia="Calibri" w:cs="Arial"/>
          <w:szCs w:val="20"/>
          <w:lang w:val="sl-SI"/>
        </w:rPr>
        <w:t xml:space="preserve"> pri obdelavi odpadkov, je </w:t>
      </w:r>
      <w:r>
        <w:rPr>
          <w:rFonts w:eastAsia="Calibri" w:cs="Arial"/>
          <w:szCs w:val="20"/>
          <w:lang w:val="sl-SI"/>
        </w:rPr>
        <w:t xml:space="preserve">bilo </w:t>
      </w:r>
      <w:r w:rsidRPr="005771BD">
        <w:rPr>
          <w:rFonts w:eastAsia="Calibri" w:cs="Arial"/>
          <w:szCs w:val="20"/>
          <w:lang w:val="sl-SI"/>
        </w:rPr>
        <w:t>v letu 2014 15</w:t>
      </w:r>
      <w:r>
        <w:rPr>
          <w:rFonts w:eastAsia="Calibri" w:cs="Arial"/>
          <w:szCs w:val="20"/>
          <w:lang w:val="sl-SI"/>
        </w:rPr>
        <w:t xml:space="preserve"> </w:t>
      </w:r>
      <w:r w:rsidRPr="005771BD">
        <w:rPr>
          <w:rFonts w:eastAsia="Calibri" w:cs="Arial"/>
          <w:szCs w:val="20"/>
          <w:lang w:val="sl-SI"/>
        </w:rPr>
        <w:t>% vseh nastalih odpadkov.</w:t>
      </w:r>
    </w:p>
    <w:p w:rsidR="002F73CD" w:rsidRPr="005C1DA5" w:rsidRDefault="002F73CD" w:rsidP="002F73CD">
      <w:pPr>
        <w:spacing w:after="200" w:line="276" w:lineRule="auto"/>
        <w:jc w:val="both"/>
        <w:rPr>
          <w:rFonts w:cs="Arial"/>
          <w:szCs w:val="20"/>
          <w:lang w:val="sl-SI" w:eastAsia="sl-SI"/>
        </w:rPr>
      </w:pPr>
      <w:r w:rsidRPr="005C1DA5">
        <w:rPr>
          <w:rFonts w:cs="Arial"/>
          <w:szCs w:val="20"/>
          <w:lang w:val="sl-SI" w:eastAsia="sl-SI"/>
        </w:rPr>
        <w:t xml:space="preserve">Količina nevarnih odpadkov (med </w:t>
      </w:r>
      <w:r w:rsidRPr="005C1DA5">
        <w:rPr>
          <w:rFonts w:cs="Arial"/>
          <w:szCs w:val="20"/>
          <w:lang w:val="sl-SI"/>
        </w:rPr>
        <w:t>nevarne odpadke štejemo tiste, ki vsebujejo nevarne snovi ali so pomešani s takimi snovmi)</w:t>
      </w:r>
      <w:r w:rsidRPr="005C1DA5">
        <w:rPr>
          <w:rFonts w:cs="Arial"/>
          <w:szCs w:val="20"/>
          <w:lang w:val="sl-SI" w:eastAsia="sl-SI"/>
        </w:rPr>
        <w:t xml:space="preserve"> </w:t>
      </w:r>
      <w:r>
        <w:rPr>
          <w:rFonts w:cs="Arial"/>
          <w:szCs w:val="20"/>
          <w:lang w:val="sl-SI" w:eastAsia="sl-SI"/>
        </w:rPr>
        <w:t xml:space="preserve">se </w:t>
      </w:r>
      <w:r w:rsidRPr="005C1DA5">
        <w:rPr>
          <w:rFonts w:cs="Arial"/>
          <w:szCs w:val="20"/>
          <w:lang w:val="sl-SI" w:eastAsia="sl-SI"/>
        </w:rPr>
        <w:t xml:space="preserve">postopno </w:t>
      </w:r>
      <w:r>
        <w:rPr>
          <w:rFonts w:cs="Arial"/>
          <w:szCs w:val="20"/>
          <w:lang w:val="sl-SI" w:eastAsia="sl-SI"/>
        </w:rPr>
        <w:t>povečuje</w:t>
      </w:r>
      <w:r w:rsidRPr="005C1DA5">
        <w:rPr>
          <w:rFonts w:cs="Arial"/>
          <w:szCs w:val="20"/>
          <w:lang w:val="sl-SI" w:eastAsia="sl-SI"/>
        </w:rPr>
        <w:t xml:space="preserve"> že od leta 2002. Razlog je delno v novih zakonodajnih zahtevah, </w:t>
      </w:r>
      <w:r>
        <w:rPr>
          <w:rFonts w:cs="Arial"/>
          <w:szCs w:val="20"/>
          <w:lang w:val="sl-SI" w:eastAsia="sl-SI"/>
        </w:rPr>
        <w:t>zaradi katerih</w:t>
      </w:r>
      <w:r w:rsidRPr="005C1DA5">
        <w:rPr>
          <w:rFonts w:cs="Arial"/>
          <w:szCs w:val="20"/>
          <w:lang w:val="sl-SI" w:eastAsia="sl-SI"/>
        </w:rPr>
        <w:t xml:space="preserve"> </w:t>
      </w:r>
      <w:r>
        <w:rPr>
          <w:rFonts w:cs="Arial"/>
          <w:szCs w:val="20"/>
          <w:lang w:val="sl-SI" w:eastAsia="sl-SI"/>
        </w:rPr>
        <w:t xml:space="preserve">smo napredovali pri </w:t>
      </w:r>
      <w:r w:rsidRPr="005C1DA5">
        <w:rPr>
          <w:rFonts w:cs="Arial"/>
          <w:szCs w:val="20"/>
          <w:lang w:val="sl-SI" w:eastAsia="sl-SI"/>
        </w:rPr>
        <w:t xml:space="preserve">ločenem zbiranju nevarnih odpadkov, delno pa v izboljšavah glede poročanja zavezancev za poročanje o nastalih odpadkih in ravnanju z njimi. </w:t>
      </w:r>
    </w:p>
    <w:p w:rsidR="002F73CD" w:rsidRPr="005771BD" w:rsidRDefault="002F73CD" w:rsidP="002F73CD">
      <w:pPr>
        <w:spacing w:after="200" w:line="276" w:lineRule="auto"/>
        <w:jc w:val="both"/>
        <w:rPr>
          <w:rFonts w:eastAsia="Calibri" w:cs="Arial"/>
          <w:szCs w:val="20"/>
          <w:lang w:val="sl-SI" w:eastAsia="sl-SI"/>
        </w:rPr>
      </w:pPr>
      <w:r w:rsidRPr="005771BD">
        <w:rPr>
          <w:rFonts w:eastAsia="Calibri" w:cs="Arial"/>
          <w:szCs w:val="20"/>
          <w:lang w:val="sl-SI"/>
        </w:rPr>
        <w:t xml:space="preserve">Leta 2014 jih je nastalo </w:t>
      </w:r>
      <w:r w:rsidRPr="005771BD">
        <w:rPr>
          <w:rFonts w:eastAsia="Calibri" w:cs="Arial"/>
          <w:szCs w:val="20"/>
          <w:lang w:val="sl-SI" w:eastAsia="sl-SI"/>
        </w:rPr>
        <w:t>72 % več kot leta 2002 in 47</w:t>
      </w:r>
      <w:r w:rsidRPr="005771BD">
        <w:rPr>
          <w:rFonts w:eastAsia="Calibri" w:cs="Arial"/>
          <w:color w:val="333232"/>
          <w:szCs w:val="20"/>
          <w:lang w:val="sl-SI" w:eastAsia="sl-SI"/>
        </w:rPr>
        <w:t xml:space="preserve"> % </w:t>
      </w:r>
      <w:r w:rsidRPr="005771BD">
        <w:rPr>
          <w:rFonts w:eastAsia="Calibri" w:cs="Arial"/>
          <w:szCs w:val="20"/>
          <w:lang w:val="sl-SI" w:eastAsia="sl-SI"/>
        </w:rPr>
        <w:t>več kot leta 2006 ter približno enako kot leta 2008. Med nastalimi nevarnimi odpadki je bilo v letu 2014 4,6 % nevarnih komunalnih odpadkov (3,3</w:t>
      </w:r>
      <w:r w:rsidRPr="005771BD">
        <w:rPr>
          <w:rFonts w:eastAsia="Calibri" w:cs="Arial"/>
          <w:color w:val="333232"/>
          <w:szCs w:val="20"/>
          <w:lang w:val="sl-SI" w:eastAsia="sl-SI"/>
        </w:rPr>
        <w:t> </w:t>
      </w:r>
      <w:r w:rsidRPr="005771BD">
        <w:rPr>
          <w:rFonts w:eastAsia="Calibri" w:cs="Arial"/>
          <w:szCs w:val="20"/>
          <w:lang w:val="sl-SI" w:eastAsia="sl-SI"/>
        </w:rPr>
        <w:t xml:space="preserve">kg/prebivalca). </w:t>
      </w:r>
    </w:p>
    <w:p w:rsidR="002F73CD" w:rsidRPr="005C1DA5" w:rsidRDefault="002F73CD" w:rsidP="002F73CD">
      <w:pPr>
        <w:spacing w:after="200" w:line="276" w:lineRule="auto"/>
        <w:jc w:val="both"/>
        <w:rPr>
          <w:rFonts w:cs="Arial"/>
          <w:szCs w:val="20"/>
          <w:lang w:val="sl-SI" w:eastAsia="sl-SI"/>
        </w:rPr>
      </w:pPr>
      <w:r w:rsidRPr="005C1DA5">
        <w:rPr>
          <w:rFonts w:cs="Arial"/>
          <w:szCs w:val="20"/>
          <w:lang w:val="sl-SI" w:eastAsia="sl-SI"/>
        </w:rPr>
        <w:t>V prihodnjih letih ne pričakujemo bistven</w:t>
      </w:r>
      <w:r>
        <w:rPr>
          <w:rFonts w:cs="Arial"/>
          <w:szCs w:val="20"/>
          <w:lang w:val="sl-SI" w:eastAsia="sl-SI"/>
        </w:rPr>
        <w:t xml:space="preserve">o spremenjenih </w:t>
      </w:r>
      <w:r w:rsidRPr="005C1DA5">
        <w:rPr>
          <w:rFonts w:cs="Arial"/>
          <w:szCs w:val="20"/>
          <w:lang w:val="sl-SI" w:eastAsia="sl-SI"/>
        </w:rPr>
        <w:t>količin nasta</w:t>
      </w:r>
      <w:r>
        <w:rPr>
          <w:rFonts w:cs="Arial"/>
          <w:szCs w:val="20"/>
          <w:lang w:val="sl-SI" w:eastAsia="sl-SI"/>
        </w:rPr>
        <w:t>lih</w:t>
      </w:r>
      <w:r w:rsidRPr="005C1DA5">
        <w:rPr>
          <w:rFonts w:cs="Arial"/>
          <w:szCs w:val="20"/>
          <w:lang w:val="sl-SI" w:eastAsia="sl-SI"/>
        </w:rPr>
        <w:t xml:space="preserve"> nevarnih odpadkov. Predvidevamo, da se bodo letne količine gibale med 140.000</w:t>
      </w:r>
      <w:r w:rsidRPr="005C1DA5">
        <w:rPr>
          <w:rFonts w:cs="Arial"/>
          <w:color w:val="333232"/>
          <w:szCs w:val="20"/>
          <w:lang w:val="sl-SI" w:eastAsia="sl-SI"/>
        </w:rPr>
        <w:t> </w:t>
      </w:r>
      <w:r w:rsidRPr="005C1DA5">
        <w:rPr>
          <w:rFonts w:cs="Arial"/>
          <w:szCs w:val="20"/>
          <w:lang w:val="sl-SI" w:eastAsia="sl-SI"/>
        </w:rPr>
        <w:t>t in 180.000</w:t>
      </w:r>
      <w:r w:rsidRPr="005C1DA5">
        <w:rPr>
          <w:rFonts w:cs="Arial"/>
          <w:color w:val="333232"/>
          <w:szCs w:val="20"/>
          <w:lang w:val="sl-SI" w:eastAsia="sl-SI"/>
        </w:rPr>
        <w:t> </w:t>
      </w:r>
      <w:r w:rsidRPr="005C1DA5">
        <w:rPr>
          <w:rFonts w:cs="Arial"/>
          <w:szCs w:val="20"/>
          <w:lang w:val="sl-SI" w:eastAsia="sl-SI"/>
        </w:rPr>
        <w:t>t.</w:t>
      </w:r>
    </w:p>
    <w:p w:rsidR="002F73CD" w:rsidRPr="005771BD" w:rsidRDefault="002F73CD" w:rsidP="002F73CD">
      <w:pPr>
        <w:spacing w:after="200" w:line="276" w:lineRule="auto"/>
        <w:jc w:val="center"/>
        <w:rPr>
          <w:rFonts w:eastAsia="Calibri" w:cs="Arial"/>
          <w:szCs w:val="20"/>
          <w:lang w:val="sl-SI"/>
        </w:rPr>
      </w:pPr>
      <w:r w:rsidRPr="007F272F">
        <w:rPr>
          <w:rFonts w:eastAsia="Calibri" w:cs="Arial"/>
          <w:noProof/>
          <w:szCs w:val="20"/>
          <w:lang w:val="sl-SI" w:eastAsia="sl-SI"/>
        </w:rPr>
        <w:drawing>
          <wp:inline distT="0" distB="0" distL="0" distR="0" wp14:anchorId="027C612D" wp14:editId="78A8BD35">
            <wp:extent cx="3584575" cy="2127885"/>
            <wp:effectExtent l="0" t="0" r="0" b="5715"/>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584575" cy="2127885"/>
                    </a:xfrm>
                    <a:prstGeom prst="rect">
                      <a:avLst/>
                    </a:prstGeom>
                    <a:noFill/>
                  </pic:spPr>
                </pic:pic>
              </a:graphicData>
            </a:graphic>
          </wp:inline>
        </w:drawing>
      </w:r>
    </w:p>
    <w:p w:rsidR="00FF4C0C" w:rsidRDefault="002F73CD" w:rsidP="00FF4C0C">
      <w:pPr>
        <w:keepNext/>
        <w:tabs>
          <w:tab w:val="left" w:pos="0"/>
        </w:tabs>
        <w:spacing w:before="200" w:line="276" w:lineRule="auto"/>
        <w:jc w:val="both"/>
        <w:rPr>
          <w:rFonts w:cs="Arial"/>
          <w:bCs/>
          <w:i/>
          <w:noProof/>
          <w:szCs w:val="20"/>
          <w:lang w:val="sl-SI"/>
        </w:rPr>
      </w:pPr>
      <w:r w:rsidRPr="005771BD">
        <w:rPr>
          <w:rFonts w:cs="Arial"/>
          <w:bCs/>
          <w:i/>
          <w:noProof/>
          <w:szCs w:val="20"/>
          <w:lang w:val="sl-SI"/>
        </w:rPr>
        <w:t xml:space="preserve">Slika </w:t>
      </w:r>
      <w:r w:rsidR="002F3C80">
        <w:rPr>
          <w:rFonts w:cs="Arial"/>
          <w:bCs/>
          <w:i/>
          <w:noProof/>
          <w:szCs w:val="20"/>
          <w:lang w:val="sl-SI"/>
        </w:rPr>
        <w:t>9</w:t>
      </w:r>
      <w:r w:rsidRPr="005771BD">
        <w:rPr>
          <w:rFonts w:cs="Arial"/>
          <w:bCs/>
          <w:i/>
          <w:noProof/>
          <w:szCs w:val="20"/>
          <w:lang w:val="sl-SI"/>
        </w:rPr>
        <w:t>.7: Letna količina zbranih nevarnih komunalnih odpadkov obdobju 2002</w:t>
      </w:r>
      <w:r>
        <w:rPr>
          <w:rFonts w:cs="Arial"/>
          <w:bCs/>
          <w:i/>
          <w:noProof/>
          <w:szCs w:val="20"/>
          <w:lang w:val="sl-SI"/>
        </w:rPr>
        <w:t>–</w:t>
      </w:r>
      <w:r w:rsidRPr="005771BD">
        <w:rPr>
          <w:rFonts w:cs="Arial"/>
          <w:bCs/>
          <w:i/>
          <w:noProof/>
          <w:szCs w:val="20"/>
          <w:lang w:val="sl-SI"/>
        </w:rPr>
        <w:t xml:space="preserve">2014 </w:t>
      </w:r>
    </w:p>
    <w:p w:rsidR="002F73CD" w:rsidRPr="005771BD" w:rsidRDefault="002F73CD" w:rsidP="00FF4C0C">
      <w:pPr>
        <w:keepNext/>
        <w:tabs>
          <w:tab w:val="left" w:pos="0"/>
        </w:tabs>
        <w:spacing w:after="360" w:line="276" w:lineRule="auto"/>
        <w:jc w:val="both"/>
        <w:rPr>
          <w:rFonts w:cs="Arial"/>
          <w:bCs/>
          <w:noProof/>
          <w:sz w:val="18"/>
          <w:szCs w:val="18"/>
          <w:lang w:val="sl-SI"/>
        </w:rPr>
      </w:pPr>
      <w:r w:rsidRPr="005771BD">
        <w:rPr>
          <w:rFonts w:cs="Arial"/>
          <w:bCs/>
          <w:noProof/>
          <w:sz w:val="18"/>
          <w:szCs w:val="18"/>
          <w:lang w:val="sl-SI"/>
        </w:rPr>
        <w:t>Vir: SURS</w:t>
      </w:r>
    </w:p>
    <w:p w:rsidR="002F73CD" w:rsidRPr="005C1DA5" w:rsidRDefault="002F3C80" w:rsidP="002F73CD">
      <w:pPr>
        <w:shd w:val="clear" w:color="auto" w:fill="FFFFFF"/>
        <w:spacing w:after="200" w:line="276" w:lineRule="auto"/>
        <w:jc w:val="both"/>
        <w:rPr>
          <w:rFonts w:cs="Arial"/>
          <w:b/>
          <w:color w:val="333232"/>
          <w:szCs w:val="20"/>
          <w:lang w:val="sl-SI" w:eastAsia="sl-SI"/>
        </w:rPr>
      </w:pPr>
      <w:r>
        <w:rPr>
          <w:rFonts w:cs="Arial"/>
          <w:b/>
          <w:color w:val="333232"/>
          <w:szCs w:val="20"/>
          <w:lang w:val="sl-SI" w:eastAsia="sl-SI"/>
        </w:rPr>
        <w:t>9</w:t>
      </w:r>
      <w:r w:rsidR="002F73CD" w:rsidRPr="005C1DA5">
        <w:rPr>
          <w:rFonts w:cs="Arial"/>
          <w:b/>
          <w:color w:val="333232"/>
          <w:szCs w:val="20"/>
          <w:lang w:val="sl-SI" w:eastAsia="sl-SI"/>
        </w:rPr>
        <w:t>.3.2 Obdelava odpadkov</w:t>
      </w:r>
    </w:p>
    <w:p w:rsidR="002F73CD" w:rsidRPr="005C1DA5" w:rsidRDefault="002F73CD" w:rsidP="002F73CD">
      <w:pPr>
        <w:shd w:val="clear" w:color="auto" w:fill="FFFFFF"/>
        <w:spacing w:after="200" w:line="276" w:lineRule="auto"/>
        <w:jc w:val="both"/>
        <w:rPr>
          <w:rFonts w:cs="Arial"/>
          <w:b/>
          <w:color w:val="333232"/>
          <w:szCs w:val="20"/>
          <w:lang w:val="sl-SI" w:eastAsia="sl-SI"/>
        </w:rPr>
      </w:pPr>
      <w:r w:rsidRPr="005C1DA5">
        <w:rPr>
          <w:rFonts w:cs="Arial"/>
          <w:color w:val="333232"/>
          <w:szCs w:val="20"/>
          <w:lang w:val="sl-SI" w:eastAsia="sl-SI"/>
        </w:rPr>
        <w:t xml:space="preserve">Obdelava odpadkov so </w:t>
      </w:r>
      <w:r w:rsidRPr="005C1DA5">
        <w:rPr>
          <w:rFonts w:cs="Arial"/>
          <w:color w:val="333232"/>
          <w:szCs w:val="20"/>
          <w:u w:val="single"/>
          <w:lang w:val="sl-SI" w:eastAsia="sl-SI"/>
        </w:rPr>
        <w:t>postopki predelave in odstranjevanja</w:t>
      </w:r>
      <w:r w:rsidRPr="005C1DA5">
        <w:rPr>
          <w:rFonts w:cs="Arial"/>
          <w:color w:val="333232"/>
          <w:szCs w:val="20"/>
          <w:lang w:val="sl-SI" w:eastAsia="sl-SI"/>
        </w:rPr>
        <w:t>, vključno s pripravo za predelavo ali odstranjevanje odpadkov. Odpadki, ki nastanejo pri povzročiteljih odpadkov, morajo v nadaljnjo obdelavo v s</w:t>
      </w:r>
      <w:r>
        <w:rPr>
          <w:rFonts w:cs="Arial"/>
          <w:color w:val="333232"/>
          <w:szCs w:val="20"/>
          <w:lang w:val="sl-SI" w:eastAsia="sl-SI"/>
        </w:rPr>
        <w:t>k</w:t>
      </w:r>
      <w:r w:rsidRPr="005C1DA5">
        <w:rPr>
          <w:rFonts w:cs="Arial"/>
          <w:color w:val="333232"/>
          <w:szCs w:val="20"/>
          <w:lang w:val="sl-SI" w:eastAsia="sl-SI"/>
        </w:rPr>
        <w:t>ladu s hie</w:t>
      </w:r>
      <w:r>
        <w:rPr>
          <w:rFonts w:cs="Arial"/>
          <w:color w:val="333232"/>
          <w:szCs w:val="20"/>
          <w:lang w:val="sl-SI" w:eastAsia="sl-SI"/>
        </w:rPr>
        <w:t>r</w:t>
      </w:r>
      <w:r w:rsidRPr="005C1DA5">
        <w:rPr>
          <w:rFonts w:cs="Arial"/>
          <w:color w:val="333232"/>
          <w:szCs w:val="20"/>
          <w:lang w:val="sl-SI" w:eastAsia="sl-SI"/>
        </w:rPr>
        <w:t>arhijo ravnanja z odpadki, kar v splošnem pomeni, da imajo postopki predelave prednos</w:t>
      </w:r>
      <w:r>
        <w:rPr>
          <w:rFonts w:cs="Arial"/>
          <w:color w:val="333232"/>
          <w:szCs w:val="20"/>
          <w:lang w:val="sl-SI" w:eastAsia="sl-SI"/>
        </w:rPr>
        <w:t>t</w:t>
      </w:r>
      <w:r w:rsidRPr="005C1DA5">
        <w:rPr>
          <w:rFonts w:cs="Arial"/>
          <w:color w:val="333232"/>
          <w:szCs w:val="20"/>
          <w:lang w:val="sl-SI" w:eastAsia="sl-SI"/>
        </w:rPr>
        <w:t xml:space="preserve"> pred postopki odstranjevanja odpadkov</w:t>
      </w:r>
      <w:r w:rsidRPr="005C1DA5">
        <w:rPr>
          <w:rFonts w:cs="Arial"/>
          <w:b/>
          <w:color w:val="333232"/>
          <w:szCs w:val="20"/>
          <w:lang w:val="sl-SI" w:eastAsia="sl-SI"/>
        </w:rPr>
        <w:t xml:space="preserve">. </w:t>
      </w:r>
    </w:p>
    <w:p w:rsidR="002F73CD" w:rsidRPr="005C1DA5" w:rsidRDefault="002F73CD" w:rsidP="002F73CD">
      <w:pPr>
        <w:shd w:val="clear" w:color="auto" w:fill="FFFFFF"/>
        <w:spacing w:after="200" w:line="276" w:lineRule="auto"/>
        <w:jc w:val="both"/>
        <w:rPr>
          <w:rFonts w:cs="Arial"/>
          <w:i/>
          <w:color w:val="333232"/>
          <w:szCs w:val="20"/>
          <w:u w:val="single"/>
          <w:lang w:val="sl-SI" w:eastAsia="sl-SI"/>
        </w:rPr>
      </w:pPr>
      <w:r w:rsidRPr="005C1DA5">
        <w:rPr>
          <w:rFonts w:cs="Arial"/>
          <w:i/>
          <w:color w:val="333232"/>
          <w:szCs w:val="20"/>
          <w:u w:val="single"/>
          <w:lang w:val="sl-SI" w:eastAsia="sl-SI"/>
        </w:rPr>
        <w:t xml:space="preserve">Predelava odpadkov </w:t>
      </w:r>
    </w:p>
    <w:p w:rsidR="002F73CD" w:rsidRPr="005C1DA5" w:rsidRDefault="002F73CD" w:rsidP="002F73CD">
      <w:pPr>
        <w:shd w:val="clear" w:color="auto" w:fill="FFFFFF"/>
        <w:spacing w:after="200" w:line="276" w:lineRule="auto"/>
        <w:jc w:val="both"/>
        <w:rPr>
          <w:rFonts w:cs="Arial"/>
          <w:color w:val="333232"/>
          <w:szCs w:val="20"/>
          <w:lang w:val="sl-SI" w:eastAsia="sl-SI"/>
        </w:rPr>
      </w:pPr>
      <w:r w:rsidRPr="005C1DA5">
        <w:rPr>
          <w:rFonts w:cs="Arial"/>
          <w:b/>
          <w:color w:val="333232"/>
          <w:szCs w:val="20"/>
          <w:lang w:val="sl-SI" w:eastAsia="sl-SI"/>
        </w:rPr>
        <w:t>Predelava</w:t>
      </w:r>
      <w:r w:rsidRPr="005C1DA5">
        <w:rPr>
          <w:rFonts w:cs="Arial"/>
          <w:color w:val="333232"/>
          <w:szCs w:val="20"/>
          <w:lang w:val="sl-SI" w:eastAsia="sl-SI"/>
        </w:rPr>
        <w:t xml:space="preserve"> odpadkov je postopek, katerega glavni rezultat je, da se odpadki koristno uporabijo v obratu, v katerem so bili predelani, ali v drugih gospodarskih dejavnostih, tako da nadomestijo druge materiale, ki bi se sicer uporabili za </w:t>
      </w:r>
      <w:r>
        <w:rPr>
          <w:rFonts w:cs="Arial"/>
          <w:color w:val="333232"/>
          <w:szCs w:val="20"/>
          <w:lang w:val="sl-SI" w:eastAsia="sl-SI"/>
        </w:rPr>
        <w:t>določen namen</w:t>
      </w:r>
      <w:r w:rsidRPr="005C1DA5">
        <w:rPr>
          <w:rFonts w:cs="Arial"/>
          <w:color w:val="333232"/>
          <w:szCs w:val="20"/>
          <w:lang w:val="sl-SI" w:eastAsia="sl-SI"/>
        </w:rPr>
        <w:t xml:space="preserve">, ali so pripravljeni za </w:t>
      </w:r>
      <w:r>
        <w:rPr>
          <w:rFonts w:cs="Arial"/>
          <w:color w:val="333232"/>
          <w:szCs w:val="20"/>
          <w:lang w:val="sl-SI" w:eastAsia="sl-SI"/>
        </w:rPr>
        <w:t>določen na</w:t>
      </w:r>
      <w:r w:rsidRPr="005C1DA5">
        <w:rPr>
          <w:rFonts w:cs="Arial"/>
          <w:color w:val="333232"/>
          <w:szCs w:val="20"/>
          <w:lang w:val="sl-SI" w:eastAsia="sl-SI"/>
        </w:rPr>
        <w:t xml:space="preserve"> Seznam postopkov predelave je določen v </w:t>
      </w:r>
      <w:r>
        <w:rPr>
          <w:rFonts w:cs="Arial"/>
          <w:color w:val="333232"/>
          <w:szCs w:val="20"/>
          <w:lang w:val="sl-SI" w:eastAsia="sl-SI"/>
        </w:rPr>
        <w:t>p</w:t>
      </w:r>
      <w:r w:rsidRPr="005C1DA5">
        <w:rPr>
          <w:rFonts w:cs="Arial"/>
          <w:color w:val="333232"/>
          <w:szCs w:val="20"/>
          <w:lang w:val="sl-SI" w:eastAsia="sl-SI"/>
        </w:rPr>
        <w:t xml:space="preserve">rilogi 2 Uredbe o odpadkih, kar pa ne izključuje drugih mogočih postopkov predelave. Predelovalci odpadkov izvajajo predelavo odpadkov s postopkom, določenim v okoljevarstvenem dovoljenju, ki ga morajo pridobiti za izvajanje te dejavnosti.  </w:t>
      </w:r>
    </w:p>
    <w:p w:rsidR="002F73CD" w:rsidRPr="005771BD" w:rsidRDefault="002F73CD" w:rsidP="002F73CD">
      <w:pPr>
        <w:shd w:val="clear" w:color="auto" w:fill="FFFFFF"/>
        <w:spacing w:after="200" w:line="276" w:lineRule="auto"/>
        <w:jc w:val="both"/>
        <w:rPr>
          <w:rFonts w:cs="Arial"/>
          <w:szCs w:val="20"/>
          <w:shd w:val="clear" w:color="auto" w:fill="F1F1F1"/>
          <w:lang w:val="sl-SI"/>
        </w:rPr>
      </w:pPr>
      <w:r w:rsidRPr="001323F1">
        <w:rPr>
          <w:rFonts w:cs="Arial"/>
          <w:szCs w:val="20"/>
          <w:shd w:val="clear" w:color="auto" w:fill="F1F1F1"/>
          <w:lang w:val="sl-SI"/>
        </w:rPr>
        <w:t xml:space="preserve">Na sliki </w:t>
      </w:r>
      <w:r w:rsidR="001323F1" w:rsidRPr="001323F1">
        <w:rPr>
          <w:rFonts w:cs="Arial"/>
          <w:szCs w:val="20"/>
          <w:shd w:val="clear" w:color="auto" w:fill="F1F1F1"/>
          <w:lang w:val="sl-SI"/>
        </w:rPr>
        <w:t>9</w:t>
      </w:r>
      <w:r w:rsidRPr="001323F1">
        <w:rPr>
          <w:rFonts w:cs="Arial"/>
          <w:szCs w:val="20"/>
          <w:shd w:val="clear" w:color="auto" w:fill="F1F1F1"/>
          <w:lang w:val="sl-SI"/>
        </w:rPr>
        <w:t>.8 so prikazana razmerja med predelavo in odstranjevanjem odpadkov v letu 2014, ko je bilo 75 % odpadkov predelanih, 7 % pa odstranjenih. Za primerjavo: v letu 2002 je bilo odstranjenih 60 % odpadkov, predelanih pa 38 %.</w:t>
      </w:r>
      <w:r w:rsidRPr="005C1DA5">
        <w:rPr>
          <w:rFonts w:cs="Arial"/>
          <w:szCs w:val="20"/>
          <w:shd w:val="clear" w:color="auto" w:fill="F1F1F1"/>
          <w:lang w:val="sl-SI"/>
        </w:rPr>
        <w:t xml:space="preserve">   </w:t>
      </w:r>
    </w:p>
    <w:p w:rsidR="002F73CD" w:rsidRPr="005771BD" w:rsidRDefault="002F73CD" w:rsidP="002F73CD">
      <w:pPr>
        <w:shd w:val="clear" w:color="auto" w:fill="FFFFFF"/>
        <w:spacing w:line="276" w:lineRule="auto"/>
        <w:jc w:val="center"/>
        <w:rPr>
          <w:rFonts w:cs="Arial"/>
          <w:bCs/>
          <w:i/>
          <w:noProof/>
          <w:szCs w:val="20"/>
          <w:lang w:val="sl-SI"/>
        </w:rPr>
      </w:pPr>
      <w:r w:rsidRPr="007F272F">
        <w:rPr>
          <w:rFonts w:cs="Arial"/>
          <w:bCs/>
          <w:i/>
          <w:noProof/>
          <w:szCs w:val="20"/>
          <w:lang w:val="sl-SI" w:eastAsia="sl-SI"/>
        </w:rPr>
        <w:drawing>
          <wp:inline distT="0" distB="0" distL="0" distR="0" wp14:anchorId="7C6F8D7E" wp14:editId="5E94197A">
            <wp:extent cx="3263462" cy="1867344"/>
            <wp:effectExtent l="0" t="0" r="0"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272535" cy="1872536"/>
                    </a:xfrm>
                    <a:prstGeom prst="rect">
                      <a:avLst/>
                    </a:prstGeom>
                    <a:noFill/>
                  </pic:spPr>
                </pic:pic>
              </a:graphicData>
            </a:graphic>
          </wp:inline>
        </w:drawing>
      </w:r>
      <w:r w:rsidRPr="005771BD">
        <w:rPr>
          <w:rFonts w:cs="Arial"/>
          <w:noProof/>
          <w:szCs w:val="20"/>
          <w:lang w:val="sl-SI"/>
        </w:rPr>
        <w:br w:type="textWrapping" w:clear="all"/>
      </w:r>
      <w:bookmarkStart w:id="21" w:name="_Ref452976676"/>
      <w:bookmarkStart w:id="22" w:name="_Toc452023642"/>
      <w:bookmarkStart w:id="23" w:name="_Ref452976603"/>
      <w:bookmarkStart w:id="24" w:name="_Ref452976702"/>
    </w:p>
    <w:p w:rsidR="00FF4C0C" w:rsidRDefault="002F73CD" w:rsidP="00FF4C0C">
      <w:pPr>
        <w:shd w:val="clear" w:color="auto" w:fill="FFFFFF"/>
        <w:spacing w:line="276" w:lineRule="auto"/>
        <w:jc w:val="both"/>
        <w:rPr>
          <w:rFonts w:cs="Arial"/>
          <w:bCs/>
          <w:i/>
          <w:noProof/>
          <w:szCs w:val="20"/>
          <w:lang w:val="sl-SI"/>
        </w:rPr>
      </w:pPr>
      <w:r w:rsidRPr="005771BD">
        <w:rPr>
          <w:rFonts w:cs="Arial"/>
          <w:bCs/>
          <w:i/>
          <w:noProof/>
          <w:szCs w:val="20"/>
          <w:lang w:val="sl-SI"/>
        </w:rPr>
        <w:t xml:space="preserve">Slika </w:t>
      </w:r>
      <w:bookmarkEnd w:id="21"/>
      <w:r w:rsidR="002F3C80">
        <w:rPr>
          <w:rFonts w:cs="Arial"/>
          <w:bCs/>
          <w:i/>
          <w:noProof/>
          <w:szCs w:val="20"/>
          <w:lang w:val="sl-SI"/>
        </w:rPr>
        <w:t>9</w:t>
      </w:r>
      <w:r w:rsidRPr="005771BD">
        <w:rPr>
          <w:rFonts w:cs="Arial"/>
          <w:bCs/>
          <w:i/>
          <w:noProof/>
          <w:szCs w:val="20"/>
          <w:lang w:val="sl-SI"/>
        </w:rPr>
        <w:t xml:space="preserve">.8:Ravnanje z odpadki v letu 2014 </w:t>
      </w:r>
    </w:p>
    <w:p w:rsidR="002F73CD" w:rsidRDefault="00FF4C0C" w:rsidP="00FF4C0C">
      <w:pPr>
        <w:shd w:val="clear" w:color="auto" w:fill="FFFFFF"/>
        <w:spacing w:line="276" w:lineRule="auto"/>
        <w:jc w:val="both"/>
        <w:rPr>
          <w:rFonts w:cs="Arial"/>
          <w:bCs/>
          <w:noProof/>
          <w:sz w:val="18"/>
          <w:szCs w:val="18"/>
          <w:lang w:val="sl-SI"/>
        </w:rPr>
      </w:pPr>
      <w:r>
        <w:rPr>
          <w:rFonts w:cs="Arial"/>
          <w:bCs/>
          <w:noProof/>
          <w:sz w:val="18"/>
          <w:szCs w:val="18"/>
          <w:lang w:val="sl-SI"/>
        </w:rPr>
        <w:t>V</w:t>
      </w:r>
      <w:r w:rsidR="002F73CD" w:rsidRPr="005771BD">
        <w:rPr>
          <w:rFonts w:cs="Arial"/>
          <w:bCs/>
          <w:noProof/>
          <w:sz w:val="18"/>
          <w:szCs w:val="18"/>
          <w:lang w:val="sl-SI"/>
        </w:rPr>
        <w:t>ir: ARSO, SURS: Predelane, odstranjene količine odpadkov</w:t>
      </w:r>
      <w:bookmarkEnd w:id="22"/>
      <w:bookmarkEnd w:id="23"/>
      <w:bookmarkEnd w:id="24"/>
    </w:p>
    <w:p w:rsidR="00FF4C0C" w:rsidRPr="005771BD" w:rsidRDefault="00FF4C0C" w:rsidP="00FF4C0C">
      <w:pPr>
        <w:shd w:val="clear" w:color="auto" w:fill="FFFFFF"/>
        <w:spacing w:line="276" w:lineRule="auto"/>
        <w:jc w:val="both"/>
        <w:rPr>
          <w:rFonts w:cs="Arial"/>
          <w:bCs/>
          <w:noProof/>
          <w:sz w:val="18"/>
          <w:szCs w:val="18"/>
          <w:lang w:val="sl-SI"/>
        </w:rPr>
      </w:pPr>
    </w:p>
    <w:p w:rsidR="002F73CD" w:rsidRPr="005C1DA5" w:rsidRDefault="002F73CD" w:rsidP="002F73CD">
      <w:pPr>
        <w:shd w:val="clear" w:color="auto" w:fill="FFFFFF"/>
        <w:spacing w:after="200" w:line="276" w:lineRule="auto"/>
        <w:jc w:val="both"/>
        <w:rPr>
          <w:rFonts w:cs="Arial"/>
          <w:color w:val="333232"/>
          <w:szCs w:val="20"/>
          <w:lang w:val="sl-SI" w:eastAsia="sl-SI"/>
        </w:rPr>
      </w:pPr>
      <w:r>
        <w:rPr>
          <w:rFonts w:cs="Arial"/>
          <w:szCs w:val="20"/>
          <w:lang w:val="sl-SI" w:eastAsia="sl-SI"/>
        </w:rPr>
        <w:t>P</w:t>
      </w:r>
      <w:r w:rsidRPr="005771BD">
        <w:rPr>
          <w:rFonts w:cs="Arial"/>
          <w:szCs w:val="20"/>
          <w:lang w:val="sl-SI" w:eastAsia="sl-SI"/>
        </w:rPr>
        <w:t xml:space="preserve">regled daljšega obdobja </w:t>
      </w:r>
      <w:r>
        <w:rPr>
          <w:rFonts w:cs="Arial"/>
          <w:szCs w:val="20"/>
          <w:lang w:val="sl-SI" w:eastAsia="sl-SI"/>
        </w:rPr>
        <w:t xml:space="preserve">kaže </w:t>
      </w:r>
      <w:r w:rsidRPr="005771BD">
        <w:rPr>
          <w:rFonts w:cs="Arial"/>
          <w:szCs w:val="20"/>
          <w:lang w:val="sl-SI" w:eastAsia="sl-SI"/>
        </w:rPr>
        <w:t>predvsem narašča</w:t>
      </w:r>
      <w:r>
        <w:rPr>
          <w:rFonts w:cs="Arial"/>
          <w:szCs w:val="20"/>
          <w:lang w:val="sl-SI" w:eastAsia="sl-SI"/>
        </w:rPr>
        <w:t>nje</w:t>
      </w:r>
      <w:r w:rsidRPr="005771BD">
        <w:rPr>
          <w:rFonts w:cs="Arial"/>
          <w:szCs w:val="20"/>
          <w:lang w:val="sl-SI" w:eastAsia="sl-SI"/>
        </w:rPr>
        <w:t xml:space="preserve"> skupn</w:t>
      </w:r>
      <w:r>
        <w:rPr>
          <w:rFonts w:cs="Arial"/>
          <w:szCs w:val="20"/>
          <w:lang w:val="sl-SI" w:eastAsia="sl-SI"/>
        </w:rPr>
        <w:t>e</w:t>
      </w:r>
      <w:r w:rsidRPr="005771BD">
        <w:rPr>
          <w:rFonts w:cs="Arial"/>
          <w:szCs w:val="20"/>
          <w:lang w:val="sl-SI" w:eastAsia="sl-SI"/>
        </w:rPr>
        <w:t xml:space="preserve"> predelav</w:t>
      </w:r>
      <w:r>
        <w:rPr>
          <w:rFonts w:cs="Arial"/>
          <w:szCs w:val="20"/>
          <w:lang w:val="sl-SI" w:eastAsia="sl-SI"/>
        </w:rPr>
        <w:t>e</w:t>
      </w:r>
      <w:r w:rsidRPr="005771BD">
        <w:rPr>
          <w:rFonts w:cs="Arial"/>
          <w:szCs w:val="20"/>
          <w:lang w:val="sl-SI" w:eastAsia="sl-SI"/>
        </w:rPr>
        <w:t xml:space="preserve"> odpadkov</w:t>
      </w:r>
      <w:r>
        <w:rPr>
          <w:rFonts w:cs="Arial"/>
          <w:color w:val="333232"/>
          <w:szCs w:val="20"/>
          <w:lang w:val="sl-SI" w:eastAsia="sl-SI"/>
        </w:rPr>
        <w:t xml:space="preserve"> z</w:t>
      </w:r>
      <w:r w:rsidRPr="005C1DA5">
        <w:rPr>
          <w:rFonts w:cs="Arial"/>
          <w:color w:val="333232"/>
          <w:szCs w:val="20"/>
          <w:lang w:val="sl-SI" w:eastAsia="sl-SI"/>
        </w:rPr>
        <w:t xml:space="preserve"> 2,5 milijona ton predelanih odpadkov v letu 2002 </w:t>
      </w:r>
      <w:r>
        <w:rPr>
          <w:rFonts w:cs="Arial"/>
          <w:color w:val="333232"/>
          <w:szCs w:val="20"/>
          <w:lang w:val="sl-SI" w:eastAsia="sl-SI"/>
        </w:rPr>
        <w:t>na</w:t>
      </w:r>
      <w:r w:rsidRPr="005C1DA5">
        <w:rPr>
          <w:rFonts w:cs="Arial"/>
          <w:color w:val="333232"/>
          <w:szCs w:val="20"/>
          <w:lang w:val="sl-SI" w:eastAsia="sl-SI"/>
        </w:rPr>
        <w:t xml:space="preserve"> 7 milijon</w:t>
      </w:r>
      <w:r>
        <w:rPr>
          <w:rFonts w:cs="Arial"/>
          <w:color w:val="333232"/>
          <w:szCs w:val="20"/>
          <w:lang w:val="sl-SI" w:eastAsia="sl-SI"/>
        </w:rPr>
        <w:t>ov</w:t>
      </w:r>
      <w:r w:rsidRPr="005C1DA5">
        <w:rPr>
          <w:rFonts w:cs="Arial"/>
          <w:color w:val="333232"/>
          <w:szCs w:val="20"/>
          <w:lang w:val="sl-SI" w:eastAsia="sl-SI"/>
        </w:rPr>
        <w:t xml:space="preserve"> ton predelanih odpadkov v letu 2015. Med predelanimi odpadki je največ recikliranih in zasipanih. V letu 2002 se je recikliralo 0,5 milijona ton odpadkov, v letu </w:t>
      </w:r>
      <w:r>
        <w:rPr>
          <w:rFonts w:cs="Arial"/>
          <w:color w:val="333232"/>
          <w:szCs w:val="20"/>
          <w:lang w:val="sl-SI" w:eastAsia="sl-SI"/>
        </w:rPr>
        <w:t xml:space="preserve">pa </w:t>
      </w:r>
      <w:r w:rsidRPr="005C1DA5">
        <w:rPr>
          <w:rFonts w:cs="Arial"/>
          <w:color w:val="333232"/>
          <w:szCs w:val="20"/>
          <w:lang w:val="sl-SI" w:eastAsia="sl-SI"/>
        </w:rPr>
        <w:t>2014 skoraj 3 milijone ton odpadkov.</w:t>
      </w:r>
    </w:p>
    <w:p w:rsidR="002F73CD" w:rsidRPr="005771BD" w:rsidRDefault="002F73CD" w:rsidP="00FF4C0C">
      <w:pPr>
        <w:shd w:val="clear" w:color="auto" w:fill="FFFFFF"/>
        <w:spacing w:after="360" w:line="276" w:lineRule="auto"/>
        <w:jc w:val="both"/>
        <w:rPr>
          <w:rFonts w:cs="Arial"/>
          <w:szCs w:val="20"/>
          <w:lang w:val="sl-SI" w:eastAsia="sl-SI"/>
        </w:rPr>
      </w:pPr>
      <w:r w:rsidRPr="005C1DA5">
        <w:rPr>
          <w:rFonts w:cs="Arial"/>
          <w:color w:val="333232"/>
          <w:szCs w:val="20"/>
          <w:lang w:val="sl-SI" w:eastAsia="sl-SI"/>
        </w:rPr>
        <w:t xml:space="preserve">Tudi primerjava zadnjih let kaže, da je bilo leta 2014 predelanih odpadkov brez zasipanja in priprave za predelavo ali odstranjevanje za 5 % več kot v letu 2013. </w:t>
      </w:r>
      <w:r w:rsidRPr="005771BD">
        <w:rPr>
          <w:rFonts w:cs="Arial"/>
          <w:szCs w:val="20"/>
          <w:lang w:val="sl-SI" w:eastAsia="sl-SI"/>
        </w:rPr>
        <w:t>Celotna predelava se je v letu 2014 v primerjavi s pre</w:t>
      </w:r>
      <w:r>
        <w:rPr>
          <w:rFonts w:cs="Arial"/>
          <w:szCs w:val="20"/>
          <w:lang w:val="sl-SI" w:eastAsia="sl-SI"/>
        </w:rPr>
        <w:t>jšnjim</w:t>
      </w:r>
      <w:r w:rsidRPr="005771BD">
        <w:rPr>
          <w:rFonts w:cs="Arial"/>
          <w:szCs w:val="20"/>
          <w:lang w:val="sl-SI" w:eastAsia="sl-SI"/>
        </w:rPr>
        <w:t xml:space="preserve"> letom pov</w:t>
      </w:r>
      <w:r>
        <w:rPr>
          <w:rFonts w:cs="Arial"/>
          <w:szCs w:val="20"/>
          <w:lang w:val="sl-SI" w:eastAsia="sl-SI"/>
        </w:rPr>
        <w:t>ečala</w:t>
      </w:r>
      <w:r w:rsidRPr="005771BD">
        <w:rPr>
          <w:rFonts w:cs="Arial"/>
          <w:szCs w:val="20"/>
          <w:lang w:val="sl-SI" w:eastAsia="sl-SI"/>
        </w:rPr>
        <w:t xml:space="preserve"> za 18 odstotkov, od tega 14 odstotkov recikliranje. V letu 2014 recikliranje in uporaba odpadka kot gorivo predstavljata 54</w:t>
      </w:r>
      <w:r>
        <w:rPr>
          <w:rFonts w:cs="Arial"/>
          <w:szCs w:val="20"/>
          <w:lang w:val="sl-SI" w:eastAsia="sl-SI"/>
        </w:rPr>
        <w:t>-</w:t>
      </w:r>
      <w:r w:rsidRPr="005771BD">
        <w:rPr>
          <w:rFonts w:cs="Arial"/>
          <w:szCs w:val="20"/>
          <w:lang w:val="sl-SI" w:eastAsia="sl-SI"/>
        </w:rPr>
        <w:t>odstotni delež vseh nastalih in uvoženih odpadkov</w:t>
      </w:r>
      <w:r w:rsidRPr="005C1DA5">
        <w:rPr>
          <w:rFonts w:cs="Arial"/>
          <w:color w:val="333232"/>
          <w:szCs w:val="20"/>
          <w:lang w:val="sl-SI" w:eastAsia="sl-SI"/>
        </w:rPr>
        <w:t>. Skupaj je bilo predelanih okoli 6 milijonov ton, od tega se je pribl</w:t>
      </w:r>
      <w:r>
        <w:rPr>
          <w:rFonts w:cs="Arial"/>
          <w:color w:val="333232"/>
          <w:szCs w:val="20"/>
          <w:lang w:val="sl-SI" w:eastAsia="sl-SI"/>
        </w:rPr>
        <w:t>ižno</w:t>
      </w:r>
      <w:r w:rsidRPr="005C1DA5">
        <w:rPr>
          <w:rFonts w:cs="Arial"/>
          <w:color w:val="333232"/>
          <w:szCs w:val="20"/>
          <w:lang w:val="sl-SI" w:eastAsia="sl-SI"/>
        </w:rPr>
        <w:t xml:space="preserve"> </w:t>
      </w:r>
      <w:r w:rsidRPr="005771BD">
        <w:rPr>
          <w:rFonts w:cs="Arial"/>
          <w:szCs w:val="20"/>
          <w:lang w:val="sl-SI" w:eastAsia="sl-SI"/>
        </w:rPr>
        <w:t>270.000 t uporabilo v predelavi kot gorivo, 2.700.000 t odpadkov se je recikliralo in 70.000 t kompostiralo.</w:t>
      </w:r>
    </w:p>
    <w:p w:rsidR="002F73CD" w:rsidRPr="005771BD" w:rsidRDefault="002F73CD" w:rsidP="002F73CD">
      <w:pPr>
        <w:shd w:val="clear" w:color="auto" w:fill="FFFFFF"/>
        <w:spacing w:after="200" w:line="276" w:lineRule="auto"/>
        <w:jc w:val="both"/>
        <w:rPr>
          <w:rFonts w:cs="Arial"/>
          <w:i/>
          <w:color w:val="333232"/>
          <w:szCs w:val="20"/>
          <w:u w:val="single"/>
          <w:lang w:val="sl-SI" w:eastAsia="sl-SI"/>
        </w:rPr>
      </w:pPr>
      <w:r w:rsidRPr="005771BD">
        <w:rPr>
          <w:rFonts w:cs="Arial"/>
          <w:i/>
          <w:color w:val="333232"/>
          <w:szCs w:val="20"/>
          <w:u w:val="single"/>
          <w:lang w:val="sl-SI" w:eastAsia="sl-SI"/>
        </w:rPr>
        <w:t>Predelava nevarnih odpadkov</w:t>
      </w:r>
    </w:p>
    <w:p w:rsidR="002F73CD" w:rsidRPr="005C1DA5" w:rsidRDefault="002F73CD" w:rsidP="002F73CD">
      <w:pPr>
        <w:shd w:val="clear" w:color="auto" w:fill="FFFFFF"/>
        <w:spacing w:after="200" w:line="276" w:lineRule="auto"/>
        <w:jc w:val="both"/>
        <w:rPr>
          <w:rFonts w:cs="Arial"/>
          <w:color w:val="333232"/>
          <w:szCs w:val="20"/>
          <w:lang w:val="sl-SI" w:eastAsia="sl-SI"/>
        </w:rPr>
      </w:pPr>
      <w:r w:rsidRPr="005771BD">
        <w:rPr>
          <w:rFonts w:cs="Arial"/>
          <w:color w:val="333232"/>
          <w:szCs w:val="20"/>
          <w:lang w:val="sl-SI" w:eastAsia="sl-SI"/>
        </w:rPr>
        <w:t xml:space="preserve">V letu 2014 je bilo predelanih nekaj nad 57 % nevarnih odpadkov, odstranjenih pa jih je bilo 39 %. </w:t>
      </w:r>
    </w:p>
    <w:p w:rsidR="002F73CD" w:rsidRPr="005C1DA5" w:rsidRDefault="002F73CD" w:rsidP="002F73CD">
      <w:pPr>
        <w:shd w:val="clear" w:color="auto" w:fill="FFFFFF"/>
        <w:spacing w:after="200" w:line="276" w:lineRule="auto"/>
        <w:jc w:val="both"/>
        <w:rPr>
          <w:rFonts w:cs="Arial"/>
          <w:color w:val="333232"/>
          <w:szCs w:val="20"/>
          <w:lang w:val="sl-SI" w:eastAsia="sl-SI"/>
        </w:rPr>
      </w:pPr>
      <w:r w:rsidRPr="005C1DA5">
        <w:rPr>
          <w:rFonts w:cs="Arial"/>
          <w:color w:val="333232"/>
          <w:szCs w:val="20"/>
          <w:lang w:val="sl-SI" w:eastAsia="sl-SI"/>
        </w:rPr>
        <w:t xml:space="preserve">Trend ravnanja z nevarnimi odpadki z večjim deležem recikliranja (v 2014 polovica, v 2006 tretjina) in zmanjšanim odlaganjem (v 2014 manjše za 34 % v primerjavi z </w:t>
      </w:r>
      <w:r>
        <w:rPr>
          <w:rFonts w:cs="Arial"/>
          <w:color w:val="333232"/>
          <w:szCs w:val="20"/>
          <w:lang w:val="sl-SI" w:eastAsia="sl-SI"/>
        </w:rPr>
        <w:t xml:space="preserve">letom </w:t>
      </w:r>
      <w:r w:rsidRPr="005C1DA5">
        <w:rPr>
          <w:rFonts w:cs="Arial"/>
          <w:color w:val="333232"/>
          <w:szCs w:val="20"/>
          <w:lang w:val="sl-SI" w:eastAsia="sl-SI"/>
        </w:rPr>
        <w:t xml:space="preserve">2006) kaže na </w:t>
      </w:r>
      <w:r>
        <w:rPr>
          <w:rFonts w:cs="Arial"/>
          <w:color w:val="333232"/>
          <w:szCs w:val="20"/>
          <w:lang w:val="sl-SI" w:eastAsia="sl-SI"/>
        </w:rPr>
        <w:t>upoštevanje</w:t>
      </w:r>
      <w:r w:rsidRPr="005C1DA5">
        <w:rPr>
          <w:rFonts w:cs="Arial"/>
          <w:color w:val="333232"/>
          <w:szCs w:val="20"/>
          <w:lang w:val="sl-SI" w:eastAsia="sl-SI"/>
        </w:rPr>
        <w:t xml:space="preserve"> prednostni</w:t>
      </w:r>
      <w:r>
        <w:rPr>
          <w:rFonts w:cs="Arial"/>
          <w:color w:val="333232"/>
          <w:szCs w:val="20"/>
          <w:lang w:val="sl-SI" w:eastAsia="sl-SI"/>
        </w:rPr>
        <w:t>h</w:t>
      </w:r>
      <w:r w:rsidRPr="005C1DA5">
        <w:rPr>
          <w:rFonts w:cs="Arial"/>
          <w:color w:val="333232"/>
          <w:szCs w:val="20"/>
          <w:lang w:val="sl-SI" w:eastAsia="sl-SI"/>
        </w:rPr>
        <w:t xml:space="preserve"> način</w:t>
      </w:r>
      <w:r>
        <w:rPr>
          <w:rFonts w:cs="Arial"/>
          <w:color w:val="333232"/>
          <w:szCs w:val="20"/>
          <w:lang w:val="sl-SI" w:eastAsia="sl-SI"/>
        </w:rPr>
        <w:t>ov</w:t>
      </w:r>
      <w:r w:rsidRPr="005C1DA5">
        <w:rPr>
          <w:rFonts w:cs="Arial"/>
          <w:color w:val="333232"/>
          <w:szCs w:val="20"/>
          <w:lang w:val="sl-SI" w:eastAsia="sl-SI"/>
        </w:rPr>
        <w:t xml:space="preserve"> ravnanja z odpadki.  </w:t>
      </w:r>
    </w:p>
    <w:p w:rsidR="002F73CD" w:rsidRPr="005C1DA5" w:rsidRDefault="002F73CD" w:rsidP="00FF4C0C">
      <w:pPr>
        <w:shd w:val="clear" w:color="auto" w:fill="FFFFFF"/>
        <w:spacing w:after="360" w:line="276" w:lineRule="auto"/>
        <w:jc w:val="both"/>
        <w:rPr>
          <w:rFonts w:cs="Arial"/>
          <w:color w:val="333232"/>
          <w:szCs w:val="20"/>
          <w:lang w:val="sl-SI" w:eastAsia="sl-SI"/>
        </w:rPr>
      </w:pPr>
      <w:r w:rsidRPr="005C1DA5">
        <w:rPr>
          <w:rFonts w:cs="Arial"/>
          <w:color w:val="333232"/>
          <w:szCs w:val="20"/>
          <w:lang w:val="sl-SI" w:eastAsia="sl-SI"/>
        </w:rPr>
        <w:t>Zaradi nezadostnih domačih zmogljivosti za predelavo in potreb po posebnih predelovalnih tehnologijah se precejš</w:t>
      </w:r>
      <w:r>
        <w:rPr>
          <w:rFonts w:cs="Arial"/>
          <w:color w:val="333232"/>
          <w:szCs w:val="20"/>
          <w:lang w:val="sl-SI" w:eastAsia="sl-SI"/>
        </w:rPr>
        <w:t>nji</w:t>
      </w:r>
      <w:r w:rsidRPr="005C1DA5">
        <w:rPr>
          <w:rFonts w:cs="Arial"/>
          <w:color w:val="333232"/>
          <w:szCs w:val="20"/>
          <w:lang w:val="sl-SI" w:eastAsia="sl-SI"/>
        </w:rPr>
        <w:t xml:space="preserve"> delež nevarnih odpadkov izvozi iz Slovenije. Večje države imajo na splošno več različnih in tehnološko bolj dovršenih naprav za predelavo in odstranjevanje nevarnih odpadkov.</w:t>
      </w:r>
    </w:p>
    <w:p w:rsidR="002F73CD" w:rsidRPr="00511EC8" w:rsidRDefault="002F73CD" w:rsidP="002F73CD">
      <w:pPr>
        <w:shd w:val="clear" w:color="auto" w:fill="FFFFFF"/>
        <w:spacing w:after="200" w:line="276" w:lineRule="auto"/>
        <w:jc w:val="both"/>
        <w:rPr>
          <w:rFonts w:cs="Arial"/>
          <w:i/>
          <w:color w:val="333232"/>
          <w:szCs w:val="20"/>
          <w:u w:val="single"/>
          <w:lang w:val="sl-SI" w:eastAsia="sl-SI"/>
        </w:rPr>
      </w:pPr>
      <w:r w:rsidRPr="00511EC8">
        <w:rPr>
          <w:rFonts w:cs="Arial"/>
          <w:i/>
          <w:color w:val="333232"/>
          <w:szCs w:val="20"/>
          <w:u w:val="single"/>
          <w:lang w:val="sl-SI" w:eastAsia="sl-SI"/>
        </w:rPr>
        <w:t xml:space="preserve">Odstranjevanje odpadkov </w:t>
      </w:r>
    </w:p>
    <w:p w:rsidR="002F73CD" w:rsidRPr="00511EC8" w:rsidRDefault="002F73CD" w:rsidP="002F73CD">
      <w:pPr>
        <w:shd w:val="clear" w:color="auto" w:fill="FFFFFF"/>
        <w:spacing w:after="200" w:line="276" w:lineRule="auto"/>
        <w:jc w:val="both"/>
        <w:rPr>
          <w:rFonts w:cs="Arial"/>
          <w:color w:val="333232"/>
          <w:szCs w:val="20"/>
          <w:lang w:val="sl-SI" w:eastAsia="sl-SI"/>
        </w:rPr>
      </w:pPr>
      <w:r w:rsidRPr="00511EC8">
        <w:rPr>
          <w:rFonts w:cs="Arial"/>
          <w:color w:val="333232"/>
          <w:szCs w:val="20"/>
          <w:lang w:val="sl-SI" w:eastAsia="sl-SI"/>
        </w:rPr>
        <w:t>Odstranjevanje odpadkov je postopek, ki ni predelava, tudi če je sekundarna posledica postopka pridobivanja snovi ali energije. Seznam postopkov odstranjevanja je v prilogi 1 Uredbe o odpadkih, kar pa ne izključuje drugih mogočih postopkov odstranjevanja. Odstranjevalci odpadkov izvajajo odstranjevanje po postopku, določenim v okoljevarstvenem dovoljenju, ki ga morajo pridobiti za izvajanje te dejavnosti.</w:t>
      </w:r>
      <w:r w:rsidRPr="005C1DA5">
        <w:rPr>
          <w:rFonts w:cs="Arial"/>
          <w:color w:val="333232"/>
          <w:szCs w:val="20"/>
          <w:lang w:val="sl-SI" w:eastAsia="sl-SI"/>
        </w:rPr>
        <w:t xml:space="preserve"> </w:t>
      </w:r>
    </w:p>
    <w:p w:rsidR="002F73CD" w:rsidRPr="005771BD" w:rsidRDefault="002F73CD" w:rsidP="002F73CD">
      <w:pPr>
        <w:spacing w:after="200" w:line="276" w:lineRule="auto"/>
        <w:jc w:val="both"/>
        <w:rPr>
          <w:rFonts w:cs="Arial"/>
          <w:szCs w:val="20"/>
          <w:lang w:val="sl-SI" w:eastAsia="sl-SI"/>
        </w:rPr>
      </w:pPr>
      <w:r w:rsidRPr="005771BD">
        <w:rPr>
          <w:rFonts w:cs="Arial"/>
          <w:szCs w:val="20"/>
          <w:lang w:val="sl-SI" w:eastAsia="sl-SI"/>
        </w:rPr>
        <w:t xml:space="preserve">V letu 2002 je bilo okoli 1,6 milijona ton odstranjenih odpadkov. Do leta 2007 so količine odstranjenih odpadkov naraščale do okoli </w:t>
      </w:r>
      <w:r w:rsidRPr="005C1DA5">
        <w:rPr>
          <w:rFonts w:cs="Arial"/>
          <w:color w:val="000000"/>
          <w:szCs w:val="20"/>
          <w:shd w:val="clear" w:color="auto" w:fill="FFFFFF"/>
          <w:lang w:val="sl-SI"/>
        </w:rPr>
        <w:t xml:space="preserve">2,7 milijona ton, po letu 2007 </w:t>
      </w:r>
      <w:r>
        <w:rPr>
          <w:rFonts w:cs="Arial"/>
          <w:color w:val="000000"/>
          <w:szCs w:val="20"/>
          <w:shd w:val="clear" w:color="auto" w:fill="FFFFFF"/>
          <w:lang w:val="sl-SI"/>
        </w:rPr>
        <w:t xml:space="preserve">so </w:t>
      </w:r>
      <w:r w:rsidRPr="005C1DA5">
        <w:rPr>
          <w:rFonts w:cs="Arial"/>
          <w:color w:val="000000"/>
          <w:szCs w:val="20"/>
          <w:shd w:val="clear" w:color="auto" w:fill="FFFFFF"/>
          <w:lang w:val="sl-SI"/>
        </w:rPr>
        <w:t>se količine odstranjenih odpadkov z</w:t>
      </w:r>
      <w:r>
        <w:rPr>
          <w:rFonts w:cs="Arial"/>
          <w:color w:val="000000"/>
          <w:szCs w:val="20"/>
          <w:shd w:val="clear" w:color="auto" w:fill="FFFFFF"/>
          <w:lang w:val="sl-SI"/>
        </w:rPr>
        <w:t>manjšale</w:t>
      </w:r>
      <w:r w:rsidRPr="005C1DA5">
        <w:rPr>
          <w:rFonts w:cs="Arial"/>
          <w:color w:val="000000"/>
          <w:szCs w:val="20"/>
          <w:shd w:val="clear" w:color="auto" w:fill="FFFFFF"/>
          <w:lang w:val="sl-SI"/>
        </w:rPr>
        <w:t xml:space="preserve"> na okoli </w:t>
      </w:r>
      <w:r w:rsidRPr="005771BD">
        <w:rPr>
          <w:rFonts w:cs="Arial"/>
          <w:szCs w:val="20"/>
          <w:lang w:val="sl-SI" w:eastAsia="sl-SI"/>
        </w:rPr>
        <w:t>584.000 ton odstranjenih odpadkov v letu 2014. V primerjavi z letom 2002 se je delež odstranjenih odpadkov v letu 2014 znižal za 65 %, v primerjavi z letom 2007 pa za 79 %.</w:t>
      </w:r>
    </w:p>
    <w:p w:rsidR="002F73CD" w:rsidRPr="005C1DA5" w:rsidRDefault="002F73CD" w:rsidP="002F73CD">
      <w:pPr>
        <w:shd w:val="clear" w:color="auto" w:fill="FFFFFF"/>
        <w:spacing w:after="200" w:line="276" w:lineRule="auto"/>
        <w:jc w:val="both"/>
        <w:rPr>
          <w:rFonts w:cs="Arial"/>
          <w:color w:val="333232"/>
          <w:szCs w:val="20"/>
          <w:lang w:val="sl-SI" w:eastAsia="sl-SI"/>
        </w:rPr>
      </w:pPr>
      <w:r w:rsidRPr="005C1DA5">
        <w:rPr>
          <w:rFonts w:cs="Arial"/>
          <w:color w:val="000000"/>
          <w:szCs w:val="20"/>
          <w:shd w:val="clear" w:color="auto" w:fill="F1F1F1"/>
          <w:lang w:val="sl-SI"/>
        </w:rPr>
        <w:t>Sežig in odlaganje odpadkov na odlagališčih sta najpogostejša načina odstranjevanja odpadkov. S</w:t>
      </w:r>
      <w:r w:rsidRPr="005771BD">
        <w:rPr>
          <w:rFonts w:cs="Arial"/>
          <w:szCs w:val="20"/>
          <w:lang w:val="sl-SI" w:eastAsia="sl-SI"/>
        </w:rPr>
        <w:t xml:space="preserve">ežganih odpadkov z namenom njihove odstranitve je bilo v letu 2014 </w:t>
      </w:r>
      <w:r w:rsidRPr="005C1DA5">
        <w:rPr>
          <w:rFonts w:cs="Arial"/>
          <w:color w:val="000000"/>
          <w:szCs w:val="20"/>
          <w:shd w:val="clear" w:color="auto" w:fill="FFFFFF"/>
          <w:lang w:val="sl-SI"/>
        </w:rPr>
        <w:t>35.500</w:t>
      </w:r>
      <w:r w:rsidRPr="005771BD">
        <w:rPr>
          <w:rFonts w:cs="Arial"/>
          <w:szCs w:val="20"/>
          <w:lang w:val="sl-SI" w:eastAsia="sl-SI"/>
        </w:rPr>
        <w:t xml:space="preserve"> ton. Najv</w:t>
      </w:r>
      <w:r>
        <w:rPr>
          <w:rFonts w:cs="Arial"/>
          <w:szCs w:val="20"/>
          <w:lang w:val="sl-SI" w:eastAsia="sl-SI"/>
        </w:rPr>
        <w:t>ečja</w:t>
      </w:r>
      <w:r w:rsidRPr="005771BD">
        <w:rPr>
          <w:rFonts w:cs="Arial"/>
          <w:szCs w:val="20"/>
          <w:lang w:val="sl-SI" w:eastAsia="sl-SI"/>
        </w:rPr>
        <w:t xml:space="preserve"> količina sežganih odpadkov je bila v letu 2006, in sicer 89.600 ton, najnižja količina sežganih odpadkov je bila v letu 2007 10.600 ton. </w:t>
      </w:r>
      <w:r w:rsidRPr="005C1DA5">
        <w:rPr>
          <w:rFonts w:cs="Arial"/>
          <w:color w:val="333232"/>
          <w:szCs w:val="20"/>
          <w:lang w:val="sl-SI" w:eastAsia="sl-SI"/>
        </w:rPr>
        <w:t xml:space="preserve">Na odlagališča odpadkov je bilo v letu 2014 odloženih 282.989 ton vseh vrst odpadkov, kar je skoraj 10 % manj kot v letu 2013 in v primerjavi z letom 2002 skoraj triinpolkrat manj. Odloženih je bilo 23 % komunalnih odpadkov ali za 7 % manj kot v letu 2013. </w:t>
      </w:r>
    </w:p>
    <w:p w:rsidR="002F73CD" w:rsidRPr="005771BD" w:rsidRDefault="002F73CD" w:rsidP="002F73CD">
      <w:pPr>
        <w:spacing w:after="200" w:line="276" w:lineRule="auto"/>
        <w:jc w:val="both"/>
        <w:rPr>
          <w:rFonts w:eastAsia="Calibri" w:cs="Arial"/>
          <w:szCs w:val="20"/>
          <w:lang w:val="sl-SI"/>
        </w:rPr>
      </w:pPr>
      <w:r w:rsidRPr="005771BD">
        <w:rPr>
          <w:rFonts w:eastAsia="Calibri" w:cs="Arial"/>
          <w:szCs w:val="20"/>
          <w:lang w:val="sl-SI"/>
        </w:rPr>
        <w:t>Kot je razvidno iz spodnje slike</w:t>
      </w:r>
      <w:r>
        <w:rPr>
          <w:rFonts w:eastAsia="Calibri" w:cs="Arial"/>
          <w:szCs w:val="20"/>
          <w:lang w:val="sl-SI"/>
        </w:rPr>
        <w:t>,</w:t>
      </w:r>
      <w:r w:rsidRPr="005771BD">
        <w:rPr>
          <w:rFonts w:eastAsia="Calibri" w:cs="Arial"/>
          <w:szCs w:val="20"/>
          <w:lang w:val="sl-SI"/>
        </w:rPr>
        <w:t xml:space="preserve"> pripada največji delež odloženih odpadkov komunalnim odpadkom, razen v obdobju 2005</w:t>
      </w:r>
      <w:r>
        <w:rPr>
          <w:rFonts w:eastAsia="Calibri" w:cs="Arial"/>
          <w:szCs w:val="20"/>
          <w:lang w:val="sl-SI"/>
        </w:rPr>
        <w:t>–</w:t>
      </w:r>
      <w:r w:rsidRPr="005771BD">
        <w:rPr>
          <w:rFonts w:eastAsia="Calibri" w:cs="Arial"/>
          <w:szCs w:val="20"/>
          <w:lang w:val="sl-SI"/>
        </w:rPr>
        <w:t xml:space="preserve">2007, ko je bilo na industrijskih odlagališčih odloženo več kot na komunalnih odlagališčih.  </w:t>
      </w:r>
    </w:p>
    <w:p w:rsidR="002F73CD" w:rsidRPr="005771BD" w:rsidRDefault="002F73CD" w:rsidP="002F73CD">
      <w:pPr>
        <w:spacing w:after="200" w:line="276" w:lineRule="auto"/>
        <w:jc w:val="both"/>
        <w:rPr>
          <w:rFonts w:eastAsia="Calibri" w:cs="Arial"/>
          <w:szCs w:val="20"/>
          <w:lang w:val="sl-SI"/>
        </w:rPr>
      </w:pPr>
      <w:r w:rsidRPr="007F272F">
        <w:rPr>
          <w:rFonts w:eastAsia="Calibri" w:cs="Arial"/>
          <w:noProof/>
          <w:szCs w:val="20"/>
          <w:lang w:val="sl-SI" w:eastAsia="sl-SI"/>
        </w:rPr>
        <w:drawing>
          <wp:inline distT="0" distB="0" distL="0" distR="0" wp14:anchorId="72A23D27" wp14:editId="5510E738">
            <wp:extent cx="3987209" cy="2442891"/>
            <wp:effectExtent l="0" t="0" r="0"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990875" cy="2445137"/>
                    </a:xfrm>
                    <a:prstGeom prst="rect">
                      <a:avLst/>
                    </a:prstGeom>
                    <a:noFill/>
                  </pic:spPr>
                </pic:pic>
              </a:graphicData>
            </a:graphic>
          </wp:inline>
        </w:drawing>
      </w:r>
    </w:p>
    <w:p w:rsidR="002F73CD" w:rsidRPr="005771BD" w:rsidRDefault="002F73CD" w:rsidP="002F73CD">
      <w:pPr>
        <w:keepNext/>
        <w:tabs>
          <w:tab w:val="left" w:pos="851"/>
          <w:tab w:val="left" w:pos="1134"/>
        </w:tabs>
        <w:spacing w:before="200" w:line="276" w:lineRule="auto"/>
        <w:ind w:left="851" w:hanging="851"/>
        <w:jc w:val="both"/>
        <w:rPr>
          <w:rFonts w:cs="Arial"/>
          <w:bCs/>
          <w:i/>
          <w:noProof/>
          <w:szCs w:val="20"/>
          <w:lang w:val="sl-SI"/>
        </w:rPr>
      </w:pPr>
      <w:bookmarkStart w:id="25" w:name="_Toc452023698"/>
      <w:r w:rsidRPr="005771BD">
        <w:rPr>
          <w:rFonts w:cs="Arial"/>
          <w:bCs/>
          <w:i/>
          <w:noProof/>
          <w:szCs w:val="20"/>
          <w:lang w:val="sl-SI"/>
        </w:rPr>
        <w:t xml:space="preserve">Slika </w:t>
      </w:r>
      <w:r w:rsidR="002F3C80">
        <w:rPr>
          <w:rFonts w:cs="Arial"/>
          <w:bCs/>
          <w:i/>
          <w:noProof/>
          <w:szCs w:val="20"/>
          <w:lang w:val="sl-SI"/>
        </w:rPr>
        <w:t>9</w:t>
      </w:r>
      <w:r w:rsidRPr="005771BD">
        <w:rPr>
          <w:rFonts w:cs="Arial"/>
          <w:bCs/>
          <w:i/>
          <w:noProof/>
          <w:szCs w:val="20"/>
          <w:lang w:val="sl-SI"/>
        </w:rPr>
        <w:t>.9: Količina odloženih odpadkov v obdobju 2002</w:t>
      </w:r>
      <w:r>
        <w:rPr>
          <w:rFonts w:cs="Arial"/>
          <w:bCs/>
          <w:i/>
          <w:noProof/>
          <w:szCs w:val="20"/>
          <w:lang w:val="sl-SI"/>
        </w:rPr>
        <w:t>–</w:t>
      </w:r>
      <w:r w:rsidRPr="005771BD">
        <w:rPr>
          <w:rFonts w:cs="Arial"/>
          <w:bCs/>
          <w:i/>
          <w:noProof/>
          <w:szCs w:val="20"/>
          <w:lang w:val="sl-SI"/>
        </w:rPr>
        <w:t>2014</w:t>
      </w:r>
      <w:r w:rsidR="00FF4C0C">
        <w:rPr>
          <w:rFonts w:cs="Arial"/>
          <w:bCs/>
          <w:i/>
          <w:noProof/>
          <w:szCs w:val="20"/>
          <w:lang w:val="sl-SI"/>
        </w:rPr>
        <w:t>(</w:t>
      </w:r>
    </w:p>
    <w:p w:rsidR="002F73CD" w:rsidRPr="005771BD" w:rsidRDefault="002F73CD" w:rsidP="002F73CD">
      <w:pPr>
        <w:keepNext/>
        <w:tabs>
          <w:tab w:val="left" w:pos="851"/>
          <w:tab w:val="left" w:pos="1134"/>
        </w:tabs>
        <w:spacing w:after="360" w:line="276" w:lineRule="auto"/>
        <w:ind w:left="851" w:hanging="851"/>
        <w:jc w:val="both"/>
        <w:rPr>
          <w:rFonts w:cs="Arial"/>
          <w:bCs/>
          <w:noProof/>
          <w:sz w:val="18"/>
          <w:szCs w:val="18"/>
          <w:lang w:val="sl-SI"/>
        </w:rPr>
      </w:pPr>
      <w:r w:rsidRPr="005771BD">
        <w:rPr>
          <w:rFonts w:cs="Arial"/>
          <w:bCs/>
          <w:noProof/>
          <w:sz w:val="18"/>
          <w:szCs w:val="18"/>
          <w:lang w:val="sl-SI"/>
        </w:rPr>
        <w:t xml:space="preserve">Vir: SURS </w:t>
      </w:r>
      <w:r w:rsidRPr="005771BD">
        <w:rPr>
          <w:rFonts w:cs="Arial"/>
          <w:bCs/>
          <w:noProof/>
          <w:sz w:val="18"/>
          <w:szCs w:val="18"/>
          <w:lang w:val="sl-SI"/>
        </w:rPr>
        <w:noBreakHyphen/>
        <w:t xml:space="preserve"> </w:t>
      </w:r>
      <w:r>
        <w:rPr>
          <w:rFonts w:cs="Arial"/>
          <w:bCs/>
          <w:noProof/>
          <w:sz w:val="18"/>
          <w:szCs w:val="18"/>
          <w:lang w:val="sl-SI"/>
        </w:rPr>
        <w:t>k</w:t>
      </w:r>
      <w:r w:rsidRPr="005771BD">
        <w:rPr>
          <w:rFonts w:cs="Arial"/>
          <w:bCs/>
          <w:noProof/>
          <w:sz w:val="18"/>
          <w:szCs w:val="18"/>
          <w:lang w:val="sl-SI"/>
        </w:rPr>
        <w:t>azalniki okolja</w:t>
      </w:r>
      <w:bookmarkEnd w:id="25"/>
    </w:p>
    <w:p w:rsidR="002F73CD" w:rsidRPr="005771BD" w:rsidRDefault="002F73CD" w:rsidP="002F73CD">
      <w:pPr>
        <w:spacing w:after="200" w:line="276" w:lineRule="auto"/>
        <w:jc w:val="both"/>
        <w:rPr>
          <w:rFonts w:eastAsia="Calibri" w:cs="Arial"/>
          <w:szCs w:val="20"/>
          <w:lang w:val="sl-SI"/>
        </w:rPr>
      </w:pPr>
      <w:r w:rsidRPr="005771BD">
        <w:rPr>
          <w:rFonts w:eastAsia="Calibri" w:cs="Arial"/>
          <w:szCs w:val="20"/>
          <w:lang w:val="sl-SI"/>
        </w:rPr>
        <w:t>Količina odloženih odpadkov in število odlagališč sta za obdobje 2006</w:t>
      </w:r>
      <w:r>
        <w:rPr>
          <w:rFonts w:eastAsia="Calibri" w:cs="Arial"/>
          <w:szCs w:val="20"/>
          <w:lang w:val="sl-SI"/>
        </w:rPr>
        <w:t>–</w:t>
      </w:r>
      <w:r w:rsidRPr="005771BD">
        <w:rPr>
          <w:rFonts w:eastAsia="Calibri" w:cs="Arial"/>
          <w:szCs w:val="20"/>
          <w:lang w:val="sl-SI"/>
        </w:rPr>
        <w:t>2014 prikazan</w:t>
      </w:r>
      <w:r>
        <w:rPr>
          <w:rFonts w:eastAsia="Calibri" w:cs="Arial"/>
          <w:szCs w:val="20"/>
          <w:lang w:val="sl-SI"/>
        </w:rPr>
        <w:t>a</w:t>
      </w:r>
      <w:r w:rsidRPr="005771BD">
        <w:rPr>
          <w:rFonts w:eastAsia="Calibri" w:cs="Arial"/>
          <w:szCs w:val="20"/>
          <w:lang w:val="sl-SI"/>
        </w:rPr>
        <w:t xml:space="preserve"> na spodnji sliki, katere glavni poudarek je, da se je v Sloveniji odlaganje odpadkov kot najmanj pr</w:t>
      </w:r>
      <w:r>
        <w:rPr>
          <w:rFonts w:eastAsia="Calibri" w:cs="Arial"/>
          <w:szCs w:val="20"/>
          <w:lang w:val="sl-SI"/>
        </w:rPr>
        <w:t>ednostno</w:t>
      </w:r>
      <w:r w:rsidRPr="005771BD">
        <w:rPr>
          <w:rFonts w:eastAsia="Calibri" w:cs="Arial"/>
          <w:szCs w:val="20"/>
          <w:lang w:val="sl-SI"/>
        </w:rPr>
        <w:t xml:space="preserve"> ravnanje z odpadki od leta 2006 zmanjšalo za 75</w:t>
      </w:r>
      <w:r w:rsidRPr="005771BD">
        <w:rPr>
          <w:rFonts w:cs="Arial"/>
          <w:color w:val="333232"/>
          <w:szCs w:val="20"/>
          <w:lang w:val="sl-SI" w:eastAsia="sl-SI"/>
        </w:rPr>
        <w:t> %</w:t>
      </w:r>
      <w:r>
        <w:rPr>
          <w:rFonts w:cs="Arial"/>
          <w:color w:val="333232"/>
          <w:szCs w:val="20"/>
          <w:lang w:val="sl-SI" w:eastAsia="sl-SI"/>
        </w:rPr>
        <w:t>,</w:t>
      </w:r>
      <w:r w:rsidRPr="005771BD">
        <w:rPr>
          <w:rFonts w:cs="Arial"/>
          <w:color w:val="333232"/>
          <w:szCs w:val="20"/>
          <w:lang w:val="sl-SI" w:eastAsia="sl-SI"/>
        </w:rPr>
        <w:t xml:space="preserve"> </w:t>
      </w:r>
      <w:r w:rsidRPr="005771BD">
        <w:rPr>
          <w:rFonts w:eastAsia="Calibri" w:cs="Arial"/>
          <w:szCs w:val="20"/>
          <w:lang w:val="sl-SI"/>
        </w:rPr>
        <w:t>in sicer na »komunalnih« odlagališčih za 66</w:t>
      </w:r>
      <w:r w:rsidRPr="005771BD">
        <w:rPr>
          <w:rFonts w:cs="Arial"/>
          <w:color w:val="333232"/>
          <w:szCs w:val="20"/>
          <w:lang w:val="sl-SI" w:eastAsia="sl-SI"/>
        </w:rPr>
        <w:t> %</w:t>
      </w:r>
      <w:r w:rsidRPr="005771BD">
        <w:rPr>
          <w:rFonts w:eastAsia="Calibri" w:cs="Arial"/>
          <w:szCs w:val="20"/>
          <w:lang w:val="sl-SI"/>
        </w:rPr>
        <w:t xml:space="preserve"> in na industrijskih za 91</w:t>
      </w:r>
      <w:r w:rsidRPr="005771BD">
        <w:rPr>
          <w:rFonts w:cs="Arial"/>
          <w:color w:val="333232"/>
          <w:szCs w:val="20"/>
          <w:lang w:val="sl-SI" w:eastAsia="sl-SI"/>
        </w:rPr>
        <w:t> %</w:t>
      </w:r>
      <w:r w:rsidRPr="005771BD">
        <w:rPr>
          <w:rFonts w:eastAsia="Calibri" w:cs="Arial"/>
          <w:szCs w:val="20"/>
          <w:lang w:val="sl-SI"/>
        </w:rPr>
        <w:t xml:space="preserve">. </w:t>
      </w:r>
    </w:p>
    <w:p w:rsidR="002F73CD" w:rsidRPr="005771BD" w:rsidRDefault="002F73CD" w:rsidP="002F73CD">
      <w:pPr>
        <w:spacing w:after="200" w:line="276" w:lineRule="auto"/>
        <w:jc w:val="both"/>
        <w:rPr>
          <w:rFonts w:eastAsia="Calibri" w:cs="Arial"/>
          <w:szCs w:val="20"/>
          <w:lang w:val="sl-SI"/>
        </w:rPr>
      </w:pPr>
      <w:r w:rsidRPr="005771BD">
        <w:rPr>
          <w:rFonts w:eastAsia="Calibri" w:cs="Arial"/>
          <w:szCs w:val="20"/>
          <w:lang w:val="sl-SI"/>
        </w:rPr>
        <w:t xml:space="preserve">Prav tako se je občutno zmanjšalo tudi število odlagališč. V letu 2014 je obratovalo še 12 odlagališč za komunalne odpadke in 7 odlagališč za industrijske odpadke, od tega eno odlagališče za nevarne odpadke. </w:t>
      </w:r>
    </w:p>
    <w:tbl>
      <w:tblPr>
        <w:tblStyle w:val="Tabelamrea3"/>
        <w:tblW w:w="9357"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461"/>
      </w:tblGrid>
      <w:tr w:rsidR="002F73CD" w:rsidRPr="005771BD" w:rsidTr="00ED0D9D">
        <w:tc>
          <w:tcPr>
            <w:tcW w:w="4740" w:type="dxa"/>
          </w:tcPr>
          <w:p w:rsidR="002F73CD" w:rsidRPr="005771BD" w:rsidRDefault="002F73CD" w:rsidP="00ED0D9D">
            <w:pPr>
              <w:spacing w:after="200" w:line="276" w:lineRule="auto"/>
              <w:jc w:val="both"/>
              <w:rPr>
                <w:rFonts w:cs="Arial"/>
                <w:noProof/>
                <w:szCs w:val="20"/>
                <w:vertAlign w:val="superscript"/>
                <w:lang w:val="sl-SI"/>
              </w:rPr>
            </w:pPr>
            <w:r w:rsidRPr="007F272F">
              <w:rPr>
                <w:rFonts w:cs="Arial"/>
                <w:noProof/>
                <w:szCs w:val="20"/>
                <w:vertAlign w:val="superscript"/>
                <w:lang w:val="sl-SI" w:eastAsia="sl-SI"/>
              </w:rPr>
              <w:drawing>
                <wp:inline distT="0" distB="0" distL="0" distR="0" wp14:anchorId="6DB173C8" wp14:editId="4BB3B4D8">
                  <wp:extent cx="2991916" cy="2602724"/>
                  <wp:effectExtent l="0" t="0" r="0" b="0"/>
                  <wp:docPr id="13" name="Slika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991916" cy="2602724"/>
                          </a:xfrm>
                          <a:prstGeom prst="rect">
                            <a:avLst/>
                          </a:prstGeom>
                          <a:noFill/>
                        </pic:spPr>
                      </pic:pic>
                    </a:graphicData>
                  </a:graphic>
                </wp:inline>
              </w:drawing>
            </w:r>
          </w:p>
        </w:tc>
        <w:tc>
          <w:tcPr>
            <w:tcW w:w="4617" w:type="dxa"/>
          </w:tcPr>
          <w:p w:rsidR="002F73CD" w:rsidRPr="005771BD" w:rsidRDefault="002F73CD" w:rsidP="00ED0D9D">
            <w:pPr>
              <w:spacing w:after="200" w:line="276" w:lineRule="auto"/>
              <w:jc w:val="both"/>
              <w:rPr>
                <w:rFonts w:cs="Arial"/>
                <w:noProof/>
                <w:szCs w:val="20"/>
                <w:vertAlign w:val="superscript"/>
                <w:lang w:val="sl-SI"/>
              </w:rPr>
            </w:pPr>
            <w:r w:rsidRPr="007F272F">
              <w:rPr>
                <w:rFonts w:cs="Arial"/>
                <w:noProof/>
                <w:szCs w:val="20"/>
                <w:vertAlign w:val="superscript"/>
                <w:lang w:val="sl-SI" w:eastAsia="sl-SI"/>
              </w:rPr>
              <w:drawing>
                <wp:inline distT="0" distB="0" distL="0" distR="0" wp14:anchorId="482D9F9B" wp14:editId="1950CEAF">
                  <wp:extent cx="2695733" cy="2604211"/>
                  <wp:effectExtent l="0" t="0" r="0" b="0"/>
                  <wp:docPr id="14" name="Slika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700100" cy="2608430"/>
                          </a:xfrm>
                          <a:prstGeom prst="rect">
                            <a:avLst/>
                          </a:prstGeom>
                          <a:noFill/>
                        </pic:spPr>
                      </pic:pic>
                    </a:graphicData>
                  </a:graphic>
                </wp:inline>
              </w:drawing>
            </w:r>
          </w:p>
        </w:tc>
      </w:tr>
    </w:tbl>
    <w:p w:rsidR="002F73CD" w:rsidRPr="005771BD" w:rsidRDefault="002F73CD" w:rsidP="002F73CD">
      <w:pPr>
        <w:keepNext/>
        <w:tabs>
          <w:tab w:val="left" w:pos="0"/>
          <w:tab w:val="left" w:pos="1134"/>
        </w:tabs>
        <w:spacing w:before="200" w:line="276" w:lineRule="auto"/>
        <w:jc w:val="both"/>
        <w:rPr>
          <w:rFonts w:cs="Arial"/>
          <w:bCs/>
          <w:i/>
          <w:noProof/>
          <w:szCs w:val="20"/>
          <w:lang w:val="sl-SI"/>
        </w:rPr>
      </w:pPr>
      <w:bookmarkStart w:id="26" w:name="_Toc452023699"/>
      <w:r w:rsidRPr="005771BD">
        <w:rPr>
          <w:rFonts w:cs="Arial"/>
          <w:bCs/>
          <w:i/>
          <w:noProof/>
          <w:szCs w:val="20"/>
          <w:lang w:val="sl-SI"/>
        </w:rPr>
        <w:t xml:space="preserve">Slika </w:t>
      </w:r>
      <w:r w:rsidR="002F3C80">
        <w:rPr>
          <w:rFonts w:cs="Arial"/>
          <w:bCs/>
          <w:i/>
          <w:noProof/>
          <w:szCs w:val="20"/>
          <w:lang w:val="sl-SI"/>
        </w:rPr>
        <w:t>9</w:t>
      </w:r>
      <w:r w:rsidRPr="005771BD">
        <w:rPr>
          <w:rFonts w:cs="Arial"/>
          <w:bCs/>
          <w:i/>
          <w:noProof/>
          <w:szCs w:val="20"/>
          <w:lang w:val="sl-SI"/>
        </w:rPr>
        <w:t>.10: Količina odloženih odpadkov (t) in število odlagališ</w:t>
      </w:r>
      <w:r>
        <w:rPr>
          <w:rFonts w:cs="Arial"/>
          <w:bCs/>
          <w:i/>
          <w:noProof/>
          <w:szCs w:val="20"/>
          <w:lang w:val="sl-SI"/>
        </w:rPr>
        <w:t>č</w:t>
      </w:r>
      <w:r w:rsidRPr="005771BD">
        <w:rPr>
          <w:rFonts w:cs="Arial"/>
          <w:bCs/>
          <w:i/>
          <w:noProof/>
          <w:szCs w:val="20"/>
          <w:lang w:val="sl-SI"/>
        </w:rPr>
        <w:t xml:space="preserve"> za obdobje 2006</w:t>
      </w:r>
      <w:r>
        <w:rPr>
          <w:rFonts w:cs="Arial"/>
          <w:bCs/>
          <w:i/>
          <w:noProof/>
          <w:szCs w:val="20"/>
          <w:lang w:val="sl-SI"/>
        </w:rPr>
        <w:t>–</w:t>
      </w:r>
      <w:r w:rsidRPr="005771BD">
        <w:rPr>
          <w:rFonts w:cs="Arial"/>
          <w:bCs/>
          <w:i/>
          <w:noProof/>
          <w:szCs w:val="20"/>
          <w:lang w:val="sl-SI"/>
        </w:rPr>
        <w:t xml:space="preserve">2014 </w:t>
      </w:r>
    </w:p>
    <w:p w:rsidR="002F73CD" w:rsidRPr="005771BD" w:rsidRDefault="002F73CD" w:rsidP="002F73CD">
      <w:pPr>
        <w:keepNext/>
        <w:tabs>
          <w:tab w:val="left" w:pos="0"/>
          <w:tab w:val="left" w:pos="1134"/>
        </w:tabs>
        <w:spacing w:after="360" w:line="276" w:lineRule="auto"/>
        <w:jc w:val="both"/>
        <w:rPr>
          <w:rFonts w:cs="Arial"/>
          <w:bCs/>
          <w:noProof/>
          <w:sz w:val="18"/>
          <w:szCs w:val="18"/>
          <w:lang w:val="sl-SI"/>
        </w:rPr>
      </w:pPr>
      <w:r w:rsidRPr="005771BD">
        <w:rPr>
          <w:rFonts w:cs="Arial"/>
          <w:bCs/>
          <w:noProof/>
          <w:sz w:val="18"/>
          <w:szCs w:val="18"/>
          <w:lang w:val="sl-SI"/>
        </w:rPr>
        <w:t xml:space="preserve">Vir: MOP, obdelava SURS </w:t>
      </w:r>
      <w:r w:rsidRPr="005771BD">
        <w:rPr>
          <w:rFonts w:cs="Arial"/>
          <w:bCs/>
          <w:noProof/>
          <w:sz w:val="18"/>
          <w:szCs w:val="18"/>
          <w:lang w:val="sl-SI"/>
        </w:rPr>
        <w:noBreakHyphen/>
        <w:t xml:space="preserve"> </w:t>
      </w:r>
      <w:r>
        <w:rPr>
          <w:rFonts w:cs="Arial"/>
          <w:bCs/>
          <w:noProof/>
          <w:sz w:val="18"/>
          <w:szCs w:val="18"/>
          <w:lang w:val="sl-SI"/>
        </w:rPr>
        <w:t>k</w:t>
      </w:r>
      <w:r w:rsidRPr="005771BD">
        <w:rPr>
          <w:rFonts w:cs="Arial"/>
          <w:bCs/>
          <w:noProof/>
          <w:sz w:val="18"/>
          <w:szCs w:val="18"/>
          <w:lang w:val="sl-SI"/>
        </w:rPr>
        <w:t xml:space="preserve">oličine odloženih odpadkov in MOP </w:t>
      </w:r>
      <w:r w:rsidRPr="005771BD">
        <w:rPr>
          <w:rFonts w:cs="Arial"/>
          <w:bCs/>
          <w:noProof/>
          <w:sz w:val="18"/>
          <w:szCs w:val="18"/>
          <w:lang w:val="sl-SI"/>
        </w:rPr>
        <w:noBreakHyphen/>
        <w:t xml:space="preserve"> IS IJSVO</w:t>
      </w:r>
      <w:bookmarkEnd w:id="26"/>
    </w:p>
    <w:p w:rsidR="002F73CD" w:rsidRPr="005771BD" w:rsidRDefault="002F73CD" w:rsidP="002F73CD">
      <w:pPr>
        <w:spacing w:after="200" w:line="276" w:lineRule="auto"/>
        <w:jc w:val="both"/>
        <w:rPr>
          <w:rFonts w:eastAsia="Calibri" w:cs="Arial"/>
          <w:color w:val="000000"/>
          <w:szCs w:val="20"/>
          <w:lang w:val="sl-SI"/>
        </w:rPr>
      </w:pPr>
      <w:r w:rsidRPr="005771BD">
        <w:rPr>
          <w:rFonts w:eastAsia="Calibri" w:cs="Arial"/>
          <w:szCs w:val="20"/>
          <w:lang w:val="sl-SI"/>
        </w:rPr>
        <w:t>Pri ravnanju z odpadki s</w:t>
      </w:r>
      <w:r>
        <w:rPr>
          <w:rFonts w:eastAsia="Calibri" w:cs="Arial"/>
          <w:szCs w:val="20"/>
          <w:lang w:val="sl-SI"/>
        </w:rPr>
        <w:t>o</w:t>
      </w:r>
      <w:r w:rsidRPr="005771BD">
        <w:rPr>
          <w:rFonts w:eastAsia="Calibri" w:cs="Arial"/>
          <w:szCs w:val="20"/>
          <w:lang w:val="sl-SI"/>
        </w:rPr>
        <w:t xml:space="preserve"> pomembn</w:t>
      </w:r>
      <w:r>
        <w:rPr>
          <w:rFonts w:eastAsia="Calibri" w:cs="Arial"/>
          <w:szCs w:val="20"/>
          <w:lang w:val="sl-SI"/>
        </w:rPr>
        <w:t>i</w:t>
      </w:r>
      <w:r w:rsidRPr="005771BD">
        <w:rPr>
          <w:rFonts w:eastAsia="Calibri" w:cs="Arial"/>
          <w:szCs w:val="20"/>
          <w:lang w:val="sl-SI"/>
        </w:rPr>
        <w:t xml:space="preserve"> tudi</w:t>
      </w:r>
      <w:r>
        <w:rPr>
          <w:rFonts w:eastAsia="Calibri" w:cs="Arial"/>
          <w:szCs w:val="20"/>
          <w:u w:val="single"/>
          <w:lang w:val="sl-SI"/>
        </w:rPr>
        <w:t xml:space="preserve"> </w:t>
      </w:r>
      <w:r w:rsidRPr="005771BD">
        <w:rPr>
          <w:rFonts w:eastAsia="Calibri" w:cs="Arial"/>
          <w:szCs w:val="20"/>
          <w:lang w:val="sl-SI"/>
        </w:rPr>
        <w:t xml:space="preserve"> </w:t>
      </w:r>
      <w:r w:rsidRPr="005771BD">
        <w:rPr>
          <w:rFonts w:eastAsia="Calibri" w:cs="Arial"/>
          <w:szCs w:val="20"/>
          <w:u w:val="single"/>
          <w:lang w:val="sl-SI"/>
        </w:rPr>
        <w:t>tokova odpadkov, ki se pošiljata v državo ali iz nje.</w:t>
      </w:r>
      <w:r w:rsidRPr="005771BD">
        <w:rPr>
          <w:rFonts w:eastAsia="Calibri" w:cs="Arial"/>
          <w:szCs w:val="20"/>
          <w:lang w:val="sl-SI"/>
        </w:rPr>
        <w:t xml:space="preserve"> </w:t>
      </w:r>
      <w:r w:rsidRPr="005771BD">
        <w:rPr>
          <w:rFonts w:eastAsia="Calibri" w:cs="Arial"/>
          <w:color w:val="000000"/>
          <w:szCs w:val="20"/>
          <w:lang w:val="sl-SI"/>
        </w:rPr>
        <w:t>Članice Evropske unije se v zadnjem desetletju soočajo s povečanim prevozom odpadkov prek svojih meja. Po podatkih Eurostata se je med letoma 2001 in 2012 količina nevarnih pošiljk odpadkov iz držav članic EU v druge države članice EU ali izven EU povečala za 66</w:t>
      </w:r>
      <w:r>
        <w:rPr>
          <w:rFonts w:eastAsia="Calibri" w:cs="Arial"/>
          <w:color w:val="000000"/>
          <w:szCs w:val="20"/>
          <w:lang w:val="sl-SI"/>
        </w:rPr>
        <w:t xml:space="preserve"> </w:t>
      </w:r>
      <w:r w:rsidRPr="005771BD">
        <w:rPr>
          <w:rFonts w:eastAsia="Calibri" w:cs="Arial"/>
          <w:color w:val="000000"/>
          <w:szCs w:val="20"/>
          <w:lang w:val="sl-SI"/>
        </w:rPr>
        <w:t xml:space="preserve">%. </w:t>
      </w:r>
    </w:p>
    <w:p w:rsidR="002F73CD" w:rsidRPr="005771BD" w:rsidRDefault="002F73CD" w:rsidP="002F73CD">
      <w:pPr>
        <w:spacing w:after="200" w:line="276" w:lineRule="auto"/>
        <w:jc w:val="both"/>
        <w:rPr>
          <w:rFonts w:eastAsia="Calibri" w:cs="Arial"/>
          <w:color w:val="000000"/>
          <w:szCs w:val="20"/>
          <w:lang w:val="sl-SI"/>
        </w:rPr>
      </w:pPr>
      <w:r w:rsidRPr="005771BD">
        <w:rPr>
          <w:rFonts w:eastAsia="Calibri" w:cs="Arial"/>
          <w:color w:val="000000"/>
          <w:szCs w:val="20"/>
          <w:lang w:val="sl-SI"/>
        </w:rPr>
        <w:t xml:space="preserve">Na količino čezmejnih pošiljk odpadkov vplivajo predvsem razlike v cenah za predelavo in odstranjevanje odpadkov, nezadostne domače </w:t>
      </w:r>
      <w:r>
        <w:rPr>
          <w:rFonts w:eastAsia="Calibri" w:cs="Arial"/>
          <w:color w:val="000000"/>
          <w:szCs w:val="20"/>
          <w:lang w:val="sl-SI"/>
        </w:rPr>
        <w:t>zmogljivosti</w:t>
      </w:r>
      <w:r w:rsidRPr="005771BD">
        <w:rPr>
          <w:rFonts w:eastAsia="Calibri" w:cs="Arial"/>
          <w:color w:val="000000"/>
          <w:szCs w:val="20"/>
          <w:lang w:val="sl-SI"/>
        </w:rPr>
        <w:t xml:space="preserve"> za predelavo in potrebe po posebnih predelovalnih tehnologijah. Večje države imajo na splošno več različnih in tehnološko bolj dovršenih naprav za predelavo in odstranjevanje odpadkov. </w:t>
      </w:r>
    </w:p>
    <w:p w:rsidR="002F73CD" w:rsidRPr="005771BD" w:rsidRDefault="002F73CD" w:rsidP="002F73CD">
      <w:pPr>
        <w:spacing w:after="200" w:line="276" w:lineRule="auto"/>
        <w:jc w:val="both"/>
        <w:rPr>
          <w:rFonts w:cs="Arial"/>
          <w:szCs w:val="20"/>
          <w:lang w:val="sl-SI" w:eastAsia="sl-SI"/>
        </w:rPr>
      </w:pPr>
      <w:r w:rsidRPr="007F272F">
        <w:rPr>
          <w:rFonts w:cs="Arial"/>
          <w:noProof/>
          <w:szCs w:val="20"/>
          <w:lang w:val="sl-SI" w:eastAsia="sl-SI"/>
        </w:rPr>
        <w:drawing>
          <wp:inline distT="0" distB="0" distL="0" distR="0" wp14:anchorId="4C15CD17" wp14:editId="7B69CA10">
            <wp:extent cx="4667534" cy="2030797"/>
            <wp:effectExtent l="0" t="0" r="0" b="762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665212" cy="2029787"/>
                    </a:xfrm>
                    <a:prstGeom prst="rect">
                      <a:avLst/>
                    </a:prstGeom>
                    <a:noFill/>
                  </pic:spPr>
                </pic:pic>
              </a:graphicData>
            </a:graphic>
          </wp:inline>
        </w:drawing>
      </w:r>
    </w:p>
    <w:p w:rsidR="002F73CD" w:rsidRPr="005771BD" w:rsidRDefault="002F73CD" w:rsidP="002F73CD">
      <w:pPr>
        <w:keepNext/>
        <w:tabs>
          <w:tab w:val="left" w:pos="851"/>
          <w:tab w:val="left" w:pos="1134"/>
        </w:tabs>
        <w:spacing w:line="276" w:lineRule="auto"/>
        <w:ind w:left="851" w:hanging="851"/>
        <w:jc w:val="both"/>
        <w:rPr>
          <w:rFonts w:cs="Arial"/>
          <w:bCs/>
          <w:i/>
          <w:noProof/>
          <w:szCs w:val="20"/>
          <w:lang w:val="sl-SI"/>
        </w:rPr>
      </w:pPr>
      <w:bookmarkStart w:id="27" w:name="_Toc452023700"/>
      <w:r w:rsidRPr="005771BD">
        <w:rPr>
          <w:rFonts w:cs="Arial"/>
          <w:bCs/>
          <w:i/>
          <w:noProof/>
          <w:szCs w:val="20"/>
          <w:lang w:val="sl-SI"/>
        </w:rPr>
        <w:t xml:space="preserve">Slika </w:t>
      </w:r>
      <w:r w:rsidR="002F3C80">
        <w:rPr>
          <w:rFonts w:cs="Arial"/>
          <w:bCs/>
          <w:i/>
          <w:noProof/>
          <w:szCs w:val="20"/>
          <w:lang w:val="sl-SI"/>
        </w:rPr>
        <w:t>9</w:t>
      </w:r>
      <w:r w:rsidRPr="005771BD">
        <w:rPr>
          <w:rFonts w:cs="Arial"/>
          <w:bCs/>
          <w:i/>
          <w:noProof/>
          <w:szCs w:val="20"/>
          <w:lang w:val="sl-SI"/>
        </w:rPr>
        <w:t>.11: Izvoz in uvoz odpadkov v obdobju 2006</w:t>
      </w:r>
      <w:r>
        <w:rPr>
          <w:rFonts w:cs="Arial"/>
          <w:bCs/>
          <w:i/>
          <w:noProof/>
          <w:szCs w:val="20"/>
          <w:lang w:val="sl-SI"/>
        </w:rPr>
        <w:t>–</w:t>
      </w:r>
      <w:r w:rsidRPr="005771BD">
        <w:rPr>
          <w:rFonts w:cs="Arial"/>
          <w:bCs/>
          <w:i/>
          <w:noProof/>
          <w:szCs w:val="20"/>
          <w:lang w:val="sl-SI"/>
        </w:rPr>
        <w:t>2014 (v t)</w:t>
      </w:r>
    </w:p>
    <w:p w:rsidR="002F73CD" w:rsidRPr="005771BD" w:rsidRDefault="002F73CD" w:rsidP="002F73CD">
      <w:pPr>
        <w:keepNext/>
        <w:tabs>
          <w:tab w:val="left" w:pos="851"/>
          <w:tab w:val="left" w:pos="1134"/>
        </w:tabs>
        <w:spacing w:after="360" w:line="276" w:lineRule="auto"/>
        <w:ind w:left="851" w:hanging="851"/>
        <w:jc w:val="both"/>
        <w:rPr>
          <w:rFonts w:cs="Arial"/>
          <w:bCs/>
          <w:noProof/>
          <w:sz w:val="18"/>
          <w:szCs w:val="18"/>
          <w:lang w:val="sl-SI"/>
        </w:rPr>
      </w:pPr>
      <w:r w:rsidRPr="005771BD">
        <w:rPr>
          <w:rFonts w:cs="Arial"/>
          <w:bCs/>
          <w:noProof/>
          <w:sz w:val="18"/>
          <w:szCs w:val="18"/>
          <w:lang w:val="sl-SI"/>
        </w:rPr>
        <w:t xml:space="preserve">Vir: SURS </w:t>
      </w:r>
      <w:r w:rsidRPr="005771BD">
        <w:rPr>
          <w:rFonts w:cs="Arial"/>
          <w:bCs/>
          <w:noProof/>
          <w:sz w:val="18"/>
          <w:szCs w:val="18"/>
          <w:lang w:val="sl-SI"/>
        </w:rPr>
        <w:noBreakHyphen/>
        <w:t xml:space="preserve"> </w:t>
      </w:r>
      <w:r>
        <w:rPr>
          <w:rFonts w:cs="Arial"/>
          <w:bCs/>
          <w:noProof/>
          <w:sz w:val="18"/>
          <w:szCs w:val="18"/>
          <w:lang w:val="sl-SI"/>
        </w:rPr>
        <w:t>k</w:t>
      </w:r>
      <w:r w:rsidRPr="005771BD">
        <w:rPr>
          <w:rFonts w:cs="Arial"/>
          <w:bCs/>
          <w:noProof/>
          <w:sz w:val="18"/>
          <w:szCs w:val="18"/>
          <w:lang w:val="sl-SI"/>
        </w:rPr>
        <w:t>azalniki za odpadke</w:t>
      </w:r>
      <w:bookmarkEnd w:id="27"/>
    </w:p>
    <w:p w:rsidR="002F73CD" w:rsidRPr="005771BD" w:rsidRDefault="002F73CD" w:rsidP="002F73CD">
      <w:pPr>
        <w:spacing w:after="200" w:line="276" w:lineRule="auto"/>
        <w:jc w:val="both"/>
        <w:rPr>
          <w:rFonts w:cs="Arial"/>
          <w:szCs w:val="20"/>
          <w:lang w:val="sl-SI" w:eastAsia="sl-SI"/>
        </w:rPr>
      </w:pPr>
      <w:r w:rsidRPr="005771BD">
        <w:rPr>
          <w:rFonts w:cs="Arial"/>
          <w:szCs w:val="20"/>
          <w:lang w:val="sl-SI" w:eastAsia="sl-SI"/>
        </w:rPr>
        <w:t xml:space="preserve">Po podatkih </w:t>
      </w:r>
      <w:r>
        <w:rPr>
          <w:rFonts w:cs="Arial"/>
          <w:szCs w:val="20"/>
          <w:lang w:val="sl-SI" w:eastAsia="sl-SI"/>
        </w:rPr>
        <w:t>na podlagi</w:t>
      </w:r>
      <w:r w:rsidRPr="005771BD">
        <w:rPr>
          <w:rFonts w:cs="Arial"/>
          <w:szCs w:val="20"/>
          <w:lang w:val="sl-SI" w:eastAsia="sl-SI"/>
        </w:rPr>
        <w:t xml:space="preserve"> </w:t>
      </w:r>
      <w:r>
        <w:rPr>
          <w:rFonts w:cs="Arial"/>
          <w:szCs w:val="20"/>
          <w:lang w:val="sl-SI" w:eastAsia="sl-SI"/>
        </w:rPr>
        <w:t>k</w:t>
      </w:r>
      <w:r w:rsidRPr="005771BD">
        <w:rPr>
          <w:rFonts w:cs="Arial"/>
          <w:szCs w:val="20"/>
          <w:lang w:val="sl-SI" w:eastAsia="sl-SI"/>
        </w:rPr>
        <w:t>azalnikov za odpadke smo leta 2014 izvozili 671.460</w:t>
      </w:r>
      <w:r w:rsidRPr="005771BD">
        <w:rPr>
          <w:rFonts w:cs="Arial"/>
          <w:color w:val="333232"/>
          <w:szCs w:val="20"/>
          <w:lang w:val="sl-SI" w:eastAsia="sl-SI"/>
        </w:rPr>
        <w:t> </w:t>
      </w:r>
      <w:r w:rsidRPr="005771BD">
        <w:rPr>
          <w:rFonts w:cs="Arial"/>
          <w:szCs w:val="20"/>
          <w:lang w:val="sl-SI" w:eastAsia="sl-SI"/>
        </w:rPr>
        <w:t>t odpadkov, predvsem železnih kovin, kar znaša 18,5</w:t>
      </w:r>
      <w:r w:rsidRPr="005771BD">
        <w:rPr>
          <w:rFonts w:cs="Arial"/>
          <w:color w:val="333232"/>
          <w:szCs w:val="20"/>
          <w:lang w:val="sl-SI" w:eastAsia="sl-SI"/>
        </w:rPr>
        <w:t> %</w:t>
      </w:r>
      <w:r w:rsidRPr="005771BD">
        <w:rPr>
          <w:rFonts w:cs="Arial"/>
          <w:szCs w:val="20"/>
          <w:lang w:val="sl-SI" w:eastAsia="sl-SI"/>
        </w:rPr>
        <w:t xml:space="preserve"> vseh izvoženih odpadkov,</w:t>
      </w:r>
      <w:r>
        <w:rPr>
          <w:rFonts w:cs="Arial"/>
          <w:szCs w:val="20"/>
          <w:lang w:val="sl-SI" w:eastAsia="sl-SI"/>
        </w:rPr>
        <w:t xml:space="preserve"> ter </w:t>
      </w:r>
      <w:r w:rsidRPr="005771BD">
        <w:rPr>
          <w:rFonts w:cs="Arial"/>
          <w:szCs w:val="20"/>
          <w:lang w:val="sl-SI" w:eastAsia="sl-SI"/>
        </w:rPr>
        <w:t>mešanic materialov iz mehanske obdelave odpadkov, ki niso nevarni odpadki</w:t>
      </w:r>
      <w:r>
        <w:rPr>
          <w:rFonts w:cs="Arial"/>
          <w:szCs w:val="20"/>
          <w:lang w:val="sl-SI" w:eastAsia="sl-SI"/>
        </w:rPr>
        <w:t>,</w:t>
      </w:r>
      <w:r w:rsidRPr="005771BD" w:rsidDel="00B216CF">
        <w:rPr>
          <w:rFonts w:cs="Arial"/>
          <w:szCs w:val="20"/>
          <w:lang w:val="sl-SI" w:eastAsia="sl-SI"/>
        </w:rPr>
        <w:t xml:space="preserve"> </w:t>
      </w:r>
      <w:r w:rsidRPr="005771BD">
        <w:rPr>
          <w:rFonts w:cs="Arial"/>
          <w:szCs w:val="20"/>
          <w:lang w:val="sl-SI" w:eastAsia="sl-SI"/>
        </w:rPr>
        <w:t>16,7</w:t>
      </w:r>
      <w:r w:rsidRPr="005771BD">
        <w:rPr>
          <w:rFonts w:cs="Arial"/>
          <w:color w:val="333232"/>
          <w:szCs w:val="20"/>
          <w:lang w:val="sl-SI" w:eastAsia="sl-SI"/>
        </w:rPr>
        <w:t> %</w:t>
      </w:r>
      <w:r w:rsidRPr="005771BD">
        <w:rPr>
          <w:rFonts w:cs="Arial"/>
          <w:szCs w:val="20"/>
          <w:lang w:val="sl-SI" w:eastAsia="sl-SI"/>
        </w:rPr>
        <w:t xml:space="preserve">. Izvažali smo tudi papirno in kartonsko embalažo </w:t>
      </w:r>
      <w:r>
        <w:rPr>
          <w:rFonts w:cs="Arial"/>
          <w:szCs w:val="20"/>
          <w:lang w:val="sl-SI" w:eastAsia="sl-SI"/>
        </w:rPr>
        <w:t>(</w:t>
      </w:r>
      <w:r w:rsidRPr="005771BD">
        <w:rPr>
          <w:rFonts w:cs="Arial"/>
          <w:szCs w:val="20"/>
          <w:lang w:val="sl-SI" w:eastAsia="sl-SI"/>
        </w:rPr>
        <w:t>7</w:t>
      </w:r>
      <w:r w:rsidRPr="005771BD">
        <w:rPr>
          <w:rFonts w:cs="Arial"/>
          <w:color w:val="333232"/>
          <w:szCs w:val="20"/>
          <w:lang w:val="sl-SI" w:eastAsia="sl-SI"/>
        </w:rPr>
        <w:t> %</w:t>
      </w:r>
      <w:r>
        <w:rPr>
          <w:rFonts w:cs="Arial"/>
          <w:color w:val="333232"/>
          <w:szCs w:val="20"/>
          <w:lang w:val="sl-SI" w:eastAsia="sl-SI"/>
        </w:rPr>
        <w:t>)</w:t>
      </w:r>
      <w:r w:rsidRPr="005771BD">
        <w:rPr>
          <w:rFonts w:cs="Arial"/>
          <w:szCs w:val="20"/>
          <w:lang w:val="sl-SI" w:eastAsia="sl-SI"/>
        </w:rPr>
        <w:t>, opilke in ostružke železa (6,2</w:t>
      </w:r>
      <w:r w:rsidRPr="005771BD">
        <w:rPr>
          <w:rFonts w:cs="Arial"/>
          <w:color w:val="333232"/>
          <w:szCs w:val="20"/>
          <w:lang w:val="sl-SI" w:eastAsia="sl-SI"/>
        </w:rPr>
        <w:t> %)</w:t>
      </w:r>
      <w:r w:rsidRPr="005771BD">
        <w:rPr>
          <w:rFonts w:cs="Arial"/>
          <w:szCs w:val="20"/>
          <w:lang w:val="sl-SI" w:eastAsia="sl-SI"/>
        </w:rPr>
        <w:t>, žagovino, oblance, sekance, odrezke, les, delce plošč in furnir (5,4</w:t>
      </w:r>
      <w:r w:rsidRPr="005771BD">
        <w:rPr>
          <w:rFonts w:cs="Arial"/>
          <w:color w:val="333232"/>
          <w:szCs w:val="20"/>
          <w:lang w:val="sl-SI" w:eastAsia="sl-SI"/>
        </w:rPr>
        <w:t xml:space="preserve"> %) </w:t>
      </w:r>
      <w:r w:rsidRPr="005771BD">
        <w:rPr>
          <w:rFonts w:cs="Arial"/>
          <w:szCs w:val="20"/>
          <w:lang w:val="sl-SI" w:eastAsia="sl-SI"/>
        </w:rPr>
        <w:t xml:space="preserve">in druge odpadke. </w:t>
      </w:r>
      <w:r w:rsidRPr="005771BD">
        <w:rPr>
          <w:rFonts w:eastAsia="Calibri" w:cs="Arial"/>
          <w:color w:val="000000"/>
          <w:szCs w:val="20"/>
          <w:lang w:val="sl-SI"/>
        </w:rPr>
        <w:t>Izvoz odpadkov iz Slovenije narašča vse od leta 2005. Rahel upad je bil zaznan le v letu 2009.</w:t>
      </w:r>
    </w:p>
    <w:p w:rsidR="002F73CD" w:rsidRPr="005771BD" w:rsidRDefault="002F73CD" w:rsidP="002F73CD">
      <w:pPr>
        <w:spacing w:after="200" w:line="276" w:lineRule="auto"/>
        <w:jc w:val="both"/>
        <w:rPr>
          <w:rFonts w:cs="Arial"/>
          <w:szCs w:val="20"/>
          <w:lang w:val="sl-SI" w:eastAsia="sl-SI"/>
        </w:rPr>
      </w:pPr>
      <w:r w:rsidRPr="005771BD">
        <w:rPr>
          <w:rFonts w:cs="Arial"/>
          <w:szCs w:val="20"/>
          <w:lang w:val="sl-SI" w:eastAsia="sl-SI"/>
        </w:rPr>
        <w:t>Količine uvoženih odpadkov v zadnjih letih rahlo nihajo, povprečna količina v obdobju 2006–2014 je okoli 910.000</w:t>
      </w:r>
      <w:r w:rsidRPr="005771BD">
        <w:rPr>
          <w:rFonts w:cs="Arial"/>
          <w:color w:val="333232"/>
          <w:szCs w:val="20"/>
          <w:lang w:val="sl-SI" w:eastAsia="sl-SI"/>
        </w:rPr>
        <w:t> </w:t>
      </w:r>
      <w:r w:rsidRPr="005771BD">
        <w:rPr>
          <w:rFonts w:cs="Arial"/>
          <w:szCs w:val="20"/>
          <w:lang w:val="sl-SI" w:eastAsia="sl-SI"/>
        </w:rPr>
        <w:t xml:space="preserve">t. Po podatkih </w:t>
      </w:r>
      <w:r>
        <w:rPr>
          <w:rFonts w:cs="Arial"/>
          <w:szCs w:val="20"/>
          <w:lang w:val="sl-SI" w:eastAsia="sl-SI"/>
        </w:rPr>
        <w:t>na podlagi</w:t>
      </w:r>
      <w:r w:rsidRPr="005771BD">
        <w:rPr>
          <w:rFonts w:cs="Arial"/>
          <w:szCs w:val="20"/>
          <w:lang w:val="sl-SI" w:eastAsia="sl-SI"/>
        </w:rPr>
        <w:t xml:space="preserve"> </w:t>
      </w:r>
      <w:r>
        <w:rPr>
          <w:rFonts w:cs="Arial"/>
          <w:szCs w:val="20"/>
          <w:lang w:val="sl-SI" w:eastAsia="sl-SI"/>
        </w:rPr>
        <w:t>k</w:t>
      </w:r>
      <w:r w:rsidRPr="005771BD">
        <w:rPr>
          <w:rFonts w:cs="Arial"/>
          <w:szCs w:val="20"/>
          <w:lang w:val="sl-SI" w:eastAsia="sl-SI"/>
        </w:rPr>
        <w:t>azalnikov za odpadke je bilo v letu 2014 uvoženih 1.072.182</w:t>
      </w:r>
      <w:r w:rsidRPr="005771BD">
        <w:rPr>
          <w:rFonts w:cs="Arial"/>
          <w:color w:val="333232"/>
          <w:szCs w:val="20"/>
          <w:lang w:val="sl-SI" w:eastAsia="sl-SI"/>
        </w:rPr>
        <w:t> </w:t>
      </w:r>
      <w:r w:rsidRPr="005771BD">
        <w:rPr>
          <w:rFonts w:cs="Arial"/>
          <w:szCs w:val="20"/>
          <w:lang w:val="sl-SI" w:eastAsia="sl-SI"/>
        </w:rPr>
        <w:t>t odpadkov, največ odpadnega papirja in kartona v deležu 22,7 % in odpadnih železnih kovin v deležu 12,8</w:t>
      </w:r>
      <w:r w:rsidRPr="005771BD">
        <w:rPr>
          <w:rFonts w:cs="Arial"/>
          <w:color w:val="333232"/>
          <w:szCs w:val="20"/>
          <w:lang w:val="sl-SI" w:eastAsia="sl-SI"/>
        </w:rPr>
        <w:t> %</w:t>
      </w:r>
      <w:r w:rsidRPr="005771BD">
        <w:rPr>
          <w:rFonts w:cs="Arial"/>
          <w:szCs w:val="20"/>
          <w:lang w:val="sl-SI" w:eastAsia="sl-SI"/>
        </w:rPr>
        <w:t>. Uvoženi so bili tudi odpadno železo in jeklo (11,9</w:t>
      </w:r>
      <w:r w:rsidRPr="005771BD">
        <w:rPr>
          <w:rFonts w:cs="Arial"/>
          <w:color w:val="333232"/>
          <w:szCs w:val="20"/>
          <w:lang w:val="sl-SI" w:eastAsia="sl-SI"/>
        </w:rPr>
        <w:t> %)</w:t>
      </w:r>
      <w:r w:rsidRPr="005771BD">
        <w:rPr>
          <w:rFonts w:cs="Arial"/>
          <w:szCs w:val="20"/>
          <w:lang w:val="sl-SI" w:eastAsia="sl-SI"/>
        </w:rPr>
        <w:t>, prah in delci železa z deležem 10,4</w:t>
      </w:r>
      <w:r w:rsidRPr="005771BD">
        <w:rPr>
          <w:rFonts w:cs="Arial"/>
          <w:color w:val="333232"/>
          <w:szCs w:val="20"/>
          <w:lang w:val="sl-SI" w:eastAsia="sl-SI"/>
        </w:rPr>
        <w:t> %</w:t>
      </w:r>
      <w:r w:rsidRPr="005771BD">
        <w:rPr>
          <w:rFonts w:cs="Arial"/>
          <w:szCs w:val="20"/>
          <w:lang w:val="sl-SI" w:eastAsia="sl-SI"/>
        </w:rPr>
        <w:t>.</w:t>
      </w:r>
    </w:p>
    <w:p w:rsidR="002F73CD" w:rsidRPr="005C1DA5" w:rsidRDefault="002F73CD" w:rsidP="002F73CD">
      <w:pPr>
        <w:shd w:val="clear" w:color="auto" w:fill="FFFFFF"/>
        <w:spacing w:line="276" w:lineRule="auto"/>
        <w:jc w:val="both"/>
        <w:rPr>
          <w:rFonts w:cs="Arial"/>
          <w:b/>
          <w:szCs w:val="20"/>
          <w:lang w:val="sl-SI"/>
        </w:rPr>
      </w:pPr>
    </w:p>
    <w:p w:rsidR="002F73CD" w:rsidRPr="005C1DA5" w:rsidRDefault="00FF4C0C" w:rsidP="002F73CD">
      <w:pPr>
        <w:shd w:val="clear" w:color="auto" w:fill="FFFFFF"/>
        <w:spacing w:after="200" w:line="276" w:lineRule="auto"/>
        <w:jc w:val="both"/>
        <w:rPr>
          <w:rFonts w:cs="Arial"/>
          <w:b/>
          <w:szCs w:val="20"/>
          <w:lang w:val="sl-SI"/>
        </w:rPr>
      </w:pPr>
      <w:r>
        <w:rPr>
          <w:rFonts w:cs="Arial"/>
          <w:b/>
          <w:szCs w:val="20"/>
          <w:lang w:val="sl-SI"/>
        </w:rPr>
        <w:t>9</w:t>
      </w:r>
      <w:r w:rsidR="002F73CD" w:rsidRPr="005C1DA5">
        <w:rPr>
          <w:rFonts w:cs="Arial"/>
          <w:b/>
          <w:szCs w:val="20"/>
          <w:lang w:val="sl-SI"/>
        </w:rPr>
        <w:t xml:space="preserve">.3.3 Povzročitelji odpadkov </w:t>
      </w:r>
    </w:p>
    <w:p w:rsidR="002F73CD" w:rsidRPr="005771BD" w:rsidRDefault="002F73CD" w:rsidP="002F73CD">
      <w:pPr>
        <w:shd w:val="clear" w:color="auto" w:fill="FFFFFF"/>
        <w:spacing w:after="200" w:line="276" w:lineRule="auto"/>
        <w:jc w:val="both"/>
        <w:rPr>
          <w:rFonts w:cs="Arial"/>
          <w:szCs w:val="20"/>
          <w:lang w:val="sl-SI"/>
        </w:rPr>
      </w:pPr>
      <w:r w:rsidRPr="005771BD">
        <w:rPr>
          <w:rFonts w:cs="Arial"/>
          <w:szCs w:val="20"/>
          <w:lang w:val="sl-SI"/>
        </w:rPr>
        <w:t xml:space="preserve">Največ povzročiteljev odpadkov je v proizvodnih in storitvenih dejavnostih, kjer je v letu 2014 nastalo 80,9 % odpadkov. </w:t>
      </w:r>
    </w:p>
    <w:p w:rsidR="002F73CD" w:rsidRPr="005771BD" w:rsidRDefault="002F73CD" w:rsidP="002F73CD">
      <w:pPr>
        <w:shd w:val="clear" w:color="auto" w:fill="FFFFFF"/>
        <w:spacing w:after="200" w:line="276" w:lineRule="auto"/>
        <w:jc w:val="both"/>
        <w:rPr>
          <w:rFonts w:cs="Arial"/>
          <w:szCs w:val="20"/>
          <w:lang w:val="sl-SI"/>
        </w:rPr>
      </w:pPr>
      <w:r w:rsidRPr="005771BD">
        <w:rPr>
          <w:rFonts w:cs="Arial"/>
          <w:szCs w:val="20"/>
          <w:lang w:val="sl-SI"/>
        </w:rPr>
        <w:t xml:space="preserve">V proizvodnih in storitvenih dejavnostih </w:t>
      </w:r>
      <w:r>
        <w:rPr>
          <w:rFonts w:cs="Arial"/>
          <w:szCs w:val="20"/>
          <w:lang w:val="sl-SI"/>
        </w:rPr>
        <w:t xml:space="preserve">je </w:t>
      </w:r>
      <w:r w:rsidRPr="005771BD">
        <w:rPr>
          <w:rFonts w:cs="Arial"/>
          <w:szCs w:val="20"/>
          <w:lang w:val="sl-SI"/>
        </w:rPr>
        <w:t xml:space="preserve">nastalo skoraj 3,8 milijona ton odpadkov, 4 % od tega so bili nevarni odpadki. Več kot polovica odpadkov iz proizvodnih in storitvenih dejavnostih (56 %) je v </w:t>
      </w:r>
      <w:r>
        <w:rPr>
          <w:rFonts w:cs="Arial"/>
          <w:szCs w:val="20"/>
          <w:lang w:val="sl-SI"/>
        </w:rPr>
        <w:t xml:space="preserve">letu </w:t>
      </w:r>
      <w:r w:rsidRPr="005771BD">
        <w:rPr>
          <w:rFonts w:cs="Arial"/>
          <w:szCs w:val="20"/>
          <w:lang w:val="sl-SI"/>
        </w:rPr>
        <w:t>2014 nastala v predelovalnih dejavnostih (1,3 milijona ton) in gradbeništvu (0,8 milijona ton).</w:t>
      </w:r>
    </w:p>
    <w:p w:rsidR="002F73CD" w:rsidRPr="005771BD" w:rsidRDefault="002F73CD" w:rsidP="002F73CD">
      <w:pPr>
        <w:shd w:val="clear" w:color="auto" w:fill="FFFFFF"/>
        <w:spacing w:after="200" w:line="276" w:lineRule="auto"/>
        <w:jc w:val="both"/>
        <w:rPr>
          <w:rFonts w:cs="Arial"/>
          <w:szCs w:val="20"/>
          <w:lang w:val="sl-SI"/>
        </w:rPr>
      </w:pPr>
      <w:r w:rsidRPr="005771BD">
        <w:rPr>
          <w:rFonts w:cs="Arial"/>
          <w:szCs w:val="20"/>
          <w:lang w:val="sl-SI"/>
        </w:rPr>
        <w:t>V proizvodnih dejavnostih je nastalo malo manj kot 2,8 milijona ton (59 %), v storitvenih dejavnostih skoraj 1,4 milijona ton (29 %), gospodinjstva pa so povzročila malo več kot pol milijona ton (12 %) vseh vrst odpadkov. Vseh tokov odpadkov se je recikliralo in uporabilo kot gorivo 53 %, odložilo in sežigalo se je 9 % vseh nastalih odpadkov.</w:t>
      </w:r>
    </w:p>
    <w:p w:rsidR="002F73CD" w:rsidRPr="005C1DA5" w:rsidRDefault="002F73CD" w:rsidP="002F73CD">
      <w:pPr>
        <w:shd w:val="clear" w:color="auto" w:fill="FFFFFF"/>
        <w:spacing w:after="200" w:line="276" w:lineRule="auto"/>
        <w:jc w:val="both"/>
        <w:rPr>
          <w:rFonts w:cs="Arial"/>
          <w:szCs w:val="20"/>
          <w:lang w:val="sl-SI"/>
        </w:rPr>
      </w:pPr>
      <w:r w:rsidRPr="005C1DA5">
        <w:rPr>
          <w:rFonts w:cs="Arial"/>
          <w:szCs w:val="20"/>
          <w:lang w:val="sl-SI"/>
        </w:rPr>
        <w:t>V letu 2014 je nastalo 146.882 ton nevarnih odpadkov. Največ nevarnih odpadkov je nastalo v predelovalnih dejavnostih (51 %), v gospodinjstvih pa jih je nastalo 2 %.</w:t>
      </w:r>
    </w:p>
    <w:p w:rsidR="002F73CD" w:rsidRPr="005C1DA5" w:rsidRDefault="002F73CD" w:rsidP="002F73CD">
      <w:pPr>
        <w:shd w:val="clear" w:color="auto" w:fill="FFFFFF"/>
        <w:spacing w:after="200" w:line="276" w:lineRule="auto"/>
        <w:jc w:val="both"/>
        <w:rPr>
          <w:rFonts w:cs="Arial"/>
          <w:b/>
          <w:szCs w:val="20"/>
          <w:lang w:val="sl-SI"/>
        </w:rPr>
      </w:pPr>
      <w:r w:rsidRPr="007F272F">
        <w:rPr>
          <w:rFonts w:cs="Arial"/>
          <w:b/>
          <w:noProof/>
          <w:szCs w:val="20"/>
          <w:lang w:val="sl-SI" w:eastAsia="sl-SI"/>
        </w:rPr>
        <w:drawing>
          <wp:inline distT="0" distB="0" distL="0" distR="0" wp14:anchorId="2479B86F" wp14:editId="6CA52E19">
            <wp:extent cx="4554161" cy="2115403"/>
            <wp:effectExtent l="0" t="0" r="0" b="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567743" cy="2121712"/>
                    </a:xfrm>
                    <a:prstGeom prst="rect">
                      <a:avLst/>
                    </a:prstGeom>
                    <a:noFill/>
                  </pic:spPr>
                </pic:pic>
              </a:graphicData>
            </a:graphic>
          </wp:inline>
        </w:drawing>
      </w:r>
    </w:p>
    <w:p w:rsidR="002F73CD" w:rsidRPr="005771BD" w:rsidRDefault="002F73CD" w:rsidP="002F73CD">
      <w:pPr>
        <w:shd w:val="clear" w:color="auto" w:fill="FFFFFF"/>
        <w:spacing w:line="276" w:lineRule="auto"/>
        <w:jc w:val="both"/>
        <w:rPr>
          <w:rFonts w:cs="Arial"/>
          <w:bCs/>
          <w:i/>
          <w:szCs w:val="20"/>
          <w:lang w:val="sl-SI"/>
        </w:rPr>
      </w:pPr>
      <w:r w:rsidRPr="005771BD">
        <w:rPr>
          <w:rFonts w:cs="Arial"/>
          <w:bCs/>
          <w:i/>
          <w:szCs w:val="20"/>
          <w:lang w:val="sl-SI"/>
        </w:rPr>
        <w:t xml:space="preserve">Slika </w:t>
      </w:r>
      <w:r w:rsidR="00FF4C0C">
        <w:rPr>
          <w:rFonts w:cs="Arial"/>
          <w:bCs/>
          <w:i/>
          <w:szCs w:val="20"/>
          <w:lang w:val="sl-SI"/>
        </w:rPr>
        <w:t>9</w:t>
      </w:r>
      <w:r w:rsidRPr="005771BD">
        <w:rPr>
          <w:rFonts w:cs="Arial"/>
          <w:bCs/>
          <w:i/>
          <w:szCs w:val="20"/>
          <w:lang w:val="sl-SI"/>
        </w:rPr>
        <w:t>.12: Nastajanje odpadkov v obdobju 2002</w:t>
      </w:r>
      <w:r>
        <w:rPr>
          <w:rFonts w:cs="Arial"/>
          <w:bCs/>
          <w:i/>
          <w:szCs w:val="20"/>
          <w:lang w:val="sl-SI"/>
        </w:rPr>
        <w:t>–</w:t>
      </w:r>
      <w:r w:rsidRPr="005771BD">
        <w:rPr>
          <w:rFonts w:cs="Arial"/>
          <w:bCs/>
          <w:i/>
          <w:szCs w:val="20"/>
          <w:lang w:val="sl-SI"/>
        </w:rPr>
        <w:t>2014(t)</w:t>
      </w:r>
    </w:p>
    <w:p w:rsidR="002F73CD" w:rsidRPr="005771BD" w:rsidRDefault="002F73CD" w:rsidP="002F73CD">
      <w:pPr>
        <w:shd w:val="clear" w:color="auto" w:fill="FFFFFF"/>
        <w:spacing w:after="200" w:line="276" w:lineRule="auto"/>
        <w:jc w:val="both"/>
        <w:rPr>
          <w:rFonts w:cs="Arial"/>
          <w:bCs/>
          <w:sz w:val="18"/>
          <w:szCs w:val="18"/>
          <w:lang w:val="sl-SI"/>
        </w:rPr>
      </w:pPr>
      <w:r w:rsidRPr="005771BD">
        <w:rPr>
          <w:rFonts w:cs="Arial"/>
          <w:bCs/>
          <w:sz w:val="18"/>
          <w:szCs w:val="18"/>
          <w:lang w:val="sl-SI"/>
        </w:rPr>
        <w:t>Vir: ARSO, SURS-ODP</w:t>
      </w:r>
    </w:p>
    <w:p w:rsidR="002F73CD" w:rsidRPr="005C1DA5" w:rsidRDefault="002F73CD" w:rsidP="002F73CD">
      <w:pPr>
        <w:shd w:val="clear" w:color="auto" w:fill="FFFFFF"/>
        <w:spacing w:line="276" w:lineRule="auto"/>
        <w:jc w:val="both"/>
        <w:rPr>
          <w:rFonts w:cs="Arial"/>
          <w:b/>
          <w:szCs w:val="20"/>
          <w:lang w:val="sl-SI"/>
        </w:rPr>
      </w:pPr>
    </w:p>
    <w:p w:rsidR="002F73CD" w:rsidRPr="000C199F" w:rsidRDefault="00FF4C0C" w:rsidP="002F73CD">
      <w:pPr>
        <w:shd w:val="clear" w:color="auto" w:fill="FFFFFF"/>
        <w:spacing w:after="200" w:line="276" w:lineRule="auto"/>
        <w:jc w:val="both"/>
        <w:rPr>
          <w:rFonts w:cs="Arial"/>
          <w:b/>
          <w:szCs w:val="20"/>
          <w:lang w:val="sl-SI"/>
        </w:rPr>
      </w:pPr>
      <w:r>
        <w:rPr>
          <w:rFonts w:cs="Arial"/>
          <w:b/>
          <w:szCs w:val="20"/>
          <w:lang w:val="sl-SI"/>
        </w:rPr>
        <w:t>9</w:t>
      </w:r>
      <w:r w:rsidR="002F73CD" w:rsidRPr="005C1DA5">
        <w:rPr>
          <w:rFonts w:cs="Arial"/>
          <w:b/>
          <w:szCs w:val="20"/>
          <w:lang w:val="sl-SI"/>
        </w:rPr>
        <w:t xml:space="preserve">.3.4 Značilnosti posameznih </w:t>
      </w:r>
      <w:r w:rsidR="002F73CD" w:rsidRPr="000C199F">
        <w:rPr>
          <w:rFonts w:cs="Arial"/>
          <w:b/>
          <w:szCs w:val="20"/>
          <w:lang w:val="sl-SI"/>
        </w:rPr>
        <w:t xml:space="preserve">odpadkovnih tokov in ravnanja z njimi v Sloveniji </w:t>
      </w:r>
    </w:p>
    <w:p w:rsidR="002F73CD" w:rsidRPr="000C199F" w:rsidRDefault="002F73CD" w:rsidP="002F73CD">
      <w:pPr>
        <w:shd w:val="clear" w:color="auto" w:fill="FFFFFF"/>
        <w:spacing w:after="200" w:line="276" w:lineRule="auto"/>
        <w:jc w:val="both"/>
        <w:rPr>
          <w:rFonts w:cs="Arial"/>
          <w:i/>
          <w:szCs w:val="20"/>
          <w:u w:val="single"/>
          <w:lang w:val="sl-SI"/>
        </w:rPr>
      </w:pPr>
      <w:r w:rsidRPr="000C199F">
        <w:rPr>
          <w:rFonts w:cs="Arial"/>
          <w:i/>
          <w:szCs w:val="20"/>
          <w:u w:val="single"/>
          <w:lang w:val="sl-SI"/>
        </w:rPr>
        <w:t xml:space="preserve">Komunalni odpadki </w:t>
      </w:r>
    </w:p>
    <w:p w:rsidR="002F73CD" w:rsidRPr="005771BD" w:rsidRDefault="002F73CD" w:rsidP="002F73CD">
      <w:pPr>
        <w:spacing w:after="200" w:line="276" w:lineRule="auto"/>
        <w:jc w:val="both"/>
        <w:rPr>
          <w:rFonts w:cs="Arial"/>
          <w:color w:val="000000"/>
          <w:szCs w:val="20"/>
          <w:shd w:val="clear" w:color="auto" w:fill="FFFFFF"/>
          <w:lang w:val="sl-SI"/>
        </w:rPr>
      </w:pPr>
      <w:r w:rsidRPr="005771BD">
        <w:rPr>
          <w:rFonts w:cs="Arial"/>
          <w:color w:val="000000"/>
          <w:szCs w:val="20"/>
          <w:shd w:val="clear" w:color="auto" w:fill="FFFFFF"/>
          <w:lang w:val="sl-SI"/>
        </w:rPr>
        <w:t xml:space="preserve">Komunalni odpadek je odpadek iz gospodinjstev in njemu podoben odpadek iz trgovine, proizvodnih, poslovnih, storitvenih in drugih dejavnosti ter javnega sektorja. Prebivalec Slovenije je v 2014 v povprečju proizvedel 433 kg komunalnih odpadkov, od tega 3,3 kg nevarnih. V Sloveniji je bilo od 433 kg proizvedenih odpadkov na prebivalca 257 kg predelanih po končnih postopkih, preostalih 176 kg pa začasno skladiščenih ali obdelanih po postopkih predobdelave. Glede na celotne nastale količine komunalnih odpadkov je bilo 36 % odpadkov recikliranih (od tega 7 % kompostiranih), 23 % odloženih </w:t>
      </w:r>
      <w:r>
        <w:rPr>
          <w:rFonts w:cs="Arial"/>
          <w:color w:val="000000"/>
          <w:szCs w:val="20"/>
          <w:shd w:val="clear" w:color="auto" w:fill="FFFFFF"/>
          <w:lang w:val="sl-SI"/>
        </w:rPr>
        <w:t>in</w:t>
      </w:r>
      <w:r w:rsidRPr="005771BD">
        <w:rPr>
          <w:rFonts w:cs="Arial"/>
          <w:color w:val="000000"/>
          <w:szCs w:val="20"/>
          <w:shd w:val="clear" w:color="auto" w:fill="FFFFFF"/>
          <w:lang w:val="sl-SI"/>
        </w:rPr>
        <w:t xml:space="preserve"> manj kot 1 % sežganih.  </w:t>
      </w:r>
    </w:p>
    <w:p w:rsidR="002F73CD" w:rsidRPr="005771BD" w:rsidRDefault="002F73CD" w:rsidP="002F73CD">
      <w:pPr>
        <w:spacing w:after="200" w:line="276" w:lineRule="auto"/>
        <w:jc w:val="both"/>
        <w:rPr>
          <w:rFonts w:cs="Arial"/>
          <w:color w:val="000000"/>
          <w:szCs w:val="20"/>
          <w:shd w:val="clear" w:color="auto" w:fill="FFFFFF"/>
          <w:lang w:val="sl-SI"/>
        </w:rPr>
      </w:pPr>
      <w:r w:rsidRPr="005771BD">
        <w:rPr>
          <w:rFonts w:cs="Arial"/>
          <w:color w:val="000000"/>
          <w:szCs w:val="20"/>
          <w:shd w:val="clear" w:color="auto" w:fill="FFFFFF"/>
          <w:lang w:val="sl-SI"/>
        </w:rPr>
        <w:t xml:space="preserve">Preostalih 40 % </w:t>
      </w:r>
      <w:r>
        <w:rPr>
          <w:rFonts w:cs="Arial"/>
          <w:color w:val="000000"/>
          <w:szCs w:val="20"/>
          <w:shd w:val="clear" w:color="auto" w:fill="FFFFFF"/>
          <w:lang w:val="sl-SI"/>
        </w:rPr>
        <w:t>so</w:t>
      </w:r>
      <w:r w:rsidRPr="005771BD">
        <w:rPr>
          <w:rFonts w:cs="Arial"/>
          <w:color w:val="000000"/>
          <w:szCs w:val="20"/>
          <w:shd w:val="clear" w:color="auto" w:fill="FFFFFF"/>
          <w:lang w:val="sl-SI"/>
        </w:rPr>
        <w:t xml:space="preserve"> izguba v masi, začasno skladiščenje odpadkov in postopki predobdelave.</w:t>
      </w:r>
    </w:p>
    <w:p w:rsidR="002F73CD" w:rsidRPr="005771BD" w:rsidRDefault="002F73CD" w:rsidP="002F73CD">
      <w:pPr>
        <w:spacing w:after="200" w:line="276" w:lineRule="auto"/>
        <w:jc w:val="both"/>
        <w:rPr>
          <w:rFonts w:cs="Arial"/>
          <w:color w:val="000000"/>
          <w:szCs w:val="20"/>
          <w:shd w:val="clear" w:color="auto" w:fill="FFFFFF"/>
          <w:lang w:val="sl-SI"/>
        </w:rPr>
      </w:pPr>
      <w:r w:rsidRPr="005771BD">
        <w:rPr>
          <w:rFonts w:cs="Arial"/>
          <w:color w:val="000000"/>
          <w:szCs w:val="20"/>
          <w:shd w:val="clear" w:color="auto" w:fill="FFFFFF"/>
          <w:lang w:val="sl-SI"/>
        </w:rPr>
        <w:t>Odstotek reciklaže komunalnih odpadkov je glede na končne postopke obdelave 49 %.</w:t>
      </w:r>
    </w:p>
    <w:p w:rsidR="002F73CD" w:rsidRPr="005771BD" w:rsidRDefault="002F73CD" w:rsidP="002F73CD">
      <w:pPr>
        <w:spacing w:after="200" w:line="276" w:lineRule="auto"/>
        <w:jc w:val="both"/>
        <w:rPr>
          <w:rFonts w:eastAsia="Calibri" w:cs="Arial"/>
          <w:szCs w:val="20"/>
          <w:lang w:val="sl-SI"/>
        </w:rPr>
      </w:pPr>
      <w:r w:rsidRPr="005C1DA5">
        <w:rPr>
          <w:rFonts w:cs="Arial"/>
          <w:szCs w:val="20"/>
          <w:lang w:val="sl-SI"/>
        </w:rPr>
        <w:t>V povprečju je v Ev</w:t>
      </w:r>
      <w:r>
        <w:rPr>
          <w:rFonts w:cs="Arial"/>
          <w:szCs w:val="20"/>
          <w:lang w:val="sl-SI"/>
        </w:rPr>
        <w:t>r</w:t>
      </w:r>
      <w:r w:rsidRPr="005C1DA5">
        <w:rPr>
          <w:rFonts w:cs="Arial"/>
          <w:szCs w:val="20"/>
          <w:lang w:val="sl-SI"/>
        </w:rPr>
        <w:t xml:space="preserve">opski uniji v letu 2014 nastalo 475 kg komunalnih odpadkov na prebivalca, od katerih je bilo </w:t>
      </w:r>
      <w:r w:rsidRPr="005771BD">
        <w:rPr>
          <w:rFonts w:eastAsia="Calibri" w:cs="Arial"/>
          <w:szCs w:val="20"/>
          <w:lang w:val="sl-SI"/>
        </w:rPr>
        <w:t>recikliranih 28 %, 16 % kompostiranih, 28 % odloženih in 27 %</w:t>
      </w:r>
      <w:r>
        <w:rPr>
          <w:rFonts w:eastAsia="Calibri" w:cs="Arial"/>
          <w:szCs w:val="20"/>
          <w:lang w:val="sl-SI"/>
        </w:rPr>
        <w:t>jih je bilo odstranjenih s</w:t>
      </w:r>
      <w:r w:rsidRPr="005771BD">
        <w:rPr>
          <w:rFonts w:eastAsia="Calibri" w:cs="Arial"/>
          <w:szCs w:val="20"/>
          <w:lang w:val="sl-SI"/>
        </w:rPr>
        <w:t xml:space="preserve"> sežigan</w:t>
      </w:r>
      <w:r>
        <w:rPr>
          <w:rFonts w:eastAsia="Calibri" w:cs="Arial"/>
          <w:szCs w:val="20"/>
          <w:lang w:val="sl-SI"/>
        </w:rPr>
        <w:t>jem</w:t>
      </w:r>
      <w:r w:rsidRPr="005771BD">
        <w:rPr>
          <w:rFonts w:eastAsia="Calibri" w:cs="Arial"/>
          <w:szCs w:val="20"/>
          <w:lang w:val="sl-SI"/>
        </w:rPr>
        <w:t xml:space="preserve">. Delež recikliranih in kompostiranih komunalnih odpadkov se je v EU  </w:t>
      </w:r>
      <w:r>
        <w:rPr>
          <w:rFonts w:eastAsia="Calibri" w:cs="Arial"/>
          <w:szCs w:val="20"/>
          <w:lang w:val="sl-SI"/>
        </w:rPr>
        <w:t xml:space="preserve">v </w:t>
      </w:r>
      <w:r w:rsidRPr="005771BD">
        <w:rPr>
          <w:rFonts w:eastAsia="Calibri" w:cs="Arial"/>
          <w:szCs w:val="20"/>
          <w:lang w:val="sl-SI"/>
        </w:rPr>
        <w:t>obdobj</w:t>
      </w:r>
      <w:r>
        <w:rPr>
          <w:rFonts w:eastAsia="Calibri" w:cs="Arial"/>
          <w:szCs w:val="20"/>
          <w:lang w:val="sl-SI"/>
        </w:rPr>
        <w:t>u</w:t>
      </w:r>
      <w:r w:rsidRPr="005771BD">
        <w:rPr>
          <w:rFonts w:eastAsia="Calibri" w:cs="Arial"/>
          <w:szCs w:val="20"/>
          <w:lang w:val="sl-SI"/>
        </w:rPr>
        <w:t xml:space="preserve"> 1995</w:t>
      </w:r>
      <w:r>
        <w:rPr>
          <w:rFonts w:eastAsia="Calibri" w:cs="Arial"/>
          <w:szCs w:val="20"/>
          <w:lang w:val="sl-SI"/>
        </w:rPr>
        <w:t>–</w:t>
      </w:r>
      <w:r w:rsidRPr="005771BD">
        <w:rPr>
          <w:rFonts w:eastAsia="Calibri" w:cs="Arial"/>
          <w:szCs w:val="20"/>
          <w:lang w:val="sl-SI"/>
        </w:rPr>
        <w:t>2014</w:t>
      </w:r>
      <w:r>
        <w:rPr>
          <w:rFonts w:eastAsia="Calibri" w:cs="Arial"/>
          <w:szCs w:val="20"/>
          <w:lang w:val="sl-SI"/>
        </w:rPr>
        <w:t xml:space="preserve"> stalno povečeval</w:t>
      </w:r>
      <w:r w:rsidRPr="005771BD">
        <w:rPr>
          <w:rFonts w:eastAsia="Calibri" w:cs="Arial"/>
          <w:szCs w:val="20"/>
          <w:lang w:val="sl-SI"/>
        </w:rPr>
        <w:t xml:space="preserve">, in sicer </w:t>
      </w:r>
      <w:r>
        <w:rPr>
          <w:rFonts w:eastAsia="Calibri" w:cs="Arial"/>
          <w:szCs w:val="20"/>
          <w:lang w:val="sl-SI"/>
        </w:rPr>
        <w:t>s</w:t>
      </w:r>
      <w:r w:rsidRPr="005771BD">
        <w:rPr>
          <w:rFonts w:eastAsia="Calibri" w:cs="Arial"/>
          <w:szCs w:val="20"/>
          <w:lang w:val="sl-SI"/>
        </w:rPr>
        <w:t xml:space="preserve"> 17 </w:t>
      </w:r>
      <w:r>
        <w:rPr>
          <w:rFonts w:eastAsia="Calibri" w:cs="Arial"/>
          <w:szCs w:val="20"/>
          <w:lang w:val="sl-SI"/>
        </w:rPr>
        <w:t>na</w:t>
      </w:r>
      <w:r w:rsidRPr="005771BD">
        <w:rPr>
          <w:rFonts w:eastAsia="Calibri" w:cs="Arial"/>
          <w:szCs w:val="20"/>
          <w:lang w:val="sl-SI"/>
        </w:rPr>
        <w:t xml:space="preserve"> 44 %.</w:t>
      </w:r>
    </w:p>
    <w:p w:rsidR="002F73CD" w:rsidRPr="005771BD" w:rsidRDefault="002F73CD" w:rsidP="002F73CD">
      <w:pPr>
        <w:spacing w:after="200" w:line="276" w:lineRule="auto"/>
        <w:jc w:val="both"/>
        <w:rPr>
          <w:rFonts w:eastAsia="Calibri" w:cs="Arial"/>
          <w:szCs w:val="20"/>
          <w:lang w:val="sl-SI"/>
        </w:rPr>
      </w:pPr>
      <w:r w:rsidRPr="005771BD">
        <w:rPr>
          <w:rFonts w:eastAsia="Calibri" w:cs="Arial"/>
          <w:szCs w:val="20"/>
          <w:lang w:val="sl-SI"/>
        </w:rPr>
        <w:t>Čeprav komunalni odpadki predstavljajo le približno 10</w:t>
      </w:r>
      <w:r>
        <w:rPr>
          <w:rFonts w:eastAsia="Calibri" w:cs="Arial"/>
          <w:szCs w:val="20"/>
          <w:lang w:val="sl-SI"/>
        </w:rPr>
        <w:t xml:space="preserve"> </w:t>
      </w:r>
      <w:r w:rsidRPr="005771BD">
        <w:rPr>
          <w:rFonts w:eastAsia="Calibri" w:cs="Arial"/>
          <w:szCs w:val="20"/>
          <w:lang w:val="sl-SI"/>
        </w:rPr>
        <w:t xml:space="preserve">% vseh odpadkov, nastajajo pri vseh prebivalcih in imajo raznoliko sestavo, povezano z vzorci potrošnje. Države, ki so </w:t>
      </w:r>
      <w:r>
        <w:rPr>
          <w:rFonts w:eastAsia="Calibri" w:cs="Arial"/>
          <w:szCs w:val="20"/>
          <w:lang w:val="sl-SI"/>
        </w:rPr>
        <w:t>vzpostavile</w:t>
      </w:r>
      <w:r w:rsidRPr="005771BD">
        <w:rPr>
          <w:rFonts w:eastAsia="Calibri" w:cs="Arial"/>
          <w:szCs w:val="20"/>
          <w:lang w:val="sl-SI"/>
        </w:rPr>
        <w:t xml:space="preserve"> učinkovite sisteme upravljanja komunalni</w:t>
      </w:r>
      <w:r>
        <w:rPr>
          <w:rFonts w:eastAsia="Calibri" w:cs="Arial"/>
          <w:szCs w:val="20"/>
          <w:lang w:val="sl-SI"/>
        </w:rPr>
        <w:t>h</w:t>
      </w:r>
      <w:r w:rsidRPr="005771BD">
        <w:rPr>
          <w:rFonts w:eastAsia="Calibri" w:cs="Arial"/>
          <w:szCs w:val="20"/>
          <w:lang w:val="sl-SI"/>
        </w:rPr>
        <w:t xml:space="preserve"> odpadk</w:t>
      </w:r>
      <w:r>
        <w:rPr>
          <w:rFonts w:eastAsia="Calibri" w:cs="Arial"/>
          <w:szCs w:val="20"/>
          <w:lang w:val="sl-SI"/>
        </w:rPr>
        <w:t>ov,</w:t>
      </w:r>
      <w:r w:rsidRPr="005771BD">
        <w:rPr>
          <w:rFonts w:eastAsia="Calibri" w:cs="Arial"/>
          <w:szCs w:val="20"/>
          <w:lang w:val="sl-SI"/>
        </w:rPr>
        <w:t xml:space="preserve"> so na splošno uspešnejše v celostnem upravljanju</w:t>
      </w:r>
      <w:r>
        <w:rPr>
          <w:rFonts w:eastAsia="Calibri" w:cs="Arial"/>
          <w:szCs w:val="20"/>
          <w:lang w:val="sl-SI"/>
        </w:rPr>
        <w:t xml:space="preserve"> </w:t>
      </w:r>
      <w:r w:rsidRPr="005771BD">
        <w:rPr>
          <w:rFonts w:eastAsia="Calibri" w:cs="Arial"/>
          <w:szCs w:val="20"/>
          <w:lang w:val="sl-SI"/>
        </w:rPr>
        <w:t>odpadk</w:t>
      </w:r>
      <w:r>
        <w:rPr>
          <w:rFonts w:eastAsia="Calibri" w:cs="Arial"/>
          <w:szCs w:val="20"/>
          <w:lang w:val="sl-SI"/>
        </w:rPr>
        <w:t>ov</w:t>
      </w:r>
      <w:r w:rsidRPr="005771BD">
        <w:rPr>
          <w:rFonts w:eastAsia="Calibri" w:cs="Arial"/>
          <w:szCs w:val="20"/>
          <w:lang w:val="sl-SI"/>
        </w:rPr>
        <w:t>.</w:t>
      </w:r>
    </w:p>
    <w:p w:rsidR="002F73CD" w:rsidRPr="005771BD" w:rsidRDefault="002F73CD" w:rsidP="002F73CD">
      <w:pPr>
        <w:spacing w:after="200" w:line="276" w:lineRule="auto"/>
        <w:jc w:val="both"/>
        <w:rPr>
          <w:rFonts w:eastAsia="Calibri" w:cs="Arial"/>
          <w:szCs w:val="20"/>
          <w:lang w:val="sl-SI"/>
        </w:rPr>
      </w:pPr>
      <w:r w:rsidRPr="007F272F">
        <w:rPr>
          <w:rFonts w:eastAsia="Calibri" w:cs="Arial"/>
          <w:noProof/>
          <w:szCs w:val="20"/>
          <w:lang w:val="sl-SI" w:eastAsia="sl-SI"/>
        </w:rPr>
        <w:drawing>
          <wp:inline distT="0" distB="0" distL="0" distR="0" wp14:anchorId="17E662A1" wp14:editId="7C628364">
            <wp:extent cx="6168788" cy="3207224"/>
            <wp:effectExtent l="0" t="0" r="3810"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174033" cy="3209951"/>
                    </a:xfrm>
                    <a:prstGeom prst="rect">
                      <a:avLst/>
                    </a:prstGeom>
                    <a:noFill/>
                  </pic:spPr>
                </pic:pic>
              </a:graphicData>
            </a:graphic>
          </wp:inline>
        </w:drawing>
      </w:r>
    </w:p>
    <w:p w:rsidR="002F73CD" w:rsidRPr="00FF4C0C" w:rsidRDefault="002F73CD" w:rsidP="002F73CD">
      <w:pPr>
        <w:shd w:val="clear" w:color="auto" w:fill="FFFFFF"/>
        <w:spacing w:after="200" w:line="276" w:lineRule="auto"/>
        <w:jc w:val="both"/>
        <w:rPr>
          <w:rFonts w:cs="Arial"/>
          <w:i/>
          <w:szCs w:val="20"/>
          <w:lang w:val="sl-SI"/>
        </w:rPr>
      </w:pPr>
      <w:r w:rsidRPr="00FF4C0C">
        <w:rPr>
          <w:rFonts w:cs="Arial"/>
          <w:i/>
          <w:szCs w:val="20"/>
          <w:lang w:val="sl-SI"/>
        </w:rPr>
        <w:t xml:space="preserve">Slika </w:t>
      </w:r>
      <w:r w:rsidR="00FF4C0C" w:rsidRPr="00FF4C0C">
        <w:rPr>
          <w:rFonts w:cs="Arial"/>
          <w:i/>
          <w:szCs w:val="20"/>
          <w:lang w:val="sl-SI"/>
        </w:rPr>
        <w:t>9</w:t>
      </w:r>
      <w:r w:rsidRPr="00FF4C0C">
        <w:rPr>
          <w:rFonts w:cs="Arial"/>
          <w:i/>
          <w:szCs w:val="20"/>
          <w:lang w:val="sl-SI"/>
        </w:rPr>
        <w:t>.13: Količina nastalih komunalnih odpadkov – primerjalno 2004 in 2014</w:t>
      </w:r>
    </w:p>
    <w:p w:rsidR="002F73CD" w:rsidRPr="005771BD" w:rsidRDefault="002F73CD" w:rsidP="002F73CD">
      <w:pPr>
        <w:shd w:val="clear" w:color="auto" w:fill="FFFFFF"/>
        <w:spacing w:after="200" w:line="276" w:lineRule="auto"/>
        <w:jc w:val="both"/>
        <w:rPr>
          <w:rFonts w:eastAsia="Calibri" w:cs="Arial"/>
          <w:szCs w:val="20"/>
          <w:lang w:val="sl-SI"/>
        </w:rPr>
      </w:pPr>
      <w:r w:rsidRPr="005C1DA5">
        <w:rPr>
          <w:rFonts w:cs="Arial"/>
          <w:szCs w:val="20"/>
          <w:lang w:val="sl-SI"/>
        </w:rPr>
        <w:t>Najv</w:t>
      </w:r>
      <w:r w:rsidRPr="005771BD">
        <w:rPr>
          <w:rFonts w:eastAsia="Calibri" w:cs="Arial"/>
          <w:szCs w:val="20"/>
          <w:lang w:val="sl-SI"/>
        </w:rPr>
        <w:t>erjetnejša sestava komunalnih odpadkov v RS je ocenjena na podlagi podatkov o zbiranju komunalnih odpadkov v Sloveniji v letu 2014 in rezultatov sortirnih analiz, ki so bile za mešane komunalne odpadke izvedene v tem letu. Iz sestave komunalnih odpadkov je mo</w:t>
      </w:r>
      <w:r>
        <w:rPr>
          <w:rFonts w:eastAsia="Calibri" w:cs="Arial"/>
          <w:szCs w:val="20"/>
          <w:lang w:val="sl-SI"/>
        </w:rPr>
        <w:t>goče</w:t>
      </w:r>
      <w:r w:rsidRPr="005771BD">
        <w:rPr>
          <w:rFonts w:eastAsia="Calibri" w:cs="Arial"/>
          <w:szCs w:val="20"/>
          <w:lang w:val="sl-SI"/>
        </w:rPr>
        <w:t xml:space="preserve"> predvideti nadaljnj</w:t>
      </w:r>
      <w:r>
        <w:rPr>
          <w:rFonts w:eastAsia="Calibri" w:cs="Arial"/>
          <w:szCs w:val="20"/>
          <w:lang w:val="sl-SI"/>
        </w:rPr>
        <w:t>o</w:t>
      </w:r>
      <w:r w:rsidRPr="005771BD">
        <w:rPr>
          <w:rFonts w:eastAsia="Calibri" w:cs="Arial"/>
          <w:szCs w:val="20"/>
          <w:lang w:val="sl-SI"/>
        </w:rPr>
        <w:t xml:space="preserve"> predelav</w:t>
      </w:r>
      <w:r>
        <w:rPr>
          <w:rFonts w:eastAsia="Calibri" w:cs="Arial"/>
          <w:szCs w:val="20"/>
          <w:lang w:val="sl-SI"/>
        </w:rPr>
        <w:t>o</w:t>
      </w:r>
      <w:r w:rsidRPr="005771BD">
        <w:rPr>
          <w:rFonts w:eastAsia="Calibri" w:cs="Arial"/>
          <w:szCs w:val="20"/>
          <w:lang w:val="sl-SI"/>
        </w:rPr>
        <w:t xml:space="preserve"> posameznih vrst odpadkov.</w:t>
      </w:r>
    </w:p>
    <w:p w:rsidR="002F73CD" w:rsidRPr="005771BD" w:rsidRDefault="002F73CD" w:rsidP="002F73CD">
      <w:pPr>
        <w:spacing w:after="200" w:line="276" w:lineRule="auto"/>
        <w:jc w:val="both"/>
        <w:rPr>
          <w:rFonts w:eastAsia="Calibri" w:cs="Arial"/>
          <w:szCs w:val="20"/>
          <w:lang w:val="sl-SI"/>
        </w:rPr>
      </w:pPr>
      <w:r w:rsidRPr="007F272F">
        <w:rPr>
          <w:rFonts w:cs="Arial"/>
          <w:noProof/>
          <w:szCs w:val="20"/>
          <w:lang w:val="sl-SI" w:eastAsia="sl-SI"/>
        </w:rPr>
        <w:drawing>
          <wp:inline distT="0" distB="0" distL="0" distR="0" wp14:anchorId="6A57896A" wp14:editId="3B3F8B8A">
            <wp:extent cx="5273675" cy="2548255"/>
            <wp:effectExtent l="0" t="0" r="3175" b="4445"/>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273675" cy="2548255"/>
                    </a:xfrm>
                    <a:prstGeom prst="rect">
                      <a:avLst/>
                    </a:prstGeom>
                    <a:noFill/>
                  </pic:spPr>
                </pic:pic>
              </a:graphicData>
            </a:graphic>
          </wp:inline>
        </w:drawing>
      </w:r>
    </w:p>
    <w:p w:rsidR="002F73CD" w:rsidRPr="005771BD" w:rsidRDefault="002F73CD" w:rsidP="002F73CD">
      <w:pPr>
        <w:keepNext/>
        <w:tabs>
          <w:tab w:val="left" w:pos="-142"/>
          <w:tab w:val="left" w:pos="0"/>
          <w:tab w:val="left" w:pos="1134"/>
        </w:tabs>
        <w:spacing w:before="200" w:line="276" w:lineRule="auto"/>
        <w:jc w:val="both"/>
        <w:rPr>
          <w:rFonts w:cs="Arial"/>
          <w:bCs/>
          <w:i/>
          <w:noProof/>
          <w:szCs w:val="20"/>
          <w:lang w:val="sl-SI"/>
        </w:rPr>
      </w:pPr>
      <w:bookmarkStart w:id="28" w:name="_Toc452023649"/>
      <w:r w:rsidRPr="005771BD">
        <w:rPr>
          <w:rFonts w:cs="Arial"/>
          <w:bCs/>
          <w:i/>
          <w:noProof/>
          <w:szCs w:val="20"/>
          <w:lang w:val="sl-SI"/>
        </w:rPr>
        <w:t xml:space="preserve">Slika </w:t>
      </w:r>
      <w:r w:rsidR="00FF4C0C">
        <w:rPr>
          <w:rFonts w:cs="Arial"/>
          <w:bCs/>
          <w:i/>
          <w:noProof/>
          <w:szCs w:val="20"/>
          <w:lang w:val="sl-SI"/>
        </w:rPr>
        <w:t>9</w:t>
      </w:r>
      <w:r w:rsidRPr="005771BD">
        <w:rPr>
          <w:rFonts w:cs="Arial"/>
          <w:bCs/>
          <w:i/>
          <w:noProof/>
          <w:szCs w:val="20"/>
          <w:lang w:val="sl-SI"/>
        </w:rPr>
        <w:t>.14: Sestava komunalnih odpadkov za Slovenijo za leto</w:t>
      </w:r>
      <w:r w:rsidRPr="005771BD">
        <w:rPr>
          <w:rFonts w:cs="Arial"/>
          <w:bCs/>
          <w:i/>
          <w:noProof/>
          <w:color w:val="333232"/>
          <w:szCs w:val="20"/>
          <w:lang w:val="sl-SI" w:eastAsia="sl-SI"/>
        </w:rPr>
        <w:t xml:space="preserve">  </w:t>
      </w:r>
      <w:r w:rsidRPr="005771BD">
        <w:rPr>
          <w:rFonts w:cs="Arial"/>
          <w:bCs/>
          <w:i/>
          <w:noProof/>
          <w:szCs w:val="20"/>
          <w:lang w:val="sl-SI"/>
        </w:rPr>
        <w:t>2014</w:t>
      </w:r>
    </w:p>
    <w:p w:rsidR="002F73CD" w:rsidRPr="005771BD" w:rsidRDefault="002F73CD" w:rsidP="002F73CD">
      <w:pPr>
        <w:keepNext/>
        <w:tabs>
          <w:tab w:val="left" w:pos="-142"/>
          <w:tab w:val="left" w:pos="0"/>
          <w:tab w:val="left" w:pos="1134"/>
        </w:tabs>
        <w:spacing w:after="360" w:line="276" w:lineRule="auto"/>
        <w:jc w:val="both"/>
        <w:rPr>
          <w:rFonts w:cs="Arial"/>
          <w:bCs/>
          <w:noProof/>
          <w:sz w:val="18"/>
          <w:szCs w:val="18"/>
          <w:lang w:val="sl-SI"/>
        </w:rPr>
      </w:pPr>
      <w:r w:rsidRPr="005771BD">
        <w:rPr>
          <w:rFonts w:cs="Arial"/>
          <w:bCs/>
          <w:noProof/>
          <w:sz w:val="18"/>
          <w:szCs w:val="18"/>
          <w:lang w:val="sl-SI"/>
        </w:rPr>
        <w:t xml:space="preserve">Vir: MOP, obdelava SURS-KO-Z 2014 in MOP </w:t>
      </w:r>
      <w:r w:rsidRPr="005771BD">
        <w:rPr>
          <w:rFonts w:cs="Arial"/>
          <w:bCs/>
          <w:noProof/>
          <w:sz w:val="18"/>
          <w:szCs w:val="18"/>
          <w:lang w:val="sl-SI"/>
        </w:rPr>
        <w:noBreakHyphen/>
        <w:t xml:space="preserve"> podatki sortirnih analiz 2014 in model OP</w:t>
      </w:r>
      <w:bookmarkEnd w:id="28"/>
    </w:p>
    <w:p w:rsidR="002F73CD" w:rsidRPr="005771BD" w:rsidRDefault="002F73CD" w:rsidP="002F73CD">
      <w:pPr>
        <w:spacing w:after="200" w:line="276" w:lineRule="auto"/>
        <w:jc w:val="both"/>
        <w:rPr>
          <w:rFonts w:eastAsia="Calibri" w:cs="Arial"/>
          <w:strike/>
          <w:szCs w:val="20"/>
          <w:lang w:val="sl-SI"/>
        </w:rPr>
      </w:pPr>
      <w:r w:rsidRPr="005771BD">
        <w:rPr>
          <w:rFonts w:eastAsia="Calibri" w:cs="Arial"/>
          <w:szCs w:val="20"/>
          <w:lang w:val="sl-SI"/>
        </w:rPr>
        <w:t xml:space="preserve">Zaradi zmanjšanja škodljivih vplivov nastajanja odpadkov in ravnanja z njimi na zdravje ljudi in okolje ter zmanjšanje uporabe naravnih virov in spodbujanje praktične uporabe ustreznega ravnanja z odpadki je pomembno ločevati odpadke že na izvoru, torej tam, kjer odpadki nastanejo, in s tem prispevati k njihovi pripravi za ponovno uporabo, </w:t>
      </w:r>
      <w:r>
        <w:rPr>
          <w:rFonts w:eastAsia="Calibri" w:cs="Arial"/>
          <w:szCs w:val="20"/>
          <w:lang w:val="sl-SI"/>
        </w:rPr>
        <w:t xml:space="preserve">k </w:t>
      </w:r>
      <w:r w:rsidRPr="005771BD">
        <w:rPr>
          <w:rFonts w:eastAsia="Calibri" w:cs="Arial"/>
          <w:szCs w:val="20"/>
          <w:lang w:val="sl-SI"/>
        </w:rPr>
        <w:t>recikliranju ali drugi vrsti predelave. V skladu s tem ciljem zaradi poenostavitve predelave ali za izboljšanje možnosti za predelavo je treba odpadke pred oddajo v predelavo zbirati ločeno, če je to tehnično in okoljsko izvedljivo.</w:t>
      </w:r>
    </w:p>
    <w:p w:rsidR="002F73CD" w:rsidRPr="00CC0EE8" w:rsidRDefault="002F73CD" w:rsidP="002F73CD">
      <w:pPr>
        <w:shd w:val="clear" w:color="auto" w:fill="FFFFFF"/>
        <w:spacing w:after="200" w:line="276" w:lineRule="auto"/>
        <w:jc w:val="both"/>
        <w:rPr>
          <w:rFonts w:cs="Arial"/>
          <w:szCs w:val="20"/>
          <w:lang w:val="sl-SI" w:eastAsia="sl-SI"/>
        </w:rPr>
      </w:pPr>
      <w:r w:rsidRPr="00CC0EE8">
        <w:rPr>
          <w:rFonts w:cs="Arial"/>
          <w:szCs w:val="20"/>
          <w:lang w:val="sl-SI" w:eastAsia="sl-SI"/>
        </w:rPr>
        <w:t xml:space="preserve">V zadnjih 12 letih je bil delež ločeno zbranih komunalnih odpadkov od 8,6 % v letu 2002 do 64,7 % v letu 2014, saj  ljudje vedno bolj sortiramo odpadke v pravilne zabojnike, ki so temu namenjeni. </w:t>
      </w:r>
    </w:p>
    <w:p w:rsidR="002F73CD" w:rsidRPr="005771BD" w:rsidRDefault="002F73CD" w:rsidP="002F73CD">
      <w:pPr>
        <w:spacing w:after="200" w:line="276" w:lineRule="auto"/>
        <w:jc w:val="both"/>
        <w:rPr>
          <w:rFonts w:eastAsia="Calibri" w:cs="Arial"/>
          <w:szCs w:val="20"/>
          <w:lang w:val="sl-SI" w:eastAsia="sl-SI"/>
        </w:rPr>
      </w:pPr>
      <w:r w:rsidRPr="005771BD">
        <w:rPr>
          <w:rFonts w:eastAsia="Calibri" w:cs="Arial"/>
          <w:szCs w:val="20"/>
          <w:lang w:val="sl-SI"/>
        </w:rPr>
        <w:t>Med komunalnimi odpadki, zbranimi v 2014 z javnim odvozom, jih je bilo ločeno zbranih skoraj 65 %. Med temi je bilo skoraj 28 % biorazgradljivih odpadkov, več kot 21 % papirnatih in kartonastih odpadkov, skoraj 30 % druge embalaže in 6 % kosovnih odpadkov.</w:t>
      </w:r>
    </w:p>
    <w:p w:rsidR="002F73CD" w:rsidRPr="00CC0EE8" w:rsidRDefault="002F73CD" w:rsidP="002F73CD">
      <w:pPr>
        <w:shd w:val="clear" w:color="auto" w:fill="FFFFFF"/>
        <w:spacing w:after="200" w:line="276" w:lineRule="auto"/>
        <w:jc w:val="both"/>
        <w:rPr>
          <w:rFonts w:cs="Arial"/>
          <w:color w:val="333232"/>
          <w:szCs w:val="20"/>
          <w:lang w:val="sl-SI" w:eastAsia="sl-SI"/>
        </w:rPr>
      </w:pPr>
      <w:r w:rsidRPr="007F272F">
        <w:rPr>
          <w:rFonts w:cs="Arial"/>
          <w:noProof/>
          <w:color w:val="333232"/>
          <w:szCs w:val="20"/>
          <w:lang w:val="sl-SI" w:eastAsia="sl-SI"/>
        </w:rPr>
        <w:drawing>
          <wp:inline distT="0" distB="0" distL="0" distR="0" wp14:anchorId="0FD8F36B" wp14:editId="10FF11E3">
            <wp:extent cx="5480998" cy="2520705"/>
            <wp:effectExtent l="0" t="0" r="5715" b="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502618" cy="2530648"/>
                    </a:xfrm>
                    <a:prstGeom prst="rect">
                      <a:avLst/>
                    </a:prstGeom>
                    <a:noFill/>
                  </pic:spPr>
                </pic:pic>
              </a:graphicData>
            </a:graphic>
          </wp:inline>
        </w:drawing>
      </w:r>
    </w:p>
    <w:p w:rsidR="002F73CD" w:rsidRPr="005771BD" w:rsidRDefault="002F73CD" w:rsidP="002F73CD">
      <w:pPr>
        <w:keepNext/>
        <w:tabs>
          <w:tab w:val="left" w:pos="1134"/>
        </w:tabs>
        <w:spacing w:before="200" w:after="200" w:line="276" w:lineRule="auto"/>
        <w:jc w:val="both"/>
        <w:rPr>
          <w:rFonts w:cs="Arial"/>
          <w:bCs/>
          <w:noProof/>
          <w:sz w:val="18"/>
          <w:szCs w:val="18"/>
          <w:lang w:val="sl-SI"/>
        </w:rPr>
      </w:pPr>
      <w:bookmarkStart w:id="29" w:name="_Toc452023647"/>
      <w:bookmarkStart w:id="30" w:name="_Toc452023646"/>
      <w:r w:rsidRPr="005771BD">
        <w:rPr>
          <w:rFonts w:cs="Arial"/>
          <w:bCs/>
          <w:i/>
          <w:noProof/>
          <w:szCs w:val="20"/>
          <w:lang w:val="sl-SI"/>
        </w:rPr>
        <w:t xml:space="preserve">Slika </w:t>
      </w:r>
      <w:r w:rsidR="00FF4C0C">
        <w:rPr>
          <w:rFonts w:cs="Arial"/>
          <w:bCs/>
          <w:i/>
          <w:noProof/>
          <w:szCs w:val="20"/>
          <w:lang w:val="sl-SI"/>
        </w:rPr>
        <w:t>9</w:t>
      </w:r>
      <w:r w:rsidRPr="005771BD">
        <w:rPr>
          <w:rFonts w:cs="Arial"/>
          <w:bCs/>
          <w:i/>
          <w:noProof/>
          <w:szCs w:val="20"/>
          <w:lang w:val="sl-SI"/>
        </w:rPr>
        <w:t>.15: Deleži ločeno zbranih frakcij in mešanih komunalnih odpadkov v obdobju 2002</w:t>
      </w:r>
      <w:r>
        <w:rPr>
          <w:rFonts w:cs="Arial"/>
          <w:bCs/>
          <w:i/>
          <w:noProof/>
          <w:szCs w:val="20"/>
          <w:lang w:val="sl-SI"/>
        </w:rPr>
        <w:t>–</w:t>
      </w:r>
      <w:r w:rsidRPr="005771BD">
        <w:rPr>
          <w:rFonts w:cs="Arial"/>
          <w:bCs/>
          <w:i/>
          <w:noProof/>
          <w:szCs w:val="20"/>
          <w:lang w:val="sl-SI"/>
        </w:rPr>
        <w:t xml:space="preserve">2014 </w:t>
      </w:r>
      <w:r w:rsidRPr="005771BD">
        <w:rPr>
          <w:rFonts w:cs="Arial"/>
          <w:bCs/>
          <w:i/>
          <w:noProof/>
          <w:szCs w:val="20"/>
          <w:lang w:val="sl-SI"/>
        </w:rPr>
        <w:br/>
      </w:r>
      <w:r w:rsidRPr="005771BD">
        <w:rPr>
          <w:rFonts w:cs="Arial"/>
          <w:bCs/>
          <w:noProof/>
          <w:sz w:val="18"/>
          <w:szCs w:val="18"/>
          <w:lang w:val="sl-SI"/>
        </w:rPr>
        <w:t xml:space="preserve">Vir: SURS </w:t>
      </w:r>
      <w:r w:rsidRPr="005771BD">
        <w:rPr>
          <w:rFonts w:cs="Arial"/>
          <w:bCs/>
          <w:noProof/>
          <w:sz w:val="18"/>
          <w:szCs w:val="18"/>
          <w:lang w:val="sl-SI"/>
        </w:rPr>
        <w:noBreakHyphen/>
        <w:t xml:space="preserve"> </w:t>
      </w:r>
      <w:r>
        <w:rPr>
          <w:rFonts w:cs="Arial"/>
          <w:bCs/>
          <w:noProof/>
          <w:sz w:val="18"/>
          <w:szCs w:val="18"/>
          <w:lang w:val="sl-SI"/>
        </w:rPr>
        <w:t>k</w:t>
      </w:r>
      <w:r w:rsidRPr="005771BD">
        <w:rPr>
          <w:rFonts w:cs="Arial"/>
          <w:bCs/>
          <w:noProof/>
          <w:sz w:val="18"/>
          <w:szCs w:val="18"/>
          <w:lang w:val="sl-SI"/>
        </w:rPr>
        <w:t>azalniki za odpadke</w:t>
      </w:r>
      <w:bookmarkEnd w:id="29"/>
    </w:p>
    <w:bookmarkEnd w:id="30"/>
    <w:p w:rsidR="002F73CD" w:rsidRPr="00CC0EE8" w:rsidRDefault="002F73CD" w:rsidP="002F73CD">
      <w:pPr>
        <w:spacing w:after="200" w:line="276" w:lineRule="auto"/>
        <w:jc w:val="both"/>
        <w:rPr>
          <w:rFonts w:cs="Arial"/>
          <w:szCs w:val="20"/>
          <w:lang w:val="sl-SI"/>
        </w:rPr>
      </w:pPr>
      <w:r w:rsidRPr="00CC0EE8">
        <w:rPr>
          <w:rFonts w:cs="Arial"/>
          <w:szCs w:val="20"/>
          <w:lang w:val="sl-SI"/>
        </w:rPr>
        <w:t>Letne količine zbranih nevarnih komunalnih odpadkov obdobju 2002</w:t>
      </w:r>
      <w:r>
        <w:rPr>
          <w:rFonts w:cs="Arial"/>
          <w:szCs w:val="20"/>
          <w:lang w:val="sl-SI"/>
        </w:rPr>
        <w:t>–</w:t>
      </w:r>
      <w:r w:rsidRPr="00CC0EE8">
        <w:rPr>
          <w:rFonts w:cs="Arial"/>
          <w:szCs w:val="20"/>
          <w:lang w:val="sl-SI"/>
        </w:rPr>
        <w:t xml:space="preserve">2014 so se povečale, kar je </w:t>
      </w:r>
      <w:r>
        <w:rPr>
          <w:rFonts w:cs="Arial"/>
          <w:szCs w:val="20"/>
          <w:lang w:val="sl-SI"/>
        </w:rPr>
        <w:t>predvsem posledica</w:t>
      </w:r>
      <w:r w:rsidRPr="00CC0EE8">
        <w:rPr>
          <w:rFonts w:cs="Arial"/>
          <w:szCs w:val="20"/>
          <w:lang w:val="sl-SI"/>
        </w:rPr>
        <w:t xml:space="preserve"> ozaveščanj</w:t>
      </w:r>
      <w:r>
        <w:rPr>
          <w:rFonts w:cs="Arial"/>
          <w:szCs w:val="20"/>
          <w:lang w:val="sl-SI"/>
        </w:rPr>
        <w:t>a</w:t>
      </w:r>
      <w:r w:rsidRPr="00CC0EE8">
        <w:rPr>
          <w:rFonts w:cs="Arial"/>
          <w:szCs w:val="20"/>
          <w:lang w:val="sl-SI"/>
        </w:rPr>
        <w:t xml:space="preserve"> prebivalcev, da nevarne odpadke zbirajo ločeno, </w:t>
      </w:r>
      <w:r>
        <w:rPr>
          <w:rFonts w:cs="Arial"/>
          <w:szCs w:val="20"/>
          <w:lang w:val="sl-SI"/>
        </w:rPr>
        <w:t xml:space="preserve">jih </w:t>
      </w:r>
      <w:r w:rsidRPr="00CC0EE8">
        <w:rPr>
          <w:rFonts w:cs="Arial"/>
          <w:szCs w:val="20"/>
          <w:lang w:val="sl-SI"/>
        </w:rPr>
        <w:t xml:space="preserve">oddajajo v zbirne centre in premične zbiralnice za nevarne odpadke, s čimer je zagotovljeno, da se tovrstni odpadki oddajo v nadaljnjo ustrezno obdelavo. </w:t>
      </w:r>
    </w:p>
    <w:p w:rsidR="002F73CD" w:rsidRPr="00CC0EE8" w:rsidRDefault="002F73CD" w:rsidP="002F73CD">
      <w:pPr>
        <w:spacing w:after="200" w:line="276" w:lineRule="auto"/>
        <w:jc w:val="both"/>
        <w:rPr>
          <w:rFonts w:cs="Arial"/>
          <w:szCs w:val="20"/>
          <w:lang w:val="sl-SI"/>
        </w:rPr>
      </w:pPr>
      <w:r w:rsidRPr="00CC0EE8">
        <w:rPr>
          <w:rFonts w:cs="Arial"/>
          <w:szCs w:val="20"/>
          <w:lang w:val="sl-SI"/>
        </w:rPr>
        <w:t>Med zbranimi nevarnimi komunalnimi odpadki v letu 2014 je največ zavržene električne in elektronske opreme, ki vsebuje nevarne snovi; embalaž</w:t>
      </w:r>
      <w:r>
        <w:rPr>
          <w:rFonts w:cs="Arial"/>
          <w:szCs w:val="20"/>
          <w:lang w:val="sl-SI"/>
        </w:rPr>
        <w:t>e</w:t>
      </w:r>
      <w:r w:rsidRPr="00CC0EE8">
        <w:rPr>
          <w:rFonts w:cs="Arial"/>
          <w:szCs w:val="20"/>
          <w:lang w:val="sl-SI"/>
        </w:rPr>
        <w:t>, ki vsebuje ostanke nevarnih snovi ali je onesnažena z nevarnimi snovmi; zavržen</w:t>
      </w:r>
      <w:r>
        <w:rPr>
          <w:rFonts w:cs="Arial"/>
          <w:szCs w:val="20"/>
          <w:lang w:val="sl-SI"/>
        </w:rPr>
        <w:t>e</w:t>
      </w:r>
      <w:r w:rsidRPr="00CC0EE8">
        <w:rPr>
          <w:rFonts w:cs="Arial"/>
          <w:szCs w:val="20"/>
          <w:lang w:val="sl-SI"/>
        </w:rPr>
        <w:t xml:space="preserve"> oprem</w:t>
      </w:r>
      <w:r>
        <w:rPr>
          <w:rFonts w:cs="Arial"/>
          <w:szCs w:val="20"/>
          <w:lang w:val="sl-SI"/>
        </w:rPr>
        <w:t>e</w:t>
      </w:r>
      <w:r w:rsidRPr="00CC0EE8">
        <w:rPr>
          <w:rFonts w:cs="Arial"/>
          <w:szCs w:val="20"/>
          <w:lang w:val="sl-SI"/>
        </w:rPr>
        <w:t>, ki vsebuje fluorokloroogljikovodike</w:t>
      </w:r>
      <w:r>
        <w:rPr>
          <w:rFonts w:cs="Arial"/>
          <w:szCs w:val="20"/>
          <w:lang w:val="sl-SI"/>
        </w:rPr>
        <w:t>,</w:t>
      </w:r>
      <w:r w:rsidRPr="00CC0EE8">
        <w:rPr>
          <w:rFonts w:cs="Arial"/>
          <w:szCs w:val="20"/>
          <w:lang w:val="sl-SI"/>
        </w:rPr>
        <w:t xml:space="preserve"> ter barv, tiskarsk</w:t>
      </w:r>
      <w:r>
        <w:rPr>
          <w:rFonts w:cs="Arial"/>
          <w:szCs w:val="20"/>
          <w:lang w:val="sl-SI"/>
        </w:rPr>
        <w:t>ih</w:t>
      </w:r>
      <w:r w:rsidRPr="00CC0EE8">
        <w:rPr>
          <w:rFonts w:cs="Arial"/>
          <w:szCs w:val="20"/>
          <w:lang w:val="sl-SI"/>
        </w:rPr>
        <w:t xml:space="preserve"> barv, lepil in smol, ki vsebujejo nevarne snovi.</w:t>
      </w:r>
    </w:p>
    <w:p w:rsidR="002F73CD" w:rsidRPr="005771BD" w:rsidRDefault="002F73CD" w:rsidP="002F73CD">
      <w:pPr>
        <w:spacing w:after="200" w:line="276" w:lineRule="auto"/>
        <w:jc w:val="both"/>
        <w:rPr>
          <w:rFonts w:cs="Arial"/>
          <w:noProof/>
          <w:szCs w:val="20"/>
          <w:lang w:val="sl-SI"/>
        </w:rPr>
      </w:pPr>
      <w:r w:rsidRPr="005771BD">
        <w:rPr>
          <w:rFonts w:cs="Arial"/>
          <w:noProof/>
          <w:szCs w:val="20"/>
          <w:lang w:val="sl-SI"/>
        </w:rPr>
        <w:t xml:space="preserve">Ravnanje s komunalnimi odpadki se izvaja v obliki obveznih občinskih gospodarskih javnih služb zbiranja določenih vrst komunalnih odpadkov, obdelave določenih vrst komunalnih odpadkov in odlaganja ostankov predelave ali odstranjevanja komunalnih odpadkov. </w:t>
      </w:r>
      <w:r>
        <w:rPr>
          <w:rFonts w:cs="Arial"/>
          <w:noProof/>
          <w:szCs w:val="20"/>
          <w:lang w:val="sl-SI"/>
        </w:rPr>
        <w:t>S</w:t>
      </w:r>
      <w:r w:rsidRPr="005771BD">
        <w:rPr>
          <w:rFonts w:cs="Arial"/>
          <w:noProof/>
          <w:szCs w:val="20"/>
          <w:lang w:val="sl-SI"/>
        </w:rPr>
        <w:t>toritve občinskih javnih služb na področju zbiranja opravlja 63 izvajalcev.</w:t>
      </w:r>
    </w:p>
    <w:p w:rsidR="002F73CD" w:rsidRPr="005771BD" w:rsidRDefault="002F73CD" w:rsidP="002F73CD">
      <w:pPr>
        <w:spacing w:after="200" w:line="276" w:lineRule="auto"/>
        <w:jc w:val="both"/>
        <w:rPr>
          <w:rFonts w:cs="Arial"/>
          <w:noProof/>
          <w:szCs w:val="20"/>
          <w:lang w:val="sl-SI"/>
        </w:rPr>
      </w:pPr>
      <w:r>
        <w:rPr>
          <w:rFonts w:cs="Arial"/>
          <w:noProof/>
          <w:szCs w:val="20"/>
          <w:lang w:val="sl-SI"/>
        </w:rPr>
        <w:t>Zaradi</w:t>
      </w:r>
      <w:r w:rsidRPr="005771BD">
        <w:rPr>
          <w:rFonts w:cs="Arial"/>
          <w:noProof/>
          <w:szCs w:val="20"/>
          <w:lang w:val="sl-SI"/>
        </w:rPr>
        <w:t xml:space="preserve"> »medobčinske« infrastrukture za mehansko biološko obdelavo mešanih komunalnih odpadkov se upravičeno pričakuje </w:t>
      </w:r>
      <w:r>
        <w:rPr>
          <w:rFonts w:cs="Arial"/>
          <w:noProof/>
          <w:szCs w:val="20"/>
          <w:lang w:val="sl-SI"/>
        </w:rPr>
        <w:t>gospodarno</w:t>
      </w:r>
      <w:r w:rsidRPr="005771BD">
        <w:rPr>
          <w:rFonts w:cs="Arial"/>
          <w:noProof/>
          <w:szCs w:val="20"/>
          <w:lang w:val="sl-SI"/>
        </w:rPr>
        <w:t xml:space="preserve"> izvajanj</w:t>
      </w:r>
      <w:r>
        <w:rPr>
          <w:rFonts w:cs="Arial"/>
          <w:noProof/>
          <w:szCs w:val="20"/>
          <w:lang w:val="sl-SI"/>
        </w:rPr>
        <w:t>e</w:t>
      </w:r>
      <w:r w:rsidRPr="005771BD">
        <w:rPr>
          <w:rFonts w:cs="Arial"/>
          <w:noProof/>
          <w:szCs w:val="20"/>
          <w:lang w:val="sl-SI"/>
        </w:rPr>
        <w:t xml:space="preserve"> javnih služb. Glede na podatke ARSO iz izdanih okoljevarstvenih dovoljenj zmogljivosti naprav za mehansko biološko obdelavo mešanih komunalnih odpadkov pred njihovim odlaganjem (naprave MBO) ob koncu leta 2015 zadoščajo za potrebe Slovenije. </w:t>
      </w:r>
    </w:p>
    <w:p w:rsidR="002F73CD" w:rsidRPr="00CC0EE8" w:rsidRDefault="002F73CD" w:rsidP="002F73CD">
      <w:pPr>
        <w:spacing w:after="200" w:line="276" w:lineRule="auto"/>
        <w:jc w:val="both"/>
        <w:rPr>
          <w:rFonts w:cs="Arial"/>
          <w:szCs w:val="20"/>
          <w:lang w:val="sl-SI"/>
        </w:rPr>
      </w:pPr>
    </w:p>
    <w:p w:rsidR="002F73CD" w:rsidRPr="00CC0EE8" w:rsidRDefault="002F73CD" w:rsidP="002F73CD">
      <w:pPr>
        <w:spacing w:after="200" w:line="276" w:lineRule="auto"/>
        <w:jc w:val="both"/>
        <w:rPr>
          <w:rFonts w:cs="Arial"/>
          <w:szCs w:val="20"/>
          <w:lang w:val="sl-SI"/>
        </w:rPr>
      </w:pPr>
      <w:r w:rsidRPr="007F272F">
        <w:rPr>
          <w:rFonts w:cs="Arial"/>
          <w:noProof/>
          <w:szCs w:val="20"/>
          <w:lang w:val="sl-SI" w:eastAsia="sl-SI"/>
        </w:rPr>
        <w:drawing>
          <wp:inline distT="0" distB="0" distL="0" distR="0" wp14:anchorId="245DE5EB" wp14:editId="414A218B">
            <wp:extent cx="4468495" cy="2646045"/>
            <wp:effectExtent l="0" t="0" r="8255" b="1905"/>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468495" cy="2646045"/>
                    </a:xfrm>
                    <a:prstGeom prst="rect">
                      <a:avLst/>
                    </a:prstGeom>
                    <a:noFill/>
                  </pic:spPr>
                </pic:pic>
              </a:graphicData>
            </a:graphic>
          </wp:inline>
        </w:drawing>
      </w:r>
    </w:p>
    <w:p w:rsidR="002F73CD" w:rsidRPr="005771BD" w:rsidRDefault="002F73CD" w:rsidP="002F73CD">
      <w:pPr>
        <w:keepNext/>
        <w:tabs>
          <w:tab w:val="left" w:pos="0"/>
          <w:tab w:val="left" w:pos="1134"/>
        </w:tabs>
        <w:spacing w:before="200" w:after="200" w:line="276" w:lineRule="auto"/>
        <w:jc w:val="both"/>
        <w:rPr>
          <w:rFonts w:cs="Arial"/>
          <w:bCs/>
          <w:noProof/>
          <w:sz w:val="16"/>
          <w:szCs w:val="16"/>
          <w:lang w:val="sl-SI"/>
        </w:rPr>
      </w:pPr>
      <w:bookmarkStart w:id="31" w:name="_Toc452023648"/>
      <w:r w:rsidRPr="005771BD">
        <w:rPr>
          <w:rFonts w:cs="Arial"/>
          <w:bCs/>
          <w:i/>
          <w:noProof/>
          <w:szCs w:val="20"/>
          <w:lang w:val="sl-SI"/>
        </w:rPr>
        <w:t xml:space="preserve">Slika </w:t>
      </w:r>
      <w:r w:rsidR="00FF4C0C">
        <w:rPr>
          <w:rFonts w:cs="Arial"/>
          <w:bCs/>
          <w:i/>
          <w:noProof/>
          <w:szCs w:val="20"/>
          <w:lang w:val="sl-SI"/>
        </w:rPr>
        <w:t>9</w:t>
      </w:r>
      <w:r w:rsidRPr="005771BD">
        <w:rPr>
          <w:rFonts w:cs="Arial"/>
          <w:bCs/>
          <w:i/>
          <w:noProof/>
          <w:szCs w:val="20"/>
          <w:lang w:val="sl-SI"/>
        </w:rPr>
        <w:t xml:space="preserve">.16: </w:t>
      </w:r>
      <w:r w:rsidRPr="005771BD">
        <w:rPr>
          <w:rFonts w:cs="Arial"/>
          <w:bCs/>
          <w:i/>
          <w:noProof/>
          <w:szCs w:val="20"/>
          <w:lang w:val="sl-SI"/>
        </w:rPr>
        <w:tab/>
        <w:t>Letna količina zbranih nevarnih komunalnih odpadkov obdobju 2002</w:t>
      </w:r>
      <w:r>
        <w:rPr>
          <w:rFonts w:cs="Arial"/>
          <w:bCs/>
          <w:i/>
          <w:noProof/>
          <w:szCs w:val="20"/>
          <w:lang w:val="sl-SI"/>
        </w:rPr>
        <w:t>–</w:t>
      </w:r>
      <w:r w:rsidRPr="005771BD">
        <w:rPr>
          <w:rFonts w:cs="Arial"/>
          <w:bCs/>
          <w:i/>
          <w:noProof/>
          <w:szCs w:val="20"/>
          <w:lang w:val="sl-SI"/>
        </w:rPr>
        <w:t xml:space="preserve">2014 </w:t>
      </w:r>
      <w:r w:rsidRPr="005771BD">
        <w:rPr>
          <w:rFonts w:cs="Arial"/>
          <w:bCs/>
          <w:i/>
          <w:noProof/>
          <w:szCs w:val="20"/>
          <w:lang w:val="sl-SI"/>
        </w:rPr>
        <w:br/>
      </w:r>
      <w:r w:rsidRPr="005771BD">
        <w:rPr>
          <w:rFonts w:cs="Arial"/>
          <w:bCs/>
          <w:noProof/>
          <w:sz w:val="16"/>
          <w:szCs w:val="16"/>
          <w:lang w:val="sl-SI"/>
        </w:rPr>
        <w:t xml:space="preserve">Vir: SURS </w:t>
      </w:r>
      <w:r w:rsidRPr="005771BD">
        <w:rPr>
          <w:rFonts w:cs="Arial"/>
          <w:bCs/>
          <w:noProof/>
          <w:sz w:val="16"/>
          <w:szCs w:val="16"/>
          <w:lang w:val="sl-SI"/>
        </w:rPr>
        <w:noBreakHyphen/>
        <w:t xml:space="preserve"> </w:t>
      </w:r>
      <w:r>
        <w:rPr>
          <w:rFonts w:cs="Arial"/>
          <w:bCs/>
          <w:noProof/>
          <w:sz w:val="16"/>
          <w:szCs w:val="16"/>
          <w:lang w:val="sl-SI"/>
        </w:rPr>
        <w:t>k</w:t>
      </w:r>
      <w:r w:rsidRPr="005771BD">
        <w:rPr>
          <w:rFonts w:cs="Arial"/>
          <w:bCs/>
          <w:noProof/>
          <w:sz w:val="16"/>
          <w:szCs w:val="16"/>
          <w:lang w:val="sl-SI"/>
        </w:rPr>
        <w:t>azalniki za odpadke</w:t>
      </w:r>
      <w:bookmarkEnd w:id="31"/>
    </w:p>
    <w:p w:rsidR="002F73CD" w:rsidRPr="005771BD" w:rsidRDefault="002F73CD" w:rsidP="002F73CD">
      <w:pPr>
        <w:spacing w:after="200" w:line="276" w:lineRule="auto"/>
        <w:jc w:val="both"/>
        <w:rPr>
          <w:rFonts w:cs="Arial"/>
          <w:noProof/>
          <w:szCs w:val="20"/>
          <w:lang w:val="sl-SI"/>
        </w:rPr>
      </w:pPr>
      <w:bookmarkStart w:id="32" w:name="_Toc321114754"/>
      <w:r w:rsidRPr="005771BD">
        <w:rPr>
          <w:rFonts w:cs="Arial"/>
          <w:noProof/>
          <w:szCs w:val="20"/>
          <w:lang w:val="sl-SI"/>
        </w:rPr>
        <w:t>Prav tako je predvidena potreba po odlaganju obdelanih mešanih komunalnih odpadkov v obdobju 2015</w:t>
      </w:r>
      <w:r>
        <w:rPr>
          <w:rFonts w:cs="Arial"/>
          <w:noProof/>
          <w:szCs w:val="20"/>
          <w:lang w:val="sl-SI"/>
        </w:rPr>
        <w:t>–</w:t>
      </w:r>
      <w:r w:rsidRPr="005771BD">
        <w:rPr>
          <w:rFonts w:cs="Arial"/>
          <w:noProof/>
          <w:szCs w:val="20"/>
          <w:lang w:val="sl-SI"/>
        </w:rPr>
        <w:t xml:space="preserve">2030 za celotno državo precej manjša od razpoložljive zmogljivosti odlaganja odpadkov na obstoječih odlagališčih v </w:t>
      </w:r>
      <w:r>
        <w:rPr>
          <w:rFonts w:cs="Arial"/>
          <w:noProof/>
          <w:szCs w:val="20"/>
          <w:lang w:val="sl-SI"/>
        </w:rPr>
        <w:t>enakem</w:t>
      </w:r>
      <w:r w:rsidRPr="005771BD">
        <w:rPr>
          <w:rFonts w:cs="Arial"/>
          <w:noProof/>
          <w:szCs w:val="20"/>
          <w:lang w:val="sl-SI"/>
        </w:rPr>
        <w:t xml:space="preserve"> obdobju. Po podatkih upravljavcev »komunalnih« odlagališč, ki obratujejo z okoljevarstvenimi dovoljenji, je</w:t>
      </w:r>
      <w:r>
        <w:rPr>
          <w:rFonts w:cs="Arial"/>
          <w:noProof/>
          <w:szCs w:val="20"/>
          <w:lang w:val="sl-SI"/>
        </w:rPr>
        <w:t xml:space="preserve"> bila</w:t>
      </w:r>
      <w:r w:rsidRPr="005771BD">
        <w:rPr>
          <w:rFonts w:cs="Arial"/>
          <w:noProof/>
          <w:szCs w:val="20"/>
          <w:lang w:val="sl-SI"/>
        </w:rPr>
        <w:t xml:space="preserve"> prosta zmogljivost na</w:t>
      </w:r>
      <w:r>
        <w:rPr>
          <w:rFonts w:cs="Arial"/>
          <w:noProof/>
          <w:szCs w:val="20"/>
          <w:lang w:val="sl-SI"/>
        </w:rPr>
        <w:t xml:space="preserve"> dan</w:t>
      </w:r>
      <w:r w:rsidRPr="005771BD">
        <w:rPr>
          <w:rFonts w:cs="Arial"/>
          <w:noProof/>
          <w:szCs w:val="20"/>
          <w:lang w:val="sl-SI"/>
        </w:rPr>
        <w:t xml:space="preserve"> 1.</w:t>
      </w:r>
      <w:r w:rsidRPr="005771BD">
        <w:rPr>
          <w:rFonts w:cs="Arial"/>
          <w:noProof/>
          <w:color w:val="333232"/>
          <w:szCs w:val="20"/>
          <w:lang w:val="sl-SI" w:eastAsia="sl-SI"/>
        </w:rPr>
        <w:t> </w:t>
      </w:r>
      <w:r>
        <w:rPr>
          <w:rFonts w:cs="Arial"/>
          <w:noProof/>
          <w:szCs w:val="20"/>
          <w:lang w:val="sl-SI"/>
        </w:rPr>
        <w:t>januar</w:t>
      </w:r>
      <w:r w:rsidRPr="005771BD">
        <w:rPr>
          <w:rFonts w:cs="Arial"/>
          <w:noProof/>
          <w:color w:val="333232"/>
          <w:szCs w:val="20"/>
          <w:lang w:val="sl-SI" w:eastAsia="sl-SI"/>
        </w:rPr>
        <w:t> </w:t>
      </w:r>
      <w:r w:rsidRPr="005771BD">
        <w:rPr>
          <w:rFonts w:cs="Arial"/>
          <w:noProof/>
          <w:szCs w:val="20"/>
          <w:lang w:val="sl-SI"/>
        </w:rPr>
        <w:t xml:space="preserve">2015 še 3.677.857 t. </w:t>
      </w:r>
      <w:r>
        <w:rPr>
          <w:rFonts w:cs="Arial"/>
          <w:noProof/>
          <w:szCs w:val="20"/>
          <w:lang w:val="sl-SI"/>
        </w:rPr>
        <w:t>Za</w:t>
      </w:r>
      <w:r w:rsidRPr="005771BD">
        <w:rPr>
          <w:rFonts w:cs="Arial"/>
          <w:noProof/>
          <w:szCs w:val="20"/>
          <w:lang w:val="sl-SI"/>
        </w:rPr>
        <w:t xml:space="preserve"> izpolnjevanj</w:t>
      </w:r>
      <w:r>
        <w:rPr>
          <w:rFonts w:cs="Arial"/>
          <w:noProof/>
          <w:szCs w:val="20"/>
          <w:lang w:val="sl-SI"/>
        </w:rPr>
        <w:t>e</w:t>
      </w:r>
      <w:r w:rsidRPr="005771BD">
        <w:rPr>
          <w:rFonts w:cs="Arial"/>
          <w:noProof/>
          <w:szCs w:val="20"/>
          <w:lang w:val="sl-SI"/>
        </w:rPr>
        <w:t xml:space="preserve"> okoljskih</w:t>
      </w:r>
      <w:r>
        <w:rPr>
          <w:rFonts w:cs="Arial"/>
          <w:noProof/>
          <w:szCs w:val="20"/>
          <w:lang w:val="sl-SI"/>
        </w:rPr>
        <w:t xml:space="preserve"> zahtev</w:t>
      </w:r>
      <w:r w:rsidRPr="005771BD">
        <w:rPr>
          <w:rFonts w:cs="Arial"/>
          <w:noProof/>
          <w:szCs w:val="20"/>
          <w:lang w:val="sl-SI"/>
        </w:rPr>
        <w:t xml:space="preserve"> potrebujemo po scenariju I za odlaganje mehansko biološko obdelanih mešanih komunalnih odpadkov v obdobju 2015</w:t>
      </w:r>
      <w:r>
        <w:rPr>
          <w:rFonts w:cs="Arial"/>
          <w:noProof/>
          <w:szCs w:val="20"/>
          <w:lang w:val="sl-SI"/>
        </w:rPr>
        <w:t>–</w:t>
      </w:r>
      <w:r w:rsidRPr="005771BD">
        <w:rPr>
          <w:rFonts w:cs="Arial"/>
          <w:noProof/>
          <w:szCs w:val="20"/>
          <w:lang w:val="sl-SI"/>
        </w:rPr>
        <w:t xml:space="preserve">2030 prostor za 1.277.169 t, po scenariju II pa 1.106.039 t. </w:t>
      </w:r>
      <w:r w:rsidRPr="005771BD">
        <w:rPr>
          <w:rFonts w:cs="Arial"/>
          <w:szCs w:val="20"/>
          <w:lang w:val="sl-SI"/>
        </w:rPr>
        <w:t>Odlaganje obdelanih mešanih komunalnih odpadkov se bo izvajalo v letu 2020 na največ devetih odlagališčih, s tem da se bo število odlagališč do leta 2030, predvsem zaradi ekonomije obsega odlaganja odpadkov, dodatno zmanjšalo na predvidoma okoli šest odlagališč.</w:t>
      </w:r>
    </w:p>
    <w:p w:rsidR="002F73CD" w:rsidRPr="005771BD" w:rsidRDefault="002F73CD" w:rsidP="002F73CD">
      <w:pPr>
        <w:spacing w:before="120" w:after="200" w:line="276" w:lineRule="auto"/>
        <w:jc w:val="both"/>
        <w:rPr>
          <w:rFonts w:eastAsia="Calibri" w:cs="Arial"/>
          <w:szCs w:val="20"/>
          <w:lang w:val="sl-SI"/>
        </w:rPr>
      </w:pPr>
      <w:r w:rsidRPr="005771BD">
        <w:rPr>
          <w:rFonts w:eastAsia="Calibri" w:cs="Arial"/>
          <w:szCs w:val="20"/>
          <w:lang w:val="sl-SI"/>
        </w:rPr>
        <w:t xml:space="preserve">Sežiganje komunalnih odpadkov je v skladu z Zakonom o varstvu okolja obvezna državna gospodarska javna služba varstva okolja, ki jo urejata </w:t>
      </w:r>
      <w:r w:rsidRPr="005771BD">
        <w:rPr>
          <w:rFonts w:cs="Arial"/>
          <w:szCs w:val="20"/>
          <w:lang w:val="sl-SI" w:eastAsia="sl-SI"/>
        </w:rPr>
        <w:t xml:space="preserve">Uredba o načinu opravljanja obvezne državne gospodarske javne službe sežiganja komunalnih odpadkov ter Uredba o načinu, predmetu in pogojih opravljanja obvezne državne gospodarske javne službe sežiganja komunalnih odpadkov na območju občin </w:t>
      </w:r>
      <w:r>
        <w:rPr>
          <w:rFonts w:cs="Arial"/>
          <w:szCs w:val="20"/>
          <w:lang w:val="sl-SI" w:eastAsia="sl-SI"/>
        </w:rPr>
        <w:t>s</w:t>
      </w:r>
      <w:r w:rsidRPr="005771BD">
        <w:rPr>
          <w:rFonts w:cs="Arial"/>
          <w:szCs w:val="20"/>
          <w:lang w:val="sl-SI" w:eastAsia="sl-SI"/>
        </w:rPr>
        <w:t>avinjske regije.</w:t>
      </w:r>
      <w:r w:rsidRPr="005771BD">
        <w:rPr>
          <w:rFonts w:eastAsia="Calibri" w:cs="Arial"/>
          <w:szCs w:val="20"/>
          <w:lang w:val="sl-SI"/>
        </w:rPr>
        <w:t xml:space="preserve"> </w:t>
      </w:r>
      <w:bookmarkEnd w:id="32"/>
      <w:r w:rsidRPr="005771BD">
        <w:rPr>
          <w:rFonts w:eastAsia="Calibri" w:cs="Arial"/>
          <w:szCs w:val="20"/>
          <w:lang w:val="sl-SI"/>
        </w:rPr>
        <w:t xml:space="preserve">Za ocenjeno potrebno energetsko predelavo 90 MW vhodne toplotne moči goriva, proizvedenega iz gorljivih frakcij komunalnih odpadkov, je v Sloveniji dovolj zmogljivosti v obratujoči sežigalnici odpadkov </w:t>
      </w:r>
      <w:r>
        <w:rPr>
          <w:rFonts w:eastAsia="Calibri" w:cs="Arial"/>
          <w:szCs w:val="20"/>
          <w:lang w:val="sl-SI"/>
        </w:rPr>
        <w:t>in</w:t>
      </w:r>
      <w:r w:rsidRPr="005771BD">
        <w:rPr>
          <w:rFonts w:eastAsia="Calibri" w:cs="Arial"/>
          <w:szCs w:val="20"/>
          <w:lang w:val="sl-SI"/>
        </w:rPr>
        <w:t xml:space="preserve"> obratujočih velikih kurilnih napravah in industrijskih pečeh, vendar teh </w:t>
      </w:r>
      <w:r>
        <w:rPr>
          <w:rFonts w:eastAsia="Calibri" w:cs="Arial"/>
          <w:szCs w:val="20"/>
          <w:lang w:val="sl-SI"/>
        </w:rPr>
        <w:t>zmogljivosti</w:t>
      </w:r>
      <w:r w:rsidRPr="005771BD">
        <w:rPr>
          <w:rFonts w:eastAsia="Calibri" w:cs="Arial"/>
          <w:szCs w:val="20"/>
          <w:lang w:val="sl-SI"/>
        </w:rPr>
        <w:t xml:space="preserve"> zaradi različnih vzrokov, kot so ureditve prostorskih načrtov, pridobitve okoljevarstvenih dovoljenj, tehničnih rešitev in družbene sprejemljivosti, v celoti ni mogoče izkoristiti v kratkem času. </w:t>
      </w:r>
      <w:r>
        <w:rPr>
          <w:rFonts w:eastAsia="Calibri" w:cs="Arial"/>
          <w:szCs w:val="20"/>
          <w:lang w:val="sl-SI"/>
        </w:rPr>
        <w:t>Zdaj v Celju</w:t>
      </w:r>
      <w:r w:rsidRPr="005771BD">
        <w:rPr>
          <w:rFonts w:eastAsia="Calibri" w:cs="Arial"/>
          <w:szCs w:val="20"/>
          <w:lang w:val="sl-SI"/>
        </w:rPr>
        <w:t xml:space="preserve"> obratuje ena naprava z zmogljivostjo 20 MW.</w:t>
      </w:r>
    </w:p>
    <w:p w:rsidR="002F73CD" w:rsidRPr="005771BD" w:rsidRDefault="002F73CD" w:rsidP="002F73CD">
      <w:pPr>
        <w:spacing w:after="200" w:line="276" w:lineRule="auto"/>
        <w:jc w:val="both"/>
        <w:rPr>
          <w:rFonts w:cs="Arial"/>
          <w:i/>
          <w:noProof/>
          <w:szCs w:val="20"/>
          <w:u w:val="single"/>
          <w:lang w:val="sl-SI"/>
        </w:rPr>
      </w:pPr>
      <w:r w:rsidRPr="005771BD">
        <w:rPr>
          <w:rFonts w:cs="Arial"/>
          <w:i/>
          <w:noProof/>
          <w:szCs w:val="20"/>
          <w:u w:val="single"/>
          <w:lang w:val="sl-SI"/>
        </w:rPr>
        <w:t>Odpadki iz proizvodne in storitvene dejavnosti</w:t>
      </w:r>
    </w:p>
    <w:p w:rsidR="002F73CD" w:rsidRPr="00CC0EE8" w:rsidRDefault="002F73CD" w:rsidP="002F73CD">
      <w:pPr>
        <w:spacing w:after="200" w:line="276" w:lineRule="auto"/>
        <w:jc w:val="both"/>
        <w:rPr>
          <w:rFonts w:cs="Arial"/>
          <w:szCs w:val="20"/>
          <w:lang w:val="sl-SI" w:eastAsia="sl-SI"/>
        </w:rPr>
      </w:pPr>
      <w:r w:rsidRPr="00CC0EE8">
        <w:rPr>
          <w:rFonts w:cs="Arial"/>
          <w:szCs w:val="20"/>
          <w:lang w:val="sl-SI" w:eastAsia="sl-SI"/>
        </w:rPr>
        <w:t xml:space="preserve">V proizvodnih in storitvenih dejavnostih nastajajo za predelavo sprejemljivi odpadki, kamor so vključeni tisti, ki nastajajo pri opravljanju dejavnosti v industriji, trgovini, kmetijstvu, gozdarstvu, storitvenih dejavnostih in javnem sektorju. Skupna značilnost teh odpadkov je, da so ločeno zbrani že na izvoru in usmerjeni v nadaljnje recikliranje ali predelavo. Večina za predelavo sprejemljivih odpadkov nastaja v trgovini in industriji, manj pa v kmetijstvu in gozdarstvu ter pri opravljanju storitvenih dejavnostih in v javnem sektorju. Za predelavo sprejemljivi odpadki so raznoliki in se razlikujejo tako po vrsti, sestavi, kraju nastajanja kot po načinu zbiranja. </w:t>
      </w:r>
    </w:p>
    <w:p w:rsidR="002F73CD" w:rsidRPr="005771BD" w:rsidRDefault="002F73CD" w:rsidP="002F73CD">
      <w:pPr>
        <w:spacing w:after="200" w:line="276" w:lineRule="auto"/>
        <w:jc w:val="both"/>
        <w:rPr>
          <w:rFonts w:eastAsia="Calibri" w:cs="Arial"/>
          <w:szCs w:val="20"/>
          <w:lang w:val="sl-SI"/>
        </w:rPr>
      </w:pPr>
      <w:r w:rsidRPr="005771BD">
        <w:rPr>
          <w:rFonts w:eastAsia="Calibri" w:cs="Arial"/>
          <w:szCs w:val="20"/>
          <w:lang w:val="sl-SI"/>
        </w:rPr>
        <w:t xml:space="preserve">Glede na maso </w:t>
      </w:r>
      <w:r>
        <w:rPr>
          <w:rFonts w:eastAsia="Calibri" w:cs="Arial"/>
          <w:szCs w:val="20"/>
          <w:lang w:val="sl-SI"/>
        </w:rPr>
        <w:t>so</w:t>
      </w:r>
      <w:r w:rsidRPr="005771BD">
        <w:rPr>
          <w:rFonts w:eastAsia="Calibri" w:cs="Arial"/>
          <w:szCs w:val="20"/>
          <w:lang w:val="sl-SI"/>
        </w:rPr>
        <w:t xml:space="preserve"> odpadn</w:t>
      </w:r>
      <w:r>
        <w:rPr>
          <w:rFonts w:eastAsia="Calibri" w:cs="Arial"/>
          <w:szCs w:val="20"/>
          <w:lang w:val="sl-SI"/>
        </w:rPr>
        <w:t>e</w:t>
      </w:r>
      <w:r w:rsidRPr="005771BD">
        <w:rPr>
          <w:rFonts w:eastAsia="Calibri" w:cs="Arial"/>
          <w:szCs w:val="20"/>
          <w:lang w:val="sl-SI"/>
        </w:rPr>
        <w:t xml:space="preserve"> železn</w:t>
      </w:r>
      <w:r>
        <w:rPr>
          <w:rFonts w:eastAsia="Calibri" w:cs="Arial"/>
          <w:szCs w:val="20"/>
          <w:lang w:val="sl-SI"/>
        </w:rPr>
        <w:t>e</w:t>
      </w:r>
      <w:r w:rsidRPr="005771BD">
        <w:rPr>
          <w:rFonts w:eastAsia="Calibri" w:cs="Arial"/>
          <w:szCs w:val="20"/>
          <w:lang w:val="sl-SI"/>
        </w:rPr>
        <w:t xml:space="preserve"> in barvn</w:t>
      </w:r>
      <w:r>
        <w:rPr>
          <w:rFonts w:eastAsia="Calibri" w:cs="Arial"/>
          <w:szCs w:val="20"/>
          <w:lang w:val="sl-SI"/>
        </w:rPr>
        <w:t>e</w:t>
      </w:r>
      <w:r w:rsidRPr="005771BD">
        <w:rPr>
          <w:rFonts w:eastAsia="Calibri" w:cs="Arial"/>
          <w:szCs w:val="20"/>
          <w:lang w:val="sl-SI"/>
        </w:rPr>
        <w:t xml:space="preserve"> kovin</w:t>
      </w:r>
      <w:r>
        <w:rPr>
          <w:rFonts w:eastAsia="Calibri" w:cs="Arial"/>
          <w:szCs w:val="20"/>
          <w:lang w:val="sl-SI"/>
        </w:rPr>
        <w:t>e</w:t>
      </w:r>
      <w:r w:rsidRPr="005771BD">
        <w:rPr>
          <w:rFonts w:eastAsia="Calibri" w:cs="Arial"/>
          <w:szCs w:val="20"/>
          <w:lang w:val="sl-SI"/>
        </w:rPr>
        <w:t xml:space="preserve"> najpomembnejši tok za predelavo sprejemljivih odpadkov iz opravljanja dejavnosti, ki predstavlja v povprečju nekaj več kot 60 % celotne količine tovrstnih odpadkov.</w:t>
      </w:r>
    </w:p>
    <w:p w:rsidR="002F73CD" w:rsidRPr="005771BD" w:rsidRDefault="002F73CD" w:rsidP="002F73CD">
      <w:pPr>
        <w:spacing w:after="200" w:line="276" w:lineRule="auto"/>
        <w:jc w:val="both"/>
        <w:rPr>
          <w:rFonts w:eastAsia="Calibri" w:cs="Arial"/>
          <w:szCs w:val="20"/>
          <w:lang w:val="sl-SI"/>
        </w:rPr>
      </w:pPr>
      <w:r w:rsidRPr="005771BD">
        <w:rPr>
          <w:rFonts w:eastAsia="Calibri" w:cs="Arial"/>
          <w:szCs w:val="20"/>
          <w:lang w:val="sl-SI"/>
        </w:rPr>
        <w:t xml:space="preserve">Približno 47 % </w:t>
      </w:r>
      <w:r>
        <w:rPr>
          <w:rFonts w:eastAsia="Calibri" w:cs="Arial"/>
          <w:szCs w:val="20"/>
          <w:lang w:val="sl-SI"/>
        </w:rPr>
        <w:t>vseh za</w:t>
      </w:r>
      <w:r w:rsidRPr="005771BD">
        <w:rPr>
          <w:rFonts w:eastAsia="Calibri" w:cs="Arial"/>
          <w:szCs w:val="20"/>
          <w:lang w:val="sl-SI"/>
        </w:rPr>
        <w:t xml:space="preserve"> predelavo sprejemljivih odpadkov iz opravljanja dejavnosti s</w:t>
      </w:r>
      <w:r>
        <w:rPr>
          <w:rFonts w:eastAsia="Calibri" w:cs="Arial"/>
          <w:szCs w:val="20"/>
          <w:lang w:val="sl-SI"/>
        </w:rPr>
        <w:t>o</w:t>
      </w:r>
      <w:r w:rsidRPr="005771BD">
        <w:rPr>
          <w:rFonts w:eastAsia="Calibri" w:cs="Arial"/>
          <w:szCs w:val="20"/>
          <w:lang w:val="sl-SI"/>
        </w:rPr>
        <w:t xml:space="preserve"> odpadne kovine. Odpadno železo in jeklo nastajata večinoma kot odpadek v jeklarnah, odpadno jeklo v industrijski proizvodnji ali kot ostanki odpadnega jekla iz proizvodnje jeklenih izdelkov, ki jih ni mogoče več predelati. Odpadna kovinska embalaža vključuje pločevinke, sode, pločevinaste bobne, vedra, jeklenke, trakove, zaponke itd., izdelane iz različnih materialov, kot so črna pločevina, jeklo ali nerjavno jeklo.</w:t>
      </w:r>
    </w:p>
    <w:p w:rsidR="002F73CD" w:rsidRPr="005771BD" w:rsidRDefault="002F73CD" w:rsidP="002F73CD">
      <w:pPr>
        <w:spacing w:after="200" w:line="276" w:lineRule="auto"/>
        <w:jc w:val="both"/>
        <w:rPr>
          <w:rFonts w:eastAsia="Calibri" w:cs="Arial"/>
          <w:szCs w:val="20"/>
          <w:lang w:val="sl-SI"/>
        </w:rPr>
      </w:pPr>
      <w:r w:rsidRPr="005771BD">
        <w:rPr>
          <w:rFonts w:eastAsia="Calibri" w:cs="Arial"/>
          <w:szCs w:val="20"/>
          <w:lang w:val="sl-SI"/>
        </w:rPr>
        <w:t xml:space="preserve">Približno 20 % </w:t>
      </w:r>
      <w:r>
        <w:rPr>
          <w:rFonts w:eastAsia="Calibri" w:cs="Arial"/>
          <w:szCs w:val="20"/>
          <w:lang w:val="sl-SI"/>
        </w:rPr>
        <w:t>vseh</w:t>
      </w:r>
      <w:r w:rsidRPr="005771BD">
        <w:rPr>
          <w:rFonts w:eastAsia="Calibri" w:cs="Arial"/>
          <w:szCs w:val="20"/>
          <w:lang w:val="sl-SI"/>
        </w:rPr>
        <w:t xml:space="preserve"> za predelavo sprejemljivih odpadkov iz opravljanja dejavnosti sestavljajo odpadni papir, karton in valovita lepenka. </w:t>
      </w:r>
    </w:p>
    <w:p w:rsidR="002F73CD" w:rsidRPr="005771BD" w:rsidRDefault="002F73CD" w:rsidP="002F73CD">
      <w:pPr>
        <w:spacing w:after="200" w:line="276" w:lineRule="auto"/>
        <w:jc w:val="both"/>
        <w:rPr>
          <w:rFonts w:eastAsia="Calibri" w:cs="Arial"/>
          <w:szCs w:val="20"/>
          <w:lang w:val="sl-SI"/>
        </w:rPr>
      </w:pPr>
      <w:r w:rsidRPr="005771BD">
        <w:rPr>
          <w:rFonts w:eastAsia="Calibri" w:cs="Arial"/>
          <w:szCs w:val="20"/>
          <w:lang w:val="sl-SI"/>
        </w:rPr>
        <w:t xml:space="preserve">Približno 10 % je embalaže iz stekla in ravnega stekla. Odpadna steklena embalaža se pošilja </w:t>
      </w:r>
      <w:r>
        <w:rPr>
          <w:rFonts w:eastAsia="Calibri" w:cs="Arial"/>
          <w:szCs w:val="20"/>
          <w:lang w:val="sl-SI"/>
        </w:rPr>
        <w:t>v</w:t>
      </w:r>
      <w:r w:rsidRPr="005771BD">
        <w:rPr>
          <w:rFonts w:eastAsia="Calibri" w:cs="Arial"/>
          <w:szCs w:val="20"/>
          <w:lang w:val="sl-SI"/>
        </w:rPr>
        <w:t xml:space="preserve"> predelavo za pridobivanj</w:t>
      </w:r>
      <w:r>
        <w:rPr>
          <w:rFonts w:eastAsia="Calibri" w:cs="Arial"/>
          <w:szCs w:val="20"/>
          <w:lang w:val="sl-SI"/>
        </w:rPr>
        <w:t>e</w:t>
      </w:r>
      <w:r w:rsidRPr="005771BD">
        <w:rPr>
          <w:rFonts w:eastAsia="Calibri" w:cs="Arial"/>
          <w:szCs w:val="20"/>
          <w:lang w:val="sl-SI"/>
        </w:rPr>
        <w:t xml:space="preserve"> materiala in izdelavo novih izdelkov iz stekla. Odpadno ravno steklo je mogoče reciklirati le v steklena vlakna, predvsem za toplotno izolacijo; edina druga možnost je odlaganje na odlagališčih. </w:t>
      </w:r>
    </w:p>
    <w:p w:rsidR="002F73CD" w:rsidRPr="005771BD" w:rsidRDefault="002F73CD" w:rsidP="002F73CD">
      <w:pPr>
        <w:spacing w:after="200" w:line="276" w:lineRule="auto"/>
        <w:jc w:val="both"/>
        <w:rPr>
          <w:rFonts w:cs="Arial"/>
          <w:szCs w:val="20"/>
          <w:lang w:val="sl-SI"/>
        </w:rPr>
      </w:pPr>
      <w:r w:rsidRPr="005771BD">
        <w:rPr>
          <w:rFonts w:eastAsia="Calibri" w:cs="Arial"/>
          <w:szCs w:val="20"/>
          <w:lang w:val="sl-SI"/>
        </w:rPr>
        <w:t>Približno 22</w:t>
      </w:r>
      <w:r>
        <w:rPr>
          <w:rFonts w:eastAsia="Calibri" w:cs="Arial"/>
          <w:szCs w:val="20"/>
          <w:lang w:val="sl-SI"/>
        </w:rPr>
        <w:t xml:space="preserve"> </w:t>
      </w:r>
      <w:r w:rsidRPr="005771BD">
        <w:rPr>
          <w:rFonts w:eastAsia="Calibri" w:cs="Arial"/>
          <w:szCs w:val="20"/>
          <w:lang w:val="sl-SI"/>
        </w:rPr>
        <w:t xml:space="preserve">% je odpadne plastike, ki vključuje poleg odpadne plastične embalaže tudi tovrstne odpadke iz proizvodnje plastike, </w:t>
      </w:r>
      <w:r w:rsidRPr="005771BD">
        <w:rPr>
          <w:rFonts w:cs="Arial"/>
          <w:szCs w:val="20"/>
          <w:lang w:val="sl-SI"/>
        </w:rPr>
        <w:t>postopkov oblikovanja, fizikalne in mehanske površinske obdelave ter odpadno plastiko iz kmetijstva</w:t>
      </w:r>
      <w:r>
        <w:rPr>
          <w:rFonts w:cs="Arial"/>
          <w:szCs w:val="20"/>
          <w:lang w:val="sl-SI"/>
        </w:rPr>
        <w:t xml:space="preserve"> in</w:t>
      </w:r>
      <w:r w:rsidRPr="005771BD">
        <w:rPr>
          <w:rFonts w:cs="Arial"/>
          <w:szCs w:val="20"/>
          <w:lang w:val="sl-SI"/>
        </w:rPr>
        <w:t xml:space="preserve"> vrtnarstva. </w:t>
      </w:r>
      <w:r w:rsidRPr="005771BD">
        <w:rPr>
          <w:rFonts w:eastAsia="Calibri" w:cs="Arial"/>
          <w:szCs w:val="20"/>
          <w:lang w:val="sl-SI"/>
        </w:rPr>
        <w:t>Odpadna plastika se večinoma</w:t>
      </w:r>
      <w:r>
        <w:rPr>
          <w:rFonts w:eastAsia="Calibri" w:cs="Arial"/>
          <w:szCs w:val="20"/>
          <w:lang w:val="sl-SI"/>
        </w:rPr>
        <w:t xml:space="preserve"> </w:t>
      </w:r>
      <w:r w:rsidRPr="005771BD">
        <w:rPr>
          <w:rFonts w:eastAsia="Calibri" w:cs="Arial"/>
          <w:szCs w:val="20"/>
          <w:lang w:val="sl-SI"/>
        </w:rPr>
        <w:t>reciklira. Pomemben odstotek odpadne plastike, ki je ni mogoče reciklirati, in plastični ostanki iz recikliranja se t</w:t>
      </w:r>
      <w:r>
        <w:rPr>
          <w:rFonts w:eastAsia="Calibri" w:cs="Arial"/>
          <w:szCs w:val="20"/>
          <w:lang w:val="sl-SI"/>
        </w:rPr>
        <w:t>oplotno</w:t>
      </w:r>
      <w:r w:rsidRPr="005771BD">
        <w:rPr>
          <w:rFonts w:eastAsia="Calibri" w:cs="Arial"/>
          <w:szCs w:val="20"/>
          <w:lang w:val="sl-SI"/>
        </w:rPr>
        <w:t xml:space="preserve"> obdelajo zaradi pridobivanja njihove energetske vrednosti, v manj</w:t>
      </w:r>
      <w:r>
        <w:rPr>
          <w:rFonts w:eastAsia="Calibri" w:cs="Arial"/>
          <w:szCs w:val="20"/>
          <w:lang w:val="sl-SI"/>
        </w:rPr>
        <w:t>šem obsegu</w:t>
      </w:r>
      <w:r w:rsidRPr="005771BD">
        <w:rPr>
          <w:rFonts w:eastAsia="Calibri" w:cs="Arial"/>
          <w:szCs w:val="20"/>
          <w:lang w:val="sl-SI"/>
        </w:rPr>
        <w:t xml:space="preserve"> pa se tudi odlagajo.</w:t>
      </w:r>
    </w:p>
    <w:p w:rsidR="002F73CD" w:rsidRPr="00CC0EE8" w:rsidRDefault="002F73CD" w:rsidP="002F73CD">
      <w:pPr>
        <w:keepNext/>
        <w:numPr>
          <w:ilvl w:val="1"/>
          <w:numId w:val="0"/>
        </w:numPr>
        <w:spacing w:after="200" w:line="276" w:lineRule="auto"/>
        <w:ind w:left="680" w:hanging="680"/>
        <w:jc w:val="both"/>
        <w:outlineLvl w:val="1"/>
        <w:rPr>
          <w:rFonts w:cs="Arial"/>
          <w:bCs/>
          <w:i/>
          <w:szCs w:val="20"/>
          <w:u w:val="single"/>
          <w:lang w:val="sl-SI"/>
        </w:rPr>
      </w:pPr>
      <w:r w:rsidRPr="00CC0EE8">
        <w:rPr>
          <w:rFonts w:cs="Arial"/>
          <w:bCs/>
          <w:i/>
          <w:szCs w:val="20"/>
          <w:u w:val="single"/>
          <w:lang w:val="sl-SI"/>
        </w:rPr>
        <w:t>Nenevarni odpadki mineralnega izvora</w:t>
      </w:r>
    </w:p>
    <w:p w:rsidR="002F73CD" w:rsidRPr="00CC0EE8" w:rsidRDefault="002F73CD" w:rsidP="002F73CD">
      <w:pPr>
        <w:spacing w:line="276" w:lineRule="auto"/>
        <w:jc w:val="both"/>
        <w:rPr>
          <w:rFonts w:cs="Arial"/>
          <w:szCs w:val="20"/>
          <w:lang w:val="sl-SI" w:eastAsia="sl-SI"/>
        </w:rPr>
      </w:pPr>
      <w:r w:rsidRPr="00CC0EE8">
        <w:rPr>
          <w:rFonts w:cs="Arial"/>
          <w:szCs w:val="20"/>
          <w:lang w:val="sl-SI" w:eastAsia="sl-SI"/>
        </w:rPr>
        <w:t>Med nenevarne odpadke mineralnega izvora, ki se večinoma zbirajo ločeno, so odpadki iz železarske in jeklarske industrije, term</w:t>
      </w:r>
      <w:r>
        <w:rPr>
          <w:rFonts w:cs="Arial"/>
          <w:szCs w:val="20"/>
          <w:lang w:val="sl-SI" w:eastAsia="sl-SI"/>
        </w:rPr>
        <w:t>o</w:t>
      </w:r>
      <w:r w:rsidRPr="00CC0EE8">
        <w:rPr>
          <w:rFonts w:cs="Arial"/>
          <w:szCs w:val="20"/>
          <w:lang w:val="sl-SI" w:eastAsia="sl-SI"/>
        </w:rPr>
        <w:t>metalurgije aluminija, metalurgije cinka, metalurgije bakra, metalurgije drugih barvnih kovin, livarn, proizvodnje stekla, proizvodnje opek in keramike, proizvodnje cementa, apna in sadre. Vrste odpadkov, ki nasta</w:t>
      </w:r>
      <w:r>
        <w:rPr>
          <w:rFonts w:cs="Arial"/>
          <w:szCs w:val="20"/>
          <w:lang w:val="sl-SI" w:eastAsia="sl-SI"/>
        </w:rPr>
        <w:t>ja</w:t>
      </w:r>
      <w:r w:rsidRPr="00CC0EE8">
        <w:rPr>
          <w:rFonts w:cs="Arial"/>
          <w:szCs w:val="20"/>
          <w:lang w:val="sl-SI" w:eastAsia="sl-SI"/>
        </w:rPr>
        <w:t>jo v prej naštetih industrijskih panogah</w:t>
      </w:r>
      <w:r>
        <w:rPr>
          <w:rFonts w:cs="Arial"/>
          <w:szCs w:val="20"/>
          <w:lang w:val="sl-SI" w:eastAsia="sl-SI"/>
        </w:rPr>
        <w:t>,</w:t>
      </w:r>
      <w:r w:rsidRPr="00CC0EE8">
        <w:rPr>
          <w:rFonts w:cs="Arial"/>
          <w:szCs w:val="20"/>
          <w:lang w:val="sl-SI" w:eastAsia="sl-SI"/>
        </w:rPr>
        <w:t xml:space="preserve"> so :</w:t>
      </w:r>
    </w:p>
    <w:p w:rsidR="002F73CD" w:rsidRPr="005771BD" w:rsidRDefault="002F73CD" w:rsidP="002F73CD">
      <w:pPr>
        <w:numPr>
          <w:ilvl w:val="0"/>
          <w:numId w:val="35"/>
        </w:numPr>
        <w:tabs>
          <w:tab w:val="left" w:pos="284"/>
        </w:tabs>
        <w:spacing w:before="60" w:line="276" w:lineRule="auto"/>
        <w:ind w:left="284" w:hanging="284"/>
        <w:jc w:val="both"/>
        <w:rPr>
          <w:rFonts w:eastAsia="Calibri" w:cs="Arial"/>
          <w:szCs w:val="20"/>
          <w:lang w:val="sl-SI"/>
        </w:rPr>
      </w:pPr>
      <w:r w:rsidRPr="005771BD">
        <w:rPr>
          <w:rFonts w:eastAsia="Calibri" w:cs="Arial"/>
          <w:szCs w:val="20"/>
          <w:lang w:val="sl-SI"/>
        </w:rPr>
        <w:t>metalurške žlindre, prah plavžne žlindre, žlindra iz konverterskih peči, prah, pepel in žlindra iz proizvodnje železa in jekla ter drugih postopkov taljenja, prah plavžnih plinov, železov oksid itd.;</w:t>
      </w:r>
    </w:p>
    <w:p w:rsidR="002F73CD" w:rsidRPr="005771BD" w:rsidRDefault="002F73CD" w:rsidP="002F73CD">
      <w:pPr>
        <w:numPr>
          <w:ilvl w:val="0"/>
          <w:numId w:val="35"/>
        </w:numPr>
        <w:tabs>
          <w:tab w:val="left" w:pos="284"/>
        </w:tabs>
        <w:spacing w:before="60" w:line="276" w:lineRule="auto"/>
        <w:ind w:left="284" w:hanging="284"/>
        <w:jc w:val="both"/>
        <w:rPr>
          <w:rFonts w:eastAsia="Calibri" w:cs="Arial"/>
          <w:szCs w:val="20"/>
          <w:lang w:val="sl-SI"/>
        </w:rPr>
      </w:pPr>
      <w:r w:rsidRPr="005771BD">
        <w:rPr>
          <w:rFonts w:eastAsia="Calibri" w:cs="Arial"/>
          <w:szCs w:val="20"/>
          <w:lang w:val="sl-SI"/>
        </w:rPr>
        <w:t>drugi trdni mineralni odpadki (brez gradbenih odpadkov in odpadkov iz rušenja, izkopnih materialov in odpadnega stekla): premogov prah, praškasti odpadki iz predelave žlindre, izrabljeni filtri in absorpcijske mase, sadra itd.;</w:t>
      </w:r>
    </w:p>
    <w:p w:rsidR="002F73CD" w:rsidRPr="005771BD" w:rsidRDefault="002F73CD" w:rsidP="002F73CD">
      <w:pPr>
        <w:numPr>
          <w:ilvl w:val="0"/>
          <w:numId w:val="35"/>
        </w:numPr>
        <w:tabs>
          <w:tab w:val="left" w:pos="284"/>
        </w:tabs>
        <w:spacing w:before="60" w:line="276" w:lineRule="auto"/>
        <w:ind w:left="284" w:hanging="284"/>
        <w:jc w:val="both"/>
        <w:rPr>
          <w:rFonts w:eastAsia="Calibri" w:cs="Arial"/>
          <w:szCs w:val="20"/>
          <w:lang w:val="sl-SI"/>
        </w:rPr>
      </w:pPr>
      <w:r w:rsidRPr="005771BD">
        <w:rPr>
          <w:rFonts w:eastAsia="Calibri" w:cs="Arial"/>
          <w:szCs w:val="20"/>
          <w:lang w:val="sl-SI"/>
        </w:rPr>
        <w:t>mineralna blata: zemlja pri čiščenju in pranju sladkorne pese, mulji iz dekarbonacije, blato iz zemlje in peska, blato iz mavca, blato iz proizvodnje betona, cementa, malte in apna itd;</w:t>
      </w:r>
    </w:p>
    <w:p w:rsidR="002F73CD" w:rsidRPr="005771BD" w:rsidRDefault="002F73CD" w:rsidP="002F73CD">
      <w:pPr>
        <w:numPr>
          <w:ilvl w:val="0"/>
          <w:numId w:val="35"/>
        </w:numPr>
        <w:tabs>
          <w:tab w:val="left" w:pos="284"/>
        </w:tabs>
        <w:spacing w:before="60" w:after="240" w:line="276" w:lineRule="auto"/>
        <w:ind w:left="284" w:hanging="284"/>
        <w:jc w:val="both"/>
        <w:rPr>
          <w:rFonts w:eastAsia="Calibri" w:cs="Arial"/>
          <w:szCs w:val="20"/>
          <w:lang w:val="sl-SI"/>
        </w:rPr>
      </w:pPr>
      <w:r w:rsidRPr="005771BD">
        <w:rPr>
          <w:rFonts w:eastAsia="Calibri" w:cs="Arial"/>
          <w:szCs w:val="20"/>
          <w:lang w:val="sl-SI"/>
        </w:rPr>
        <w:t>izrabljene obloge, odpadki iz plavžev in livarn: izrabljene obloge iz metalurških in nemetalurških procesov, plavžni in livarski odpadki itd.</w:t>
      </w:r>
    </w:p>
    <w:p w:rsidR="002F73CD" w:rsidRPr="005771BD" w:rsidRDefault="002F73CD" w:rsidP="002F73CD">
      <w:pPr>
        <w:spacing w:after="200" w:line="276" w:lineRule="auto"/>
        <w:jc w:val="both"/>
        <w:rPr>
          <w:rFonts w:eastAsia="Calibri" w:cs="Arial"/>
          <w:szCs w:val="20"/>
          <w:lang w:val="sl-SI"/>
        </w:rPr>
      </w:pPr>
      <w:r w:rsidRPr="005771BD">
        <w:rPr>
          <w:rFonts w:eastAsia="Calibri" w:cs="Arial"/>
          <w:szCs w:val="20"/>
          <w:lang w:val="sl-SI"/>
        </w:rPr>
        <w:t>Količine nastalih nenevarnih odpadkov mineralnega izvora v obdobju 2006</w:t>
      </w:r>
      <w:r>
        <w:rPr>
          <w:rFonts w:eastAsia="Calibri" w:cs="Arial"/>
          <w:szCs w:val="20"/>
          <w:lang w:val="sl-SI"/>
        </w:rPr>
        <w:t>–</w:t>
      </w:r>
      <w:r w:rsidRPr="005771BD">
        <w:rPr>
          <w:rFonts w:eastAsia="Calibri" w:cs="Arial"/>
          <w:szCs w:val="20"/>
          <w:lang w:val="sl-SI"/>
        </w:rPr>
        <w:t>2014 se gibljejo od 255.423 ton do 169.308 ton. Količine odpadkov so se do leta 2011 povečevale, razen v letu 2009 je bil</w:t>
      </w:r>
      <w:r>
        <w:rPr>
          <w:rFonts w:eastAsia="Calibri" w:cs="Arial"/>
          <w:szCs w:val="20"/>
          <w:lang w:val="sl-SI"/>
        </w:rPr>
        <w:t>a</w:t>
      </w:r>
      <w:r w:rsidRPr="005771BD">
        <w:rPr>
          <w:rFonts w:eastAsia="Calibri" w:cs="Arial"/>
          <w:szCs w:val="20"/>
          <w:lang w:val="sl-SI"/>
        </w:rPr>
        <w:t xml:space="preserve"> količina</w:t>
      </w:r>
      <w:r>
        <w:rPr>
          <w:rFonts w:eastAsia="Calibri" w:cs="Arial"/>
          <w:szCs w:val="20"/>
          <w:lang w:val="sl-SI"/>
        </w:rPr>
        <w:t xml:space="preserve"> manjša</w:t>
      </w:r>
      <w:r w:rsidRPr="005771BD">
        <w:rPr>
          <w:rFonts w:eastAsia="Calibri" w:cs="Arial"/>
          <w:szCs w:val="20"/>
          <w:lang w:val="sl-SI"/>
        </w:rPr>
        <w:t xml:space="preserve">, po letu 2011 pa se trend količine teh odpadkov nadaljuje. Vzroki za takšna nihanja so predvsem odvisna od gospodarskih razmer </w:t>
      </w:r>
      <w:r>
        <w:rPr>
          <w:rFonts w:eastAsia="Calibri" w:cs="Arial"/>
          <w:szCs w:val="20"/>
          <w:lang w:val="sl-SI"/>
        </w:rPr>
        <w:t>in</w:t>
      </w:r>
      <w:r w:rsidRPr="005771BD">
        <w:rPr>
          <w:rFonts w:eastAsia="Calibri" w:cs="Arial"/>
          <w:szCs w:val="20"/>
          <w:lang w:val="sl-SI"/>
        </w:rPr>
        <w:t xml:space="preserve"> optimizacije proizvodnih procesov. </w:t>
      </w:r>
    </w:p>
    <w:p w:rsidR="002F73CD" w:rsidRPr="00CC0EE8" w:rsidRDefault="002F73CD" w:rsidP="002F73CD">
      <w:pPr>
        <w:keepNext/>
        <w:numPr>
          <w:ilvl w:val="1"/>
          <w:numId w:val="0"/>
        </w:numPr>
        <w:spacing w:after="200" w:line="276" w:lineRule="auto"/>
        <w:ind w:left="680" w:hanging="680"/>
        <w:jc w:val="both"/>
        <w:outlineLvl w:val="1"/>
        <w:rPr>
          <w:rFonts w:cs="Arial"/>
          <w:bCs/>
          <w:i/>
          <w:szCs w:val="20"/>
          <w:u w:val="single"/>
          <w:lang w:val="sl-SI"/>
        </w:rPr>
      </w:pPr>
      <w:r w:rsidRPr="00CC0EE8">
        <w:rPr>
          <w:rFonts w:cs="Arial"/>
          <w:bCs/>
          <w:i/>
          <w:szCs w:val="20"/>
          <w:u w:val="single"/>
          <w:lang w:val="sl-SI"/>
        </w:rPr>
        <w:t>Odpadki iz proizvodnje hrane in pijač</w:t>
      </w:r>
    </w:p>
    <w:p w:rsidR="002F73CD" w:rsidRPr="005771BD" w:rsidRDefault="002F73CD" w:rsidP="002F73CD">
      <w:pPr>
        <w:spacing w:after="200" w:line="276" w:lineRule="auto"/>
        <w:jc w:val="both"/>
        <w:rPr>
          <w:rFonts w:eastAsia="Calibri" w:cs="Arial"/>
          <w:strike/>
          <w:szCs w:val="20"/>
          <w:lang w:val="sl-SI"/>
        </w:rPr>
      </w:pPr>
      <w:r w:rsidRPr="005771BD">
        <w:rPr>
          <w:rFonts w:eastAsia="Calibri" w:cs="Arial"/>
          <w:szCs w:val="20"/>
          <w:lang w:val="sl-SI"/>
        </w:rPr>
        <w:t xml:space="preserve">Največ tovrstnih odpadkov izvira iz kmetijstva, vrtnarstva, ribogojstva, gozdarstva, lova in ribištva ter </w:t>
      </w:r>
      <w:r w:rsidRPr="005771BD">
        <w:rPr>
          <w:rFonts w:eastAsia="BBBKJF+ArialMT" w:cs="Arial"/>
          <w:szCs w:val="20"/>
          <w:lang w:val="sl-SI"/>
        </w:rPr>
        <w:t xml:space="preserve">priprave in predelave mesa, rib in drugih živil živalskega izvora. Najpogostejši odpadki v tej skupini so </w:t>
      </w:r>
      <w:r w:rsidRPr="005771BD">
        <w:rPr>
          <w:rFonts w:eastAsia="Calibri" w:cs="Arial"/>
          <w:szCs w:val="20"/>
          <w:lang w:val="sl-SI"/>
        </w:rPr>
        <w:t>mešanice rastlinskih in živalskih ostankov, hrana, zavržena skupaj z embalažo, prah iz obdelave in skladiščenja zrn žitaric, rezanci sladkorne pese, porabljeni slad in melasa ter drugi nenevarni organski odpadki. Te odpadke je treba skoraj v celoti reciklirati oziroma drugače predelati, saj je tovrstne neobdelane odpadke prepovedano odlagati na odlagališčih.</w:t>
      </w:r>
    </w:p>
    <w:p w:rsidR="002F73CD" w:rsidRPr="00CC0EE8" w:rsidRDefault="002F73CD" w:rsidP="002F73CD">
      <w:pPr>
        <w:keepNext/>
        <w:numPr>
          <w:ilvl w:val="1"/>
          <w:numId w:val="0"/>
        </w:numPr>
        <w:spacing w:after="200" w:line="276" w:lineRule="auto"/>
        <w:ind w:left="680" w:hanging="680"/>
        <w:jc w:val="both"/>
        <w:outlineLvl w:val="1"/>
        <w:rPr>
          <w:rFonts w:cs="Arial"/>
          <w:bCs/>
          <w:i/>
          <w:szCs w:val="20"/>
          <w:u w:val="single"/>
          <w:lang w:val="sl-SI"/>
        </w:rPr>
      </w:pPr>
      <w:r w:rsidRPr="00CC0EE8">
        <w:rPr>
          <w:rFonts w:cs="Arial"/>
          <w:bCs/>
          <w:i/>
          <w:szCs w:val="20"/>
          <w:u w:val="single"/>
          <w:lang w:val="sl-SI"/>
        </w:rPr>
        <w:t xml:space="preserve">Trdni odpadki iz kurilnih naprav </w:t>
      </w:r>
    </w:p>
    <w:p w:rsidR="002F73CD" w:rsidRPr="005771BD" w:rsidRDefault="002F73CD" w:rsidP="002F73CD">
      <w:pPr>
        <w:spacing w:after="200" w:line="276" w:lineRule="auto"/>
        <w:jc w:val="both"/>
        <w:rPr>
          <w:rFonts w:eastAsia="Calibri" w:cs="Arial"/>
          <w:szCs w:val="20"/>
          <w:lang w:val="sl-SI"/>
        </w:rPr>
      </w:pPr>
      <w:r w:rsidRPr="005771BD">
        <w:rPr>
          <w:rFonts w:eastAsia="Calibri" w:cs="Arial"/>
          <w:szCs w:val="20"/>
          <w:lang w:val="sl-SI"/>
        </w:rPr>
        <w:t>Pomemben delež h količinam trdnih odpadkov iz kurilnih naprav prispeva</w:t>
      </w:r>
      <w:r>
        <w:rPr>
          <w:rFonts w:eastAsia="Calibri" w:cs="Arial"/>
          <w:szCs w:val="20"/>
          <w:lang w:val="sl-SI"/>
        </w:rPr>
        <w:t>jo</w:t>
      </w:r>
      <w:r w:rsidRPr="005771BD">
        <w:rPr>
          <w:rFonts w:eastAsia="Calibri" w:cs="Arial"/>
          <w:szCs w:val="20"/>
          <w:lang w:val="sl-SI"/>
        </w:rPr>
        <w:t xml:space="preserve"> elektrofiltrski pepel (v letu 2014 322.963 ton) ter pepel, žlindre in kotlovski prah (v letu 2014 86.094 ton). Pepel, žlindra in kotlovski prah izvirajo predvsem iz naprav za sežiganje in sosežiganje odpadkov ter kurjenja premoga in biomase. </w:t>
      </w:r>
    </w:p>
    <w:p w:rsidR="002F73CD" w:rsidRPr="005771BD" w:rsidRDefault="002F73CD" w:rsidP="002F73CD">
      <w:pPr>
        <w:spacing w:after="200" w:line="276" w:lineRule="auto"/>
        <w:jc w:val="both"/>
        <w:rPr>
          <w:rFonts w:eastAsia="Calibri" w:cs="Arial"/>
          <w:szCs w:val="20"/>
          <w:lang w:val="sl-SI"/>
        </w:rPr>
      </w:pPr>
      <w:r w:rsidRPr="005771BD">
        <w:rPr>
          <w:rFonts w:eastAsia="Calibri" w:cs="Arial"/>
          <w:szCs w:val="20"/>
          <w:lang w:val="sl-SI"/>
        </w:rPr>
        <w:t>V letu 2014 je v tej panogi nastalo 413.713 ton odpadkov.</w:t>
      </w:r>
    </w:p>
    <w:p w:rsidR="002F73CD" w:rsidRPr="00CC0EE8" w:rsidRDefault="002F73CD" w:rsidP="002F73CD">
      <w:pPr>
        <w:keepNext/>
        <w:numPr>
          <w:ilvl w:val="1"/>
          <w:numId w:val="0"/>
        </w:numPr>
        <w:spacing w:after="200" w:line="276" w:lineRule="auto"/>
        <w:ind w:left="680" w:hanging="680"/>
        <w:jc w:val="both"/>
        <w:outlineLvl w:val="1"/>
        <w:rPr>
          <w:rFonts w:cs="Arial"/>
          <w:bCs/>
          <w:i/>
          <w:szCs w:val="20"/>
          <w:u w:val="single"/>
          <w:lang w:val="sl-SI" w:eastAsia="sl-SI"/>
        </w:rPr>
      </w:pPr>
      <w:r w:rsidRPr="00CC0EE8">
        <w:rPr>
          <w:rFonts w:cs="Arial"/>
          <w:bCs/>
          <w:i/>
          <w:szCs w:val="20"/>
          <w:u w:val="single"/>
          <w:lang w:val="sl-SI" w:eastAsia="sl-SI"/>
        </w:rPr>
        <w:t>Zem</w:t>
      </w:r>
      <w:r>
        <w:rPr>
          <w:rFonts w:cs="Arial"/>
          <w:bCs/>
          <w:i/>
          <w:szCs w:val="20"/>
          <w:u w:val="single"/>
          <w:lang w:val="sl-SI" w:eastAsia="sl-SI"/>
        </w:rPr>
        <w:t>e</w:t>
      </w:r>
      <w:r w:rsidRPr="00CC0EE8">
        <w:rPr>
          <w:rFonts w:cs="Arial"/>
          <w:bCs/>
          <w:i/>
          <w:szCs w:val="20"/>
          <w:u w:val="single"/>
          <w:lang w:val="sl-SI" w:eastAsia="sl-SI"/>
        </w:rPr>
        <w:t>ljski izkop</w:t>
      </w:r>
    </w:p>
    <w:p w:rsidR="002F73CD" w:rsidRPr="005771BD" w:rsidRDefault="002F73CD" w:rsidP="002F73CD">
      <w:pPr>
        <w:spacing w:after="200" w:line="276" w:lineRule="auto"/>
        <w:jc w:val="both"/>
        <w:rPr>
          <w:rFonts w:eastAsia="Calibri" w:cs="Arial"/>
          <w:szCs w:val="20"/>
          <w:lang w:val="sl-SI"/>
        </w:rPr>
      </w:pPr>
      <w:r w:rsidRPr="00CC0EE8">
        <w:rPr>
          <w:rFonts w:cs="Arial"/>
          <w:szCs w:val="20"/>
          <w:lang w:val="sl-SI"/>
        </w:rPr>
        <w:t xml:space="preserve">Zemeljski izkopi nastajajo pri posegih v tla in podtalje, vključno s poglabljanjem dna vodnih teles. </w:t>
      </w:r>
      <w:r w:rsidRPr="005771BD">
        <w:rPr>
          <w:rFonts w:eastAsia="Calibri" w:cs="Arial"/>
          <w:szCs w:val="20"/>
          <w:lang w:val="sl-SI"/>
        </w:rPr>
        <w:t>V letu 2014 je bilo 820.000</w:t>
      </w:r>
      <w:r w:rsidRPr="005771BD">
        <w:rPr>
          <w:rFonts w:eastAsia="Calibri" w:cs="Arial"/>
          <w:color w:val="333232"/>
          <w:szCs w:val="20"/>
          <w:lang w:val="sl-SI" w:eastAsia="sl-SI"/>
        </w:rPr>
        <w:t> </w:t>
      </w:r>
      <w:r w:rsidRPr="005771BD">
        <w:rPr>
          <w:rFonts w:eastAsia="Calibri" w:cs="Arial"/>
          <w:szCs w:val="20"/>
          <w:lang w:val="sl-SI"/>
        </w:rPr>
        <w:t>t zemeljskih izkopov, od tega je bilo okoli 800.000</w:t>
      </w:r>
      <w:r w:rsidRPr="005771BD">
        <w:rPr>
          <w:rFonts w:eastAsia="Calibri" w:cs="Arial"/>
          <w:color w:val="333232"/>
          <w:szCs w:val="20"/>
          <w:lang w:val="sl-SI" w:eastAsia="sl-SI"/>
        </w:rPr>
        <w:t> </w:t>
      </w:r>
      <w:r w:rsidRPr="005771BD">
        <w:rPr>
          <w:rFonts w:eastAsia="Calibri" w:cs="Arial"/>
          <w:szCs w:val="20"/>
          <w:lang w:val="sl-SI"/>
        </w:rPr>
        <w:t>t na novo izkopanih zemeljskih izkopov in okoli 20</w:t>
      </w:r>
      <w:r w:rsidRPr="005771BD">
        <w:rPr>
          <w:rFonts w:eastAsia="Calibri" w:cs="Arial"/>
          <w:color w:val="333232"/>
          <w:szCs w:val="20"/>
          <w:lang w:val="sl-SI" w:eastAsia="sl-SI"/>
        </w:rPr>
        <w:t> </w:t>
      </w:r>
      <w:r w:rsidRPr="005771BD">
        <w:rPr>
          <w:rFonts w:eastAsia="Calibri" w:cs="Arial"/>
          <w:szCs w:val="20"/>
          <w:lang w:val="sl-SI"/>
        </w:rPr>
        <w:t xml:space="preserve">t skladiščenih zaradi izkopa </w:t>
      </w:r>
      <w:r>
        <w:rPr>
          <w:rFonts w:eastAsia="Calibri" w:cs="Arial"/>
          <w:szCs w:val="20"/>
          <w:lang w:val="sl-SI"/>
        </w:rPr>
        <w:t xml:space="preserve">v </w:t>
      </w:r>
      <w:r w:rsidRPr="005771BD">
        <w:rPr>
          <w:rFonts w:eastAsia="Calibri" w:cs="Arial"/>
          <w:szCs w:val="20"/>
          <w:lang w:val="sl-SI"/>
        </w:rPr>
        <w:t>prejšnjih let</w:t>
      </w:r>
      <w:r>
        <w:rPr>
          <w:rFonts w:eastAsia="Calibri" w:cs="Arial"/>
          <w:szCs w:val="20"/>
          <w:lang w:val="sl-SI"/>
        </w:rPr>
        <w:t>ih</w:t>
      </w:r>
      <w:r w:rsidRPr="005771BD">
        <w:rPr>
          <w:rFonts w:eastAsia="Calibri" w:cs="Arial"/>
          <w:szCs w:val="20"/>
          <w:lang w:val="sl-SI"/>
        </w:rPr>
        <w:t>. Od te količine je bilo ponovno uporabljenih približno 500.000</w:t>
      </w:r>
      <w:r w:rsidRPr="005771BD">
        <w:rPr>
          <w:rFonts w:eastAsia="Calibri" w:cs="Arial"/>
          <w:color w:val="333232"/>
          <w:szCs w:val="20"/>
          <w:lang w:val="sl-SI" w:eastAsia="sl-SI"/>
        </w:rPr>
        <w:t> </w:t>
      </w:r>
      <w:r w:rsidRPr="005771BD">
        <w:rPr>
          <w:rFonts w:eastAsia="Calibri" w:cs="Arial"/>
          <w:szCs w:val="20"/>
          <w:lang w:val="sl-SI"/>
        </w:rPr>
        <w:t xml:space="preserve">t predvsem za nivelacijo terena </w:t>
      </w:r>
      <w:r>
        <w:rPr>
          <w:rFonts w:eastAsia="Calibri" w:cs="Arial"/>
          <w:szCs w:val="20"/>
          <w:lang w:val="sl-SI"/>
        </w:rPr>
        <w:t>ter</w:t>
      </w:r>
      <w:r w:rsidRPr="005771BD">
        <w:rPr>
          <w:rFonts w:eastAsia="Calibri" w:cs="Arial"/>
          <w:szCs w:val="20"/>
          <w:lang w:val="sl-SI"/>
        </w:rPr>
        <w:t xml:space="preserve"> utrjevanje tal na gradbiščih in izdelavo nasipov. Na odlagališčih je bilo odloženih okoli 67.000</w:t>
      </w:r>
      <w:r w:rsidRPr="005771BD">
        <w:rPr>
          <w:rFonts w:eastAsia="Calibri" w:cs="Arial"/>
          <w:color w:val="333232"/>
          <w:szCs w:val="20"/>
          <w:lang w:val="sl-SI" w:eastAsia="sl-SI"/>
        </w:rPr>
        <w:t> </w:t>
      </w:r>
      <w:r w:rsidRPr="005771BD">
        <w:rPr>
          <w:rFonts w:eastAsia="Calibri" w:cs="Arial"/>
          <w:szCs w:val="20"/>
          <w:lang w:val="sl-SI"/>
        </w:rPr>
        <w:t>t ali okoli 7</w:t>
      </w:r>
      <w:r w:rsidRPr="005771BD">
        <w:rPr>
          <w:rFonts w:eastAsia="Calibri" w:cs="Arial"/>
          <w:color w:val="333232"/>
          <w:szCs w:val="20"/>
          <w:lang w:val="sl-SI" w:eastAsia="sl-SI"/>
        </w:rPr>
        <w:t xml:space="preserve"> % </w:t>
      </w:r>
      <w:r w:rsidRPr="005771BD">
        <w:rPr>
          <w:rFonts w:eastAsia="Calibri" w:cs="Arial"/>
          <w:szCs w:val="20"/>
          <w:lang w:val="sl-SI"/>
        </w:rPr>
        <w:t>nenevarno onesnaženih izkopanih materialov. Ti podatki so negotovi, saj se zemeljski izkopi, ki so uporabljeni na gradbišču, kjer nastajajo, pogosto ne uvrščajo med odpadke. Ocenjuje se, da je večji delež vseh zemeljskih izkopov, ki nastajajo zaradi gradnje objektov, uporabljen za posebne ukrepe pri gradben</w:t>
      </w:r>
      <w:r>
        <w:rPr>
          <w:rFonts w:eastAsia="Calibri" w:cs="Arial"/>
          <w:szCs w:val="20"/>
          <w:lang w:val="sl-SI"/>
        </w:rPr>
        <w:t>o-</w:t>
      </w:r>
      <w:r w:rsidRPr="005771BD">
        <w:rPr>
          <w:rFonts w:eastAsia="Calibri" w:cs="Arial"/>
          <w:szCs w:val="20"/>
          <w:lang w:val="sl-SI"/>
        </w:rPr>
        <w:t xml:space="preserve">inženirskih delih in ni vključen v navedene količine. Letna količina zemeljskih izkopov je odvisna od uspešnosti gradbene dejavnosti v posameznem letu. </w:t>
      </w:r>
    </w:p>
    <w:p w:rsidR="002F73CD" w:rsidRPr="00CC0EE8" w:rsidRDefault="002F73CD" w:rsidP="002F73CD">
      <w:pPr>
        <w:keepNext/>
        <w:numPr>
          <w:ilvl w:val="1"/>
          <w:numId w:val="0"/>
        </w:numPr>
        <w:spacing w:after="200" w:line="276" w:lineRule="auto"/>
        <w:ind w:left="680" w:hanging="680"/>
        <w:jc w:val="both"/>
        <w:outlineLvl w:val="1"/>
        <w:rPr>
          <w:rFonts w:cs="Arial"/>
          <w:bCs/>
          <w:i/>
          <w:szCs w:val="20"/>
          <w:u w:val="single"/>
          <w:lang w:val="sl-SI"/>
        </w:rPr>
      </w:pPr>
      <w:r w:rsidRPr="00CC0EE8">
        <w:rPr>
          <w:rFonts w:cs="Arial"/>
          <w:bCs/>
          <w:i/>
          <w:szCs w:val="20"/>
          <w:u w:val="single"/>
          <w:lang w:val="sl-SI"/>
        </w:rPr>
        <w:t xml:space="preserve">Gradbeni odpadki brez zemeljskih izkopov </w:t>
      </w:r>
    </w:p>
    <w:p w:rsidR="002F73CD" w:rsidRPr="005771BD" w:rsidRDefault="002F73CD" w:rsidP="002F73CD">
      <w:pPr>
        <w:spacing w:after="200" w:line="276" w:lineRule="auto"/>
        <w:jc w:val="both"/>
        <w:rPr>
          <w:rFonts w:cs="Arial"/>
          <w:szCs w:val="20"/>
          <w:lang w:val="sl-SI" w:eastAsia="sl-SI"/>
        </w:rPr>
      </w:pPr>
      <w:r w:rsidRPr="00CC0EE8">
        <w:rPr>
          <w:rFonts w:cs="Arial"/>
          <w:szCs w:val="20"/>
          <w:lang w:val="sl-SI" w:eastAsia="sl-SI"/>
        </w:rPr>
        <w:t>Gradbeni odpadki brez zemeljskih izkopov vključujejo materiale, ki nastajajo pri gradnji, obnovah in rušenju objektov. Večji delež gradbenih odpadkov izvira iz rušitev in obnove gradbenih konstrukcij. Le približno 10</w:t>
      </w:r>
      <w:r w:rsidRPr="00CC0EE8">
        <w:rPr>
          <w:rFonts w:cs="Arial"/>
          <w:color w:val="333232"/>
          <w:szCs w:val="20"/>
          <w:lang w:val="sl-SI" w:eastAsia="sl-SI"/>
        </w:rPr>
        <w:t> %</w:t>
      </w:r>
      <w:r w:rsidRPr="00CC0EE8">
        <w:rPr>
          <w:rFonts w:cs="Arial"/>
          <w:szCs w:val="20"/>
          <w:lang w:val="sl-SI" w:eastAsia="sl-SI"/>
        </w:rPr>
        <w:t xml:space="preserve"> teh odpadkov izvira neposredno iz gradnje novih objektov. Med gradbenimi odpadki sta predvsem beton in opeka (70 do 90</w:t>
      </w:r>
      <w:r w:rsidRPr="00CC0EE8">
        <w:rPr>
          <w:rFonts w:cs="Arial"/>
          <w:color w:val="333232"/>
          <w:szCs w:val="20"/>
          <w:lang w:val="sl-SI" w:eastAsia="sl-SI"/>
        </w:rPr>
        <w:t> %</w:t>
      </w:r>
      <w:r w:rsidRPr="00CC0EE8">
        <w:rPr>
          <w:rFonts w:cs="Arial"/>
          <w:szCs w:val="20"/>
          <w:lang w:val="sl-SI" w:eastAsia="sl-SI"/>
        </w:rPr>
        <w:t xml:space="preserve"> celotne količine), preostanek sestavljajo les, kovine in drugi odpadki z gradbišč. Pri gradnji cest nastaja tudi asfalt.</w:t>
      </w:r>
      <w:r w:rsidRPr="005771BD">
        <w:rPr>
          <w:rFonts w:cs="Arial"/>
          <w:szCs w:val="20"/>
          <w:lang w:val="sl-SI" w:eastAsia="sl-SI"/>
        </w:rPr>
        <w:t xml:space="preserve"> </w:t>
      </w:r>
    </w:p>
    <w:p w:rsidR="002F73CD" w:rsidRPr="005771BD" w:rsidRDefault="002F73CD" w:rsidP="002F73CD">
      <w:pPr>
        <w:spacing w:after="200" w:line="276" w:lineRule="auto"/>
        <w:jc w:val="both"/>
        <w:rPr>
          <w:rFonts w:eastAsia="Calibri" w:cs="Arial"/>
          <w:szCs w:val="20"/>
          <w:lang w:val="sl-SI"/>
        </w:rPr>
      </w:pPr>
      <w:r w:rsidRPr="005771BD">
        <w:rPr>
          <w:rFonts w:cs="Arial"/>
          <w:szCs w:val="20"/>
          <w:lang w:val="sl-SI" w:eastAsia="sl-SI"/>
        </w:rPr>
        <w:t>V času gospodarskega zastoja po letu 2010 se je količina nastalih gradbenih odpadkov močno zmanjšala (leta 2013 le še 30</w:t>
      </w:r>
      <w:r>
        <w:rPr>
          <w:rFonts w:cs="Arial"/>
          <w:szCs w:val="20"/>
          <w:lang w:val="sl-SI" w:eastAsia="sl-SI"/>
        </w:rPr>
        <w:t xml:space="preserve"> </w:t>
      </w:r>
      <w:r w:rsidRPr="005771BD">
        <w:rPr>
          <w:rFonts w:cs="Arial"/>
          <w:szCs w:val="20"/>
          <w:lang w:val="sl-SI" w:eastAsia="sl-SI"/>
        </w:rPr>
        <w:t>% gradbenih odpadkov leta 2011), a se je v letu 2014 ponovno povečala.</w:t>
      </w:r>
    </w:p>
    <w:p w:rsidR="002F73CD" w:rsidRPr="005771BD" w:rsidRDefault="002F73CD" w:rsidP="002F73CD">
      <w:pPr>
        <w:spacing w:after="200" w:line="276" w:lineRule="auto"/>
        <w:jc w:val="both"/>
        <w:rPr>
          <w:rFonts w:eastAsia="Calibri" w:cs="Arial"/>
          <w:szCs w:val="20"/>
          <w:lang w:val="sl-SI"/>
        </w:rPr>
      </w:pPr>
      <w:r w:rsidRPr="005771BD">
        <w:rPr>
          <w:rFonts w:eastAsia="Calibri" w:cs="Arial"/>
          <w:szCs w:val="20"/>
          <w:lang w:val="sl-SI"/>
        </w:rPr>
        <w:t xml:space="preserve">V obdobju 2008–2014 so se v povprečju obdelali za ponovno uporabo vsi nastali gradbeni odpadki. </w:t>
      </w:r>
    </w:p>
    <w:p w:rsidR="002F73CD" w:rsidRPr="00CC0EE8" w:rsidRDefault="002F73CD" w:rsidP="002F73CD">
      <w:pPr>
        <w:spacing w:after="200" w:line="276" w:lineRule="auto"/>
        <w:jc w:val="both"/>
        <w:rPr>
          <w:rFonts w:cs="Arial"/>
          <w:szCs w:val="20"/>
          <w:lang w:val="sl-SI" w:eastAsia="sl-SI"/>
        </w:rPr>
      </w:pPr>
    </w:p>
    <w:p w:rsidR="002F73CD" w:rsidRPr="005771BD" w:rsidRDefault="002F73CD" w:rsidP="002F73CD">
      <w:pPr>
        <w:spacing w:after="200" w:line="276" w:lineRule="auto"/>
        <w:jc w:val="both"/>
        <w:rPr>
          <w:rFonts w:cs="Arial"/>
          <w:szCs w:val="20"/>
          <w:lang w:val="sl-SI" w:eastAsia="sl-SI"/>
        </w:rPr>
      </w:pPr>
      <w:r w:rsidRPr="007F272F">
        <w:rPr>
          <w:rFonts w:cs="Arial"/>
          <w:noProof/>
          <w:szCs w:val="20"/>
          <w:lang w:val="sl-SI" w:eastAsia="sl-SI"/>
        </w:rPr>
        <w:drawing>
          <wp:inline distT="0" distB="0" distL="0" distR="0" wp14:anchorId="53F59BAD" wp14:editId="10620EF2">
            <wp:extent cx="5708851" cy="1986455"/>
            <wp:effectExtent l="0" t="0" r="6350" b="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42099" cy="1998024"/>
                    </a:xfrm>
                    <a:prstGeom prst="rect">
                      <a:avLst/>
                    </a:prstGeom>
                    <a:noFill/>
                  </pic:spPr>
                </pic:pic>
              </a:graphicData>
            </a:graphic>
          </wp:inline>
        </w:drawing>
      </w:r>
    </w:p>
    <w:p w:rsidR="002F73CD" w:rsidRPr="005771BD" w:rsidRDefault="002F73CD" w:rsidP="002F73CD">
      <w:pPr>
        <w:keepNext/>
        <w:tabs>
          <w:tab w:val="left" w:pos="0"/>
          <w:tab w:val="left" w:pos="1134"/>
        </w:tabs>
        <w:spacing w:before="200" w:line="276" w:lineRule="auto"/>
        <w:jc w:val="both"/>
        <w:rPr>
          <w:rFonts w:cs="Arial"/>
          <w:bCs/>
          <w:i/>
          <w:noProof/>
          <w:szCs w:val="20"/>
          <w:lang w:val="sl-SI"/>
        </w:rPr>
      </w:pPr>
      <w:bookmarkStart w:id="33" w:name="_Toc452023688"/>
      <w:r w:rsidRPr="005771BD">
        <w:rPr>
          <w:rFonts w:cs="Arial"/>
          <w:bCs/>
          <w:i/>
          <w:noProof/>
          <w:szCs w:val="20"/>
          <w:lang w:val="sl-SI"/>
        </w:rPr>
        <w:t xml:space="preserve">Slika </w:t>
      </w:r>
      <w:r w:rsidR="00FF4C0C">
        <w:rPr>
          <w:rFonts w:cs="Arial"/>
          <w:bCs/>
          <w:i/>
          <w:noProof/>
          <w:szCs w:val="20"/>
          <w:lang w:val="sl-SI"/>
        </w:rPr>
        <w:t>9</w:t>
      </w:r>
      <w:r w:rsidRPr="005771BD">
        <w:rPr>
          <w:rFonts w:cs="Arial"/>
          <w:bCs/>
          <w:i/>
          <w:noProof/>
          <w:szCs w:val="20"/>
          <w:lang w:val="sl-SI"/>
        </w:rPr>
        <w:t xml:space="preserve">.17: </w:t>
      </w:r>
      <w:r w:rsidRPr="005771BD">
        <w:rPr>
          <w:rFonts w:cs="Arial"/>
          <w:bCs/>
          <w:i/>
          <w:noProof/>
          <w:szCs w:val="20"/>
          <w:lang w:val="sl-SI"/>
        </w:rPr>
        <w:tab/>
        <w:t>Predelava gradbenih odpadkov brez izkopanih materialov; obdobje 2006</w:t>
      </w:r>
      <w:r>
        <w:rPr>
          <w:rFonts w:cs="Arial"/>
          <w:bCs/>
          <w:i/>
          <w:noProof/>
          <w:szCs w:val="20"/>
          <w:lang w:val="sl-SI"/>
        </w:rPr>
        <w:t>–</w:t>
      </w:r>
      <w:r w:rsidRPr="005771BD">
        <w:rPr>
          <w:rFonts w:cs="Arial"/>
          <w:bCs/>
          <w:i/>
          <w:noProof/>
          <w:szCs w:val="20"/>
          <w:lang w:val="sl-SI"/>
        </w:rPr>
        <w:t xml:space="preserve">2014 </w:t>
      </w:r>
    </w:p>
    <w:p w:rsidR="002F73CD" w:rsidRPr="005771BD" w:rsidRDefault="002F73CD" w:rsidP="002F73CD">
      <w:pPr>
        <w:keepNext/>
        <w:tabs>
          <w:tab w:val="left" w:pos="0"/>
          <w:tab w:val="left" w:pos="1134"/>
        </w:tabs>
        <w:spacing w:after="360" w:line="276" w:lineRule="auto"/>
        <w:jc w:val="both"/>
        <w:rPr>
          <w:rFonts w:cs="Arial"/>
          <w:bCs/>
          <w:noProof/>
          <w:sz w:val="18"/>
          <w:szCs w:val="18"/>
          <w:lang w:val="sl-SI"/>
        </w:rPr>
      </w:pPr>
      <w:r w:rsidRPr="005771BD">
        <w:rPr>
          <w:rFonts w:cs="Arial"/>
          <w:bCs/>
          <w:noProof/>
          <w:sz w:val="18"/>
          <w:szCs w:val="18"/>
          <w:lang w:val="sl-SI"/>
        </w:rPr>
        <w:t>Vir: ARSO, SURS-ODP in ODP-P</w:t>
      </w:r>
      <w:bookmarkEnd w:id="33"/>
    </w:p>
    <w:p w:rsidR="002F73CD" w:rsidRPr="00CC0EE8" w:rsidRDefault="002F73CD" w:rsidP="002F73CD">
      <w:pPr>
        <w:keepNext/>
        <w:numPr>
          <w:ilvl w:val="1"/>
          <w:numId w:val="0"/>
        </w:numPr>
        <w:spacing w:after="200" w:line="276" w:lineRule="auto"/>
        <w:ind w:left="680" w:hanging="680"/>
        <w:jc w:val="both"/>
        <w:outlineLvl w:val="1"/>
        <w:rPr>
          <w:rFonts w:cs="Arial"/>
          <w:bCs/>
          <w:i/>
          <w:szCs w:val="20"/>
          <w:u w:val="single"/>
          <w:lang w:val="sl-SI"/>
        </w:rPr>
      </w:pPr>
      <w:r w:rsidRPr="00CC0EE8">
        <w:rPr>
          <w:rFonts w:cs="Arial"/>
          <w:bCs/>
          <w:i/>
          <w:szCs w:val="20"/>
          <w:u w:val="single"/>
          <w:lang w:val="sl-SI"/>
        </w:rPr>
        <w:t>Izrabljena vozila</w:t>
      </w:r>
    </w:p>
    <w:p w:rsidR="002F73CD" w:rsidRPr="00CC0EE8" w:rsidRDefault="002F73CD" w:rsidP="002F73CD">
      <w:pPr>
        <w:spacing w:after="200" w:line="276" w:lineRule="auto"/>
        <w:jc w:val="both"/>
        <w:rPr>
          <w:rFonts w:cs="Arial"/>
          <w:szCs w:val="20"/>
          <w:lang w:val="sl-SI"/>
        </w:rPr>
      </w:pPr>
      <w:r>
        <w:rPr>
          <w:rFonts w:cs="Arial"/>
          <w:szCs w:val="20"/>
          <w:lang w:val="sl-SI"/>
        </w:rPr>
        <w:t>Pri</w:t>
      </w:r>
      <w:r w:rsidRPr="00CC0EE8">
        <w:rPr>
          <w:rFonts w:cs="Arial"/>
          <w:szCs w:val="20"/>
          <w:lang w:val="sl-SI"/>
        </w:rPr>
        <w:t xml:space="preserve"> trgovin</w:t>
      </w:r>
      <w:r>
        <w:rPr>
          <w:rFonts w:cs="Arial"/>
          <w:szCs w:val="20"/>
          <w:lang w:val="sl-SI"/>
        </w:rPr>
        <w:t>i</w:t>
      </w:r>
      <w:r w:rsidRPr="00CC0EE8">
        <w:rPr>
          <w:rFonts w:cs="Arial"/>
          <w:szCs w:val="20"/>
          <w:lang w:val="sl-SI"/>
        </w:rPr>
        <w:t>, v</w:t>
      </w:r>
      <w:r>
        <w:rPr>
          <w:rFonts w:cs="Arial"/>
          <w:szCs w:val="20"/>
          <w:lang w:val="sl-SI"/>
        </w:rPr>
        <w:t>z</w:t>
      </w:r>
      <w:r w:rsidRPr="00CC0EE8">
        <w:rPr>
          <w:rFonts w:cs="Arial"/>
          <w:szCs w:val="20"/>
          <w:lang w:val="sl-SI"/>
        </w:rPr>
        <w:t>drževanj</w:t>
      </w:r>
      <w:r>
        <w:rPr>
          <w:rFonts w:cs="Arial"/>
          <w:szCs w:val="20"/>
          <w:lang w:val="sl-SI"/>
        </w:rPr>
        <w:t>u</w:t>
      </w:r>
      <w:r w:rsidRPr="00CC0EE8">
        <w:rPr>
          <w:rFonts w:cs="Arial"/>
          <w:szCs w:val="20"/>
          <w:lang w:val="sl-SI"/>
        </w:rPr>
        <w:t xml:space="preserve"> in popravil</w:t>
      </w:r>
      <w:r>
        <w:rPr>
          <w:rFonts w:cs="Arial"/>
          <w:szCs w:val="20"/>
          <w:lang w:val="sl-SI"/>
        </w:rPr>
        <w:t>u</w:t>
      </w:r>
      <w:r w:rsidRPr="00CC0EE8">
        <w:rPr>
          <w:rFonts w:cs="Arial"/>
          <w:szCs w:val="20"/>
          <w:lang w:val="sl-SI"/>
        </w:rPr>
        <w:t xml:space="preserve"> vozil</w:t>
      </w:r>
      <w:r>
        <w:rPr>
          <w:rFonts w:cs="Arial"/>
          <w:szCs w:val="20"/>
          <w:lang w:val="sl-SI"/>
        </w:rPr>
        <w:t xml:space="preserve"> so</w:t>
      </w:r>
      <w:r w:rsidRPr="00CC0EE8">
        <w:rPr>
          <w:rFonts w:cs="Arial"/>
          <w:szCs w:val="20"/>
          <w:lang w:val="sl-SI"/>
        </w:rPr>
        <w:t xml:space="preserve"> poleg </w:t>
      </w:r>
      <w:r>
        <w:rPr>
          <w:rFonts w:cs="Arial"/>
          <w:szCs w:val="20"/>
          <w:lang w:val="sl-SI"/>
        </w:rPr>
        <w:t>odpadnih</w:t>
      </w:r>
      <w:r w:rsidRPr="00CC0EE8">
        <w:rPr>
          <w:rFonts w:cs="Arial"/>
          <w:szCs w:val="20"/>
          <w:lang w:val="sl-SI"/>
        </w:rPr>
        <w:t xml:space="preserve"> sestavnih delov vozila odpadki predvsem izrabljena vozila in pnevmatike. </w:t>
      </w:r>
    </w:p>
    <w:p w:rsidR="002F73CD" w:rsidRPr="005771BD" w:rsidRDefault="002F73CD" w:rsidP="002F73CD">
      <w:pPr>
        <w:spacing w:line="276" w:lineRule="auto"/>
        <w:jc w:val="both"/>
        <w:rPr>
          <w:rFonts w:eastAsia="Calibri" w:cs="Arial"/>
          <w:color w:val="000000"/>
          <w:szCs w:val="20"/>
          <w:lang w:val="sl-SI" w:eastAsia="sl-SI"/>
        </w:rPr>
      </w:pPr>
      <w:r w:rsidRPr="005771BD">
        <w:rPr>
          <w:rFonts w:eastAsia="Calibri" w:cs="Arial"/>
          <w:szCs w:val="20"/>
          <w:lang w:val="sl-SI" w:eastAsia="sl-SI"/>
        </w:rPr>
        <w:t xml:space="preserve">Glede na število novih registriranih vozil letno in po </w:t>
      </w:r>
      <w:r w:rsidRPr="005771BD">
        <w:rPr>
          <w:rFonts w:eastAsia="Calibri" w:cs="Arial"/>
          <w:szCs w:val="20"/>
          <w:lang w:val="sl-SI"/>
        </w:rPr>
        <w:t xml:space="preserve">ocenah naj bi </w:t>
      </w:r>
      <w:r>
        <w:rPr>
          <w:rFonts w:eastAsia="Calibri" w:cs="Arial"/>
          <w:szCs w:val="20"/>
          <w:lang w:val="sl-SI"/>
        </w:rPr>
        <w:t xml:space="preserve">bilo </w:t>
      </w:r>
      <w:r w:rsidRPr="005771BD">
        <w:rPr>
          <w:rFonts w:eastAsia="Calibri" w:cs="Arial"/>
          <w:szCs w:val="20"/>
          <w:lang w:val="sl-SI"/>
        </w:rPr>
        <w:t xml:space="preserve">letno vsaj okrog 30.000 izrabljenih vozil. Število razgrajenih izrabljenih vozil tako od teh ocen bistveno </w:t>
      </w:r>
      <w:r>
        <w:rPr>
          <w:rFonts w:eastAsia="Calibri" w:cs="Arial"/>
          <w:szCs w:val="20"/>
          <w:lang w:val="sl-SI"/>
        </w:rPr>
        <w:t>razlikuje</w:t>
      </w:r>
      <w:r w:rsidRPr="005771BD">
        <w:rPr>
          <w:rFonts w:eastAsia="Calibri" w:cs="Arial"/>
          <w:szCs w:val="20"/>
          <w:lang w:val="sl-SI"/>
        </w:rPr>
        <w:t xml:space="preserve">, </w:t>
      </w:r>
      <w:r>
        <w:rPr>
          <w:rFonts w:eastAsia="Calibri" w:cs="Arial"/>
          <w:szCs w:val="20"/>
          <w:lang w:val="sl-SI"/>
        </w:rPr>
        <w:t>saj</w:t>
      </w:r>
      <w:r w:rsidRPr="005771BD">
        <w:rPr>
          <w:rFonts w:eastAsia="Calibri" w:cs="Arial"/>
          <w:szCs w:val="20"/>
          <w:lang w:val="sl-SI"/>
        </w:rPr>
        <w:t xml:space="preserve"> se v Sloveniji razgradi okrog 6.000 izrabljenih vozil. </w:t>
      </w:r>
      <w:r>
        <w:rPr>
          <w:rFonts w:eastAsia="Calibri" w:cs="Arial"/>
          <w:color w:val="000000"/>
          <w:szCs w:val="20"/>
          <w:lang w:val="sl-SI" w:eastAsia="sl-SI"/>
        </w:rPr>
        <w:t>T</w:t>
      </w:r>
      <w:r w:rsidRPr="005771BD">
        <w:rPr>
          <w:rFonts w:eastAsia="Calibri" w:cs="Arial"/>
          <w:color w:val="000000"/>
          <w:szCs w:val="20"/>
          <w:lang w:val="sl-SI" w:eastAsia="sl-SI"/>
        </w:rPr>
        <w:t>udi v drugih državah članicah velik delež izrabljenih vozil ni zajet v okviru vzpostavljenega sistema razgradnje. Poročilo Evropskega parlamenta iz leta 2007 o stanju glede izvajanja Direktive</w:t>
      </w:r>
      <w:r w:rsidRPr="005771BD">
        <w:rPr>
          <w:rFonts w:eastAsia="Calibri" w:cs="Arial"/>
          <w:color w:val="333232"/>
          <w:szCs w:val="20"/>
          <w:lang w:val="sl-SI" w:eastAsia="sl-SI"/>
        </w:rPr>
        <w:t> </w:t>
      </w:r>
      <w:r w:rsidRPr="005771BD">
        <w:rPr>
          <w:rFonts w:eastAsia="Calibri" w:cs="Arial"/>
          <w:color w:val="000000"/>
          <w:szCs w:val="20"/>
          <w:lang w:val="sl-SI" w:eastAsia="sl-SI"/>
        </w:rPr>
        <w:t>2000/53/ES o izrabljenih vozilih v državah članicah v uvodu povzema naslednje glavne razloge za to:</w:t>
      </w:r>
    </w:p>
    <w:p w:rsidR="002F73CD" w:rsidRPr="005771BD" w:rsidRDefault="002F73CD" w:rsidP="002F73CD">
      <w:pPr>
        <w:numPr>
          <w:ilvl w:val="0"/>
          <w:numId w:val="10"/>
        </w:numPr>
        <w:spacing w:before="60" w:line="276" w:lineRule="auto"/>
        <w:ind w:left="284" w:hanging="284"/>
        <w:jc w:val="both"/>
        <w:rPr>
          <w:rFonts w:eastAsia="Calibri" w:cs="Arial"/>
          <w:szCs w:val="20"/>
          <w:lang w:val="sl-SI"/>
        </w:rPr>
      </w:pPr>
      <w:r w:rsidRPr="005771BD">
        <w:rPr>
          <w:rFonts w:eastAsia="Calibri" w:cs="Arial"/>
          <w:szCs w:val="20"/>
          <w:lang w:val="sl-SI"/>
        </w:rPr>
        <w:t>izvoz rabljenih motornih vozil</w:t>
      </w:r>
      <w:r>
        <w:rPr>
          <w:rFonts w:eastAsia="Calibri" w:cs="Arial"/>
          <w:szCs w:val="20"/>
          <w:lang w:val="sl-SI"/>
        </w:rPr>
        <w:t xml:space="preserve"> pred koncem njihovega trajanja</w:t>
      </w:r>
      <w:r w:rsidRPr="005771BD">
        <w:rPr>
          <w:rFonts w:eastAsia="Calibri" w:cs="Arial"/>
          <w:szCs w:val="20"/>
          <w:lang w:val="sl-SI"/>
        </w:rPr>
        <w:t xml:space="preserve">  je pomemben (in verjetno naraščajoč) dejavnik avtomobilskega trga na območju EU;</w:t>
      </w:r>
    </w:p>
    <w:p w:rsidR="002F73CD" w:rsidRPr="005771BD" w:rsidRDefault="002F73CD" w:rsidP="002F73CD">
      <w:pPr>
        <w:numPr>
          <w:ilvl w:val="0"/>
          <w:numId w:val="10"/>
        </w:numPr>
        <w:spacing w:before="60" w:line="276" w:lineRule="auto"/>
        <w:ind w:left="284" w:hanging="284"/>
        <w:jc w:val="both"/>
        <w:rPr>
          <w:rFonts w:eastAsia="Calibri" w:cs="Arial"/>
          <w:szCs w:val="20"/>
          <w:lang w:val="sl-SI"/>
        </w:rPr>
      </w:pPr>
      <w:r>
        <w:rPr>
          <w:rFonts w:eastAsia="Calibri" w:cs="Arial"/>
          <w:szCs w:val="20"/>
          <w:lang w:val="sl-SI"/>
        </w:rPr>
        <w:t>zakonita</w:t>
      </w:r>
      <w:r w:rsidRPr="005771BD">
        <w:rPr>
          <w:rFonts w:eastAsia="Calibri" w:cs="Arial"/>
          <w:szCs w:val="20"/>
          <w:lang w:val="sl-SI"/>
        </w:rPr>
        <w:t xml:space="preserve"> prodaj</w:t>
      </w:r>
      <w:r>
        <w:rPr>
          <w:rFonts w:eastAsia="Calibri" w:cs="Arial"/>
          <w:szCs w:val="20"/>
          <w:lang w:val="sl-SI"/>
        </w:rPr>
        <w:t>a</w:t>
      </w:r>
      <w:r w:rsidRPr="005771BD">
        <w:rPr>
          <w:rFonts w:eastAsia="Calibri" w:cs="Arial"/>
          <w:szCs w:val="20"/>
          <w:lang w:val="sl-SI"/>
        </w:rPr>
        <w:t xml:space="preserve"> rabljenih vozil kot način prikritja ne</w:t>
      </w:r>
      <w:r>
        <w:rPr>
          <w:rFonts w:eastAsia="Calibri" w:cs="Arial"/>
          <w:szCs w:val="20"/>
          <w:lang w:val="sl-SI"/>
        </w:rPr>
        <w:t>zakonite</w:t>
      </w:r>
      <w:r w:rsidRPr="005771BD">
        <w:rPr>
          <w:rFonts w:eastAsia="Calibri" w:cs="Arial"/>
          <w:szCs w:val="20"/>
          <w:lang w:val="sl-SI"/>
        </w:rPr>
        <w:t xml:space="preserve"> dejavnosti (izvoz poškodovanih ali ukradenih vozil);</w:t>
      </w:r>
    </w:p>
    <w:p w:rsidR="002F73CD" w:rsidRPr="005771BD" w:rsidRDefault="002F73CD" w:rsidP="002F73CD">
      <w:pPr>
        <w:numPr>
          <w:ilvl w:val="0"/>
          <w:numId w:val="10"/>
        </w:numPr>
        <w:spacing w:before="60" w:line="276" w:lineRule="auto"/>
        <w:ind w:left="284" w:hanging="284"/>
        <w:jc w:val="both"/>
        <w:rPr>
          <w:rFonts w:eastAsia="Calibri" w:cs="Arial"/>
          <w:szCs w:val="20"/>
          <w:lang w:val="sl-SI"/>
        </w:rPr>
      </w:pPr>
      <w:r w:rsidRPr="005771BD">
        <w:rPr>
          <w:rFonts w:eastAsia="Calibri" w:cs="Arial"/>
          <w:szCs w:val="20"/>
          <w:lang w:val="sl-SI"/>
        </w:rPr>
        <w:t>veliko število izrabljenih vozil se razgradi ne</w:t>
      </w:r>
      <w:r>
        <w:rPr>
          <w:rFonts w:eastAsia="Calibri" w:cs="Arial"/>
          <w:szCs w:val="20"/>
          <w:lang w:val="sl-SI"/>
        </w:rPr>
        <w:t>zakonito</w:t>
      </w:r>
      <w:r w:rsidRPr="005771BD">
        <w:rPr>
          <w:rFonts w:eastAsia="Calibri" w:cs="Arial"/>
          <w:szCs w:val="20"/>
          <w:lang w:val="sl-SI"/>
        </w:rPr>
        <w:t xml:space="preserve"> zaradi pridobivanja ekonomsko zanimivih sestavnih delov zaradi relativno visokih cen sekundarnih surovin;</w:t>
      </w:r>
    </w:p>
    <w:p w:rsidR="002F73CD" w:rsidRPr="005771BD" w:rsidRDefault="002F73CD" w:rsidP="002F73CD">
      <w:pPr>
        <w:numPr>
          <w:ilvl w:val="0"/>
          <w:numId w:val="10"/>
        </w:numPr>
        <w:spacing w:before="60" w:after="200" w:line="276" w:lineRule="auto"/>
        <w:ind w:left="284" w:hanging="284"/>
        <w:jc w:val="both"/>
        <w:rPr>
          <w:rFonts w:eastAsia="Calibri" w:cs="Arial"/>
          <w:szCs w:val="20"/>
          <w:lang w:val="sl-SI"/>
        </w:rPr>
      </w:pPr>
      <w:r w:rsidRPr="005771BD">
        <w:rPr>
          <w:rFonts w:eastAsia="Calibri" w:cs="Arial"/>
          <w:szCs w:val="20"/>
          <w:lang w:val="sl-SI"/>
        </w:rPr>
        <w:t>zapuščanje in garažiranje izrabljenih vozil namesto njihove razgradnje.</w:t>
      </w:r>
    </w:p>
    <w:p w:rsidR="002F73CD" w:rsidRPr="00CC0EE8" w:rsidRDefault="002F73CD" w:rsidP="002F73CD">
      <w:pPr>
        <w:autoSpaceDE w:val="0"/>
        <w:autoSpaceDN w:val="0"/>
        <w:adjustRightInd w:val="0"/>
        <w:spacing w:after="200" w:line="276" w:lineRule="auto"/>
        <w:jc w:val="both"/>
        <w:rPr>
          <w:rFonts w:cs="Arial"/>
          <w:szCs w:val="20"/>
          <w:lang w:val="sl-SI" w:eastAsia="sl-SI"/>
        </w:rPr>
      </w:pPr>
      <w:r w:rsidRPr="00CC0EE8">
        <w:rPr>
          <w:rFonts w:cs="Arial"/>
          <w:szCs w:val="20"/>
          <w:lang w:val="sl-SI"/>
        </w:rPr>
        <w:t xml:space="preserve">Vsi navedeni razlogi veljajo tudi za Slovenijo. </w:t>
      </w:r>
      <w:r>
        <w:rPr>
          <w:rFonts w:cs="Arial"/>
          <w:szCs w:val="20"/>
          <w:lang w:val="sl-SI"/>
        </w:rPr>
        <w:t>P</w:t>
      </w:r>
      <w:r w:rsidRPr="00CC0EE8">
        <w:rPr>
          <w:rFonts w:cs="Arial"/>
          <w:szCs w:val="20"/>
          <w:lang w:val="sl-SI"/>
        </w:rPr>
        <w:t xml:space="preserve">roblematika manjšega zajema izrabljenih vozil v razgradnjo od načrtovanega </w:t>
      </w:r>
      <w:r>
        <w:rPr>
          <w:rFonts w:cs="Arial"/>
          <w:szCs w:val="20"/>
          <w:lang w:val="sl-SI"/>
        </w:rPr>
        <w:t xml:space="preserve">je </w:t>
      </w:r>
      <w:r w:rsidRPr="00CC0EE8">
        <w:rPr>
          <w:rFonts w:cs="Arial"/>
          <w:szCs w:val="20"/>
          <w:lang w:val="sl-SI"/>
        </w:rPr>
        <w:t xml:space="preserve">še očitnejša v državah, kjer vozilo ni registrirano </w:t>
      </w:r>
      <w:r>
        <w:rPr>
          <w:rFonts w:cs="Arial"/>
          <w:szCs w:val="20"/>
          <w:lang w:val="sl-SI"/>
        </w:rPr>
        <w:t xml:space="preserve">v </w:t>
      </w:r>
      <w:r w:rsidRPr="00CC0EE8">
        <w:rPr>
          <w:rFonts w:cs="Arial"/>
          <w:szCs w:val="20"/>
          <w:lang w:val="sl-SI"/>
        </w:rPr>
        <w:t>celotn</w:t>
      </w:r>
      <w:r>
        <w:rPr>
          <w:rFonts w:cs="Arial"/>
          <w:szCs w:val="20"/>
          <w:lang w:val="sl-SI"/>
        </w:rPr>
        <w:t>em</w:t>
      </w:r>
      <w:r w:rsidRPr="00CC0EE8">
        <w:rPr>
          <w:rFonts w:cs="Arial"/>
          <w:szCs w:val="20"/>
          <w:lang w:val="sl-SI"/>
        </w:rPr>
        <w:t xml:space="preserve"> obdobj</w:t>
      </w:r>
      <w:r>
        <w:rPr>
          <w:rFonts w:cs="Arial"/>
          <w:szCs w:val="20"/>
          <w:lang w:val="sl-SI"/>
        </w:rPr>
        <w:t>u njegovega trajanja</w:t>
      </w:r>
      <w:r w:rsidRPr="00CC0EE8">
        <w:rPr>
          <w:rFonts w:cs="Arial"/>
          <w:szCs w:val="20"/>
          <w:lang w:val="sl-SI"/>
        </w:rPr>
        <w:t xml:space="preserve">, oziroma </w:t>
      </w:r>
      <w:r>
        <w:rPr>
          <w:rFonts w:cs="Arial"/>
          <w:szCs w:val="20"/>
          <w:lang w:val="sl-SI"/>
        </w:rPr>
        <w:t xml:space="preserve">v </w:t>
      </w:r>
      <w:r w:rsidRPr="00CC0EE8">
        <w:rPr>
          <w:rFonts w:cs="Arial"/>
          <w:szCs w:val="20"/>
          <w:lang w:val="sl-SI"/>
        </w:rPr>
        <w:t>državah, ki omogočajo odjavo vozila iz prometa. Med inšpekcijskimi in drugimi aktivnostmi, ki so bile izvedene v Sloveniji, je bila kot bistven</w:t>
      </w:r>
      <w:r>
        <w:rPr>
          <w:rFonts w:cs="Arial"/>
          <w:szCs w:val="20"/>
          <w:lang w:val="sl-SI"/>
        </w:rPr>
        <w:t>i</w:t>
      </w:r>
      <w:r w:rsidRPr="00CC0EE8">
        <w:rPr>
          <w:rFonts w:cs="Arial"/>
          <w:szCs w:val="20"/>
          <w:lang w:val="sl-SI"/>
        </w:rPr>
        <w:t xml:space="preserve"> dejavnik, ki onemogoča učinkovito delovanje sistema razgradnje izrabljenih vozil, ugotovljena zloraba instrumenta odjave vozila iz prometa.</w:t>
      </w:r>
    </w:p>
    <w:p w:rsidR="002F73CD" w:rsidRPr="005771BD" w:rsidRDefault="002F73CD" w:rsidP="002F73CD">
      <w:pPr>
        <w:spacing w:after="200" w:line="276" w:lineRule="auto"/>
        <w:jc w:val="both"/>
        <w:rPr>
          <w:rFonts w:eastAsia="Calibri" w:cs="Arial"/>
          <w:i/>
          <w:szCs w:val="20"/>
          <w:shd w:val="clear" w:color="auto" w:fill="FFFFFF"/>
          <w:lang w:val="sl-SI"/>
        </w:rPr>
      </w:pPr>
      <w:r w:rsidRPr="005771BD">
        <w:rPr>
          <w:rFonts w:eastAsia="Calibri" w:cs="Arial"/>
          <w:szCs w:val="20"/>
          <w:lang w:val="sl-SI"/>
        </w:rPr>
        <w:t>Ker motorno vozilo vsebuje nevarne snovi (</w:t>
      </w:r>
      <w:r w:rsidRPr="005771BD">
        <w:rPr>
          <w:rFonts w:eastAsia="Calibri" w:cs="Arial"/>
          <w:szCs w:val="20"/>
          <w:shd w:val="clear" w:color="auto" w:fill="FFFFFF"/>
          <w:lang w:val="sl-SI"/>
        </w:rPr>
        <w:t xml:space="preserve">gorivo (bencin, </w:t>
      </w:r>
      <w:r>
        <w:rPr>
          <w:rFonts w:eastAsia="Calibri" w:cs="Arial"/>
          <w:szCs w:val="20"/>
          <w:shd w:val="clear" w:color="auto" w:fill="FFFFFF"/>
          <w:lang w:val="sl-SI"/>
        </w:rPr>
        <w:t>nafta</w:t>
      </w:r>
      <w:r w:rsidRPr="005771BD">
        <w:rPr>
          <w:rFonts w:eastAsia="Calibri" w:cs="Arial"/>
          <w:szCs w:val="20"/>
          <w:shd w:val="clear" w:color="auto" w:fill="FFFFFF"/>
          <w:lang w:val="sl-SI"/>
        </w:rPr>
        <w:t>), motorno olje, oljni filter, zavorne tekočine, hladilna sredstva, baterije, kondenzatorje, ki vsebujejo PCB</w:t>
      </w:r>
      <w:r w:rsidRPr="005771BD">
        <w:rPr>
          <w:rFonts w:eastAsia="Calibri" w:cs="Arial"/>
          <w:bCs/>
          <w:szCs w:val="20"/>
          <w:lang w:val="sl-SI"/>
        </w:rPr>
        <w:t xml:space="preserve">, in druge snovi), je motorno vozilo, ko postane izrabljeno, nevaren odpadek. </w:t>
      </w:r>
    </w:p>
    <w:p w:rsidR="002F73CD" w:rsidRPr="005771BD" w:rsidRDefault="002F73CD" w:rsidP="002F73CD">
      <w:pPr>
        <w:spacing w:after="200" w:line="276" w:lineRule="auto"/>
        <w:jc w:val="both"/>
        <w:rPr>
          <w:rFonts w:eastAsia="Calibri" w:cs="Arial"/>
          <w:szCs w:val="20"/>
          <w:lang w:val="sl-SI"/>
        </w:rPr>
      </w:pPr>
      <w:r w:rsidRPr="005771BD">
        <w:rPr>
          <w:rFonts w:eastAsia="Calibri" w:cs="Arial"/>
          <w:szCs w:val="20"/>
          <w:lang w:val="sl-SI"/>
        </w:rPr>
        <w:t xml:space="preserve">V Sloveniji je 47 zbiralnih mest za izrabljena vozila, ki izrabljena vozila prevzemajo po pooblastilu treh obratov za razstavljanje v okviru skupnega sistema razširjene odgovornosti proizvajalcev. Poleg tega obratuje 14 samostojnih obratov za razstavljanje izrabljenih vozil. </w:t>
      </w:r>
    </w:p>
    <w:p w:rsidR="002F73CD" w:rsidRPr="00CC0EE8" w:rsidRDefault="002F73CD" w:rsidP="002F73CD">
      <w:pPr>
        <w:keepNext/>
        <w:numPr>
          <w:ilvl w:val="1"/>
          <w:numId w:val="0"/>
        </w:numPr>
        <w:spacing w:after="200" w:line="276" w:lineRule="auto"/>
        <w:jc w:val="both"/>
        <w:outlineLvl w:val="1"/>
        <w:rPr>
          <w:rFonts w:cs="Arial"/>
          <w:bCs/>
          <w:i/>
          <w:szCs w:val="20"/>
          <w:u w:val="single"/>
          <w:lang w:val="sl-SI"/>
        </w:rPr>
      </w:pPr>
      <w:r w:rsidRPr="00CC0EE8">
        <w:rPr>
          <w:rFonts w:cs="Arial"/>
          <w:bCs/>
          <w:i/>
          <w:szCs w:val="20"/>
          <w:u w:val="single"/>
          <w:lang w:val="sl-SI"/>
        </w:rPr>
        <w:t xml:space="preserve">Izrabljene gume </w:t>
      </w:r>
    </w:p>
    <w:p w:rsidR="002F73CD" w:rsidRPr="00CC0EE8" w:rsidRDefault="002F73CD" w:rsidP="002F73CD">
      <w:pPr>
        <w:spacing w:after="200" w:line="276" w:lineRule="auto"/>
        <w:jc w:val="both"/>
        <w:rPr>
          <w:rFonts w:cs="Arial"/>
          <w:szCs w:val="20"/>
          <w:lang w:val="sl-SI"/>
        </w:rPr>
      </w:pPr>
      <w:r w:rsidRPr="00CC0EE8">
        <w:rPr>
          <w:rFonts w:cs="Arial"/>
          <w:szCs w:val="20"/>
          <w:lang w:val="sl-SI"/>
        </w:rPr>
        <w:t xml:space="preserve">Letno nastane med 16.000 in 18.000 t izrabljenih gum. Količina zbranih in v predelavo oddanih izrabljenih gum se je povečala, ko je bila v letu 2010 uvedena razširjena odgovornost proizvajalcev. </w:t>
      </w:r>
    </w:p>
    <w:p w:rsidR="002F73CD" w:rsidRPr="00CC0EE8" w:rsidRDefault="002F73CD" w:rsidP="002F73CD">
      <w:pPr>
        <w:spacing w:after="200" w:line="276" w:lineRule="auto"/>
        <w:jc w:val="both"/>
        <w:rPr>
          <w:rFonts w:cs="Arial"/>
          <w:szCs w:val="20"/>
          <w:lang w:val="sl-SI"/>
        </w:rPr>
      </w:pPr>
      <w:r w:rsidRPr="00CC0EE8">
        <w:rPr>
          <w:rFonts w:cs="Arial"/>
          <w:szCs w:val="20"/>
          <w:lang w:val="sl-SI"/>
        </w:rPr>
        <w:t xml:space="preserve">Izrabljene gume morajo biti </w:t>
      </w:r>
      <w:r>
        <w:rPr>
          <w:rFonts w:cs="Arial"/>
          <w:szCs w:val="20"/>
          <w:lang w:val="sl-SI"/>
        </w:rPr>
        <w:t xml:space="preserve">v </w:t>
      </w:r>
      <w:r w:rsidRPr="00CC0EE8">
        <w:rPr>
          <w:rFonts w:cs="Arial"/>
          <w:szCs w:val="20"/>
          <w:lang w:val="sl-SI"/>
        </w:rPr>
        <w:t>sklad</w:t>
      </w:r>
      <w:r>
        <w:rPr>
          <w:rFonts w:cs="Arial"/>
          <w:szCs w:val="20"/>
          <w:lang w:val="sl-SI"/>
        </w:rPr>
        <w:t>u</w:t>
      </w:r>
      <w:r w:rsidRPr="00CC0EE8">
        <w:rPr>
          <w:rFonts w:cs="Arial"/>
          <w:szCs w:val="20"/>
          <w:lang w:val="sl-SI"/>
        </w:rPr>
        <w:t xml:space="preserve"> z </w:t>
      </w:r>
      <w:r>
        <w:rPr>
          <w:rFonts w:cs="Arial"/>
          <w:szCs w:val="20"/>
          <w:lang w:val="sl-SI"/>
        </w:rPr>
        <w:t>u</w:t>
      </w:r>
      <w:r w:rsidRPr="00CC0EE8">
        <w:rPr>
          <w:rFonts w:cs="Arial"/>
          <w:szCs w:val="20"/>
          <w:lang w:val="sl-SI"/>
        </w:rPr>
        <w:t>redbo o ravnanju z izrabljenimi gumami predelane</w:t>
      </w:r>
      <w:r>
        <w:rPr>
          <w:rFonts w:cs="Arial"/>
          <w:szCs w:val="20"/>
          <w:lang w:val="sl-SI"/>
        </w:rPr>
        <w:t xml:space="preserve"> </w:t>
      </w:r>
      <w:r w:rsidRPr="00CC0EE8">
        <w:rPr>
          <w:rFonts w:cs="Arial"/>
          <w:szCs w:val="20"/>
          <w:lang w:val="sl-SI"/>
        </w:rPr>
        <w:t>z recikliranjem ali uporab</w:t>
      </w:r>
      <w:r>
        <w:rPr>
          <w:rFonts w:cs="Arial"/>
          <w:szCs w:val="20"/>
          <w:lang w:val="sl-SI"/>
        </w:rPr>
        <w:t>ljene</w:t>
      </w:r>
      <w:r w:rsidRPr="00CC0EE8">
        <w:rPr>
          <w:rFonts w:cs="Arial"/>
          <w:szCs w:val="20"/>
          <w:lang w:val="sl-SI"/>
        </w:rPr>
        <w:t xml:space="preserve"> kot gorivo ali drugo pridobivanje energije. </w:t>
      </w:r>
    </w:p>
    <w:p w:rsidR="002F73CD" w:rsidRPr="00CC0EE8" w:rsidRDefault="002F73CD" w:rsidP="002F73CD">
      <w:pPr>
        <w:spacing w:after="200" w:line="276" w:lineRule="auto"/>
        <w:jc w:val="both"/>
        <w:rPr>
          <w:rFonts w:cs="Arial"/>
          <w:szCs w:val="20"/>
          <w:lang w:val="sl-SI"/>
        </w:rPr>
      </w:pPr>
      <w:r w:rsidRPr="00CC0EE8">
        <w:rPr>
          <w:rFonts w:cs="Arial"/>
          <w:szCs w:val="20"/>
          <w:lang w:val="sl-SI"/>
        </w:rPr>
        <w:t>V letu 2014 je bila v okviru skupnega sistema razširjene odgovornosti proizvajalcev zagotovljena predelava za 15.555 t izrabljenih gum. Okrog 40</w:t>
      </w:r>
      <w:r>
        <w:rPr>
          <w:rFonts w:cs="Arial"/>
          <w:szCs w:val="20"/>
          <w:lang w:val="sl-SI"/>
        </w:rPr>
        <w:t xml:space="preserve"> </w:t>
      </w:r>
      <w:r w:rsidRPr="00CC0EE8">
        <w:rPr>
          <w:rFonts w:cs="Arial"/>
          <w:szCs w:val="20"/>
          <w:lang w:val="sl-SI"/>
        </w:rPr>
        <w:t xml:space="preserve">% jih je bilo energetsko predelanih oziroma uporabljenih kot gorivo v cementarnah, 60 % pa recikliranih (od tega 12,5 % v Sloveniji), 58 % izrabljenih gum je bilo predelanih v materiale in 42 % </w:t>
      </w:r>
      <w:r>
        <w:rPr>
          <w:rFonts w:cs="Arial"/>
          <w:szCs w:val="20"/>
          <w:lang w:val="sl-SI"/>
        </w:rPr>
        <w:t xml:space="preserve">jih je bilo </w:t>
      </w:r>
      <w:r w:rsidRPr="00CC0EE8">
        <w:rPr>
          <w:rFonts w:cs="Arial"/>
          <w:szCs w:val="20"/>
          <w:lang w:val="sl-SI"/>
        </w:rPr>
        <w:t>energetsko predelanih.</w:t>
      </w:r>
    </w:p>
    <w:p w:rsidR="002F73CD" w:rsidRPr="00CC0EE8" w:rsidRDefault="002F73CD" w:rsidP="002F73CD">
      <w:pPr>
        <w:spacing w:line="276" w:lineRule="auto"/>
        <w:jc w:val="both"/>
        <w:rPr>
          <w:rFonts w:cs="Arial"/>
          <w:szCs w:val="20"/>
          <w:lang w:val="sl-SI"/>
        </w:rPr>
      </w:pPr>
    </w:p>
    <w:p w:rsidR="002F73CD" w:rsidRPr="00CC0EE8" w:rsidRDefault="00FF4C0C" w:rsidP="002F73CD">
      <w:pPr>
        <w:spacing w:after="200" w:line="276" w:lineRule="auto"/>
        <w:jc w:val="both"/>
        <w:rPr>
          <w:rFonts w:cs="Arial"/>
          <w:b/>
          <w:szCs w:val="20"/>
          <w:lang w:val="sl-SI" w:eastAsia="sl-SI"/>
        </w:rPr>
      </w:pPr>
      <w:r>
        <w:rPr>
          <w:rFonts w:cs="Arial"/>
          <w:b/>
          <w:szCs w:val="20"/>
          <w:lang w:val="sl-SI" w:eastAsia="sl-SI"/>
        </w:rPr>
        <w:t>9</w:t>
      </w:r>
      <w:r w:rsidR="002F73CD" w:rsidRPr="00CC0EE8">
        <w:rPr>
          <w:rFonts w:cs="Arial"/>
          <w:b/>
          <w:szCs w:val="20"/>
          <w:lang w:val="sl-SI" w:eastAsia="sl-SI"/>
        </w:rPr>
        <w:t>.3.5 Doseganje ciljev glede ravnanja z odpadki</w:t>
      </w:r>
    </w:p>
    <w:p w:rsidR="002F73CD" w:rsidRPr="005771BD" w:rsidRDefault="002F73CD" w:rsidP="002F73CD">
      <w:pPr>
        <w:spacing w:after="200" w:line="276" w:lineRule="auto"/>
        <w:jc w:val="both"/>
        <w:rPr>
          <w:rFonts w:eastAsia="Calibri" w:cs="Arial"/>
          <w:szCs w:val="20"/>
          <w:lang w:val="sl-SI"/>
        </w:rPr>
      </w:pPr>
      <w:r w:rsidRPr="005771BD">
        <w:rPr>
          <w:rFonts w:eastAsia="Calibri" w:cs="Arial"/>
          <w:szCs w:val="20"/>
          <w:lang w:val="sl-SI"/>
        </w:rPr>
        <w:t>Predpisane cilje recikliranja in predelave odpadne embalaže Slovenija dosega vsa leta, z izjemo doseganja deleža recikliranja odpadnih embalažnih materialov – les v letih 2008 in 2009 ter kovine leta 2012. V letu 2013 je nastalo 200.396 ton odpadne embalaže</w:t>
      </w:r>
      <w:r>
        <w:rPr>
          <w:rFonts w:eastAsia="Calibri" w:cs="Arial"/>
          <w:szCs w:val="20"/>
          <w:lang w:val="sl-SI"/>
        </w:rPr>
        <w:t>, od tega je bilo r</w:t>
      </w:r>
      <w:r w:rsidRPr="005771BD">
        <w:rPr>
          <w:rFonts w:eastAsia="Calibri" w:cs="Arial"/>
          <w:szCs w:val="20"/>
          <w:lang w:val="sl-SI"/>
        </w:rPr>
        <w:t>ecikliran</w:t>
      </w:r>
      <w:r>
        <w:rPr>
          <w:rFonts w:eastAsia="Calibri" w:cs="Arial"/>
          <w:szCs w:val="20"/>
          <w:lang w:val="sl-SI"/>
        </w:rPr>
        <w:t>e</w:t>
      </w:r>
      <w:r w:rsidRPr="005771BD">
        <w:rPr>
          <w:rFonts w:eastAsia="Calibri" w:cs="Arial"/>
          <w:szCs w:val="20"/>
          <w:lang w:val="sl-SI"/>
        </w:rPr>
        <w:t xml:space="preserve"> 138.209 ton oziroma 69 %</w:t>
      </w:r>
      <w:r>
        <w:rPr>
          <w:rFonts w:eastAsia="Calibri" w:cs="Arial"/>
          <w:szCs w:val="20"/>
          <w:lang w:val="sl-SI"/>
        </w:rPr>
        <w:t xml:space="preserve"> in</w:t>
      </w:r>
      <w:r w:rsidRPr="005771BD">
        <w:rPr>
          <w:rFonts w:eastAsia="Calibri" w:cs="Arial"/>
          <w:szCs w:val="20"/>
          <w:lang w:val="sl-SI"/>
        </w:rPr>
        <w:t xml:space="preserve"> predelane 185.404 ton oziroma 92,5 %.</w:t>
      </w:r>
    </w:p>
    <w:p w:rsidR="002F73CD" w:rsidRPr="005771BD" w:rsidRDefault="002F73CD" w:rsidP="002F73CD">
      <w:pPr>
        <w:spacing w:after="200" w:line="276" w:lineRule="auto"/>
        <w:jc w:val="both"/>
        <w:rPr>
          <w:rFonts w:eastAsia="Calibri" w:cs="Arial"/>
          <w:szCs w:val="20"/>
          <w:lang w:val="sl-SI"/>
        </w:rPr>
      </w:pPr>
      <w:r w:rsidRPr="005771BD">
        <w:rPr>
          <w:rFonts w:eastAsia="Calibri" w:cs="Arial"/>
          <w:szCs w:val="20"/>
          <w:lang w:val="sl-SI"/>
        </w:rPr>
        <w:t>V skladu z Direktivo</w:t>
      </w:r>
      <w:r w:rsidRPr="005771BD">
        <w:rPr>
          <w:rFonts w:eastAsia="Calibri" w:cs="Arial"/>
          <w:color w:val="333232"/>
          <w:szCs w:val="20"/>
          <w:lang w:val="sl-SI" w:eastAsia="sl-SI"/>
        </w:rPr>
        <w:t> </w:t>
      </w:r>
      <w:r w:rsidRPr="005771BD">
        <w:rPr>
          <w:rFonts w:eastAsia="Calibri" w:cs="Arial"/>
          <w:szCs w:val="20"/>
          <w:lang w:val="sl-SI"/>
        </w:rPr>
        <w:t xml:space="preserve">2012/19/ES o odpadni električni in elektronski opremi </w:t>
      </w:r>
      <w:r>
        <w:rPr>
          <w:rFonts w:eastAsia="Calibri" w:cs="Arial"/>
          <w:szCs w:val="20"/>
          <w:lang w:val="sl-SI"/>
        </w:rPr>
        <w:t>morajo</w:t>
      </w:r>
      <w:r w:rsidRPr="005771BD">
        <w:rPr>
          <w:rFonts w:eastAsia="Calibri" w:cs="Arial"/>
          <w:szCs w:val="20"/>
          <w:lang w:val="sl-SI"/>
        </w:rPr>
        <w:t xml:space="preserve"> države članice do leta 2015 zagotoviti, da se v povprečju zbere vsaj 4</w:t>
      </w:r>
      <w:r w:rsidRPr="005771BD">
        <w:rPr>
          <w:rFonts w:cs="Arial"/>
          <w:color w:val="333232"/>
          <w:szCs w:val="20"/>
          <w:lang w:val="sl-SI" w:eastAsia="sl-SI"/>
        </w:rPr>
        <w:t> </w:t>
      </w:r>
      <w:r w:rsidRPr="005771BD">
        <w:rPr>
          <w:rFonts w:eastAsia="Calibri" w:cs="Arial"/>
          <w:szCs w:val="20"/>
          <w:lang w:val="sl-SI"/>
        </w:rPr>
        <w:t>kg odpadne električne in elektronske opreme (OEEO) iz gospodinjstev na prebivalca letno. Pri tem je OEEO iz gospodinjstev opredeljena kot OEEO iz zasebnih gospodinjstev in OEEO iz trgovine, proizvodnih, poslovnih, storitvenih in drugih dejavnosti ter javnega sektorja in je zaradi svo</w:t>
      </w:r>
      <w:r>
        <w:rPr>
          <w:rFonts w:eastAsia="Calibri" w:cs="Arial"/>
          <w:szCs w:val="20"/>
          <w:lang w:val="sl-SI"/>
        </w:rPr>
        <w:t>jih lastnosti</w:t>
      </w:r>
      <w:r w:rsidRPr="005771BD">
        <w:rPr>
          <w:rFonts w:eastAsia="Calibri" w:cs="Arial"/>
          <w:szCs w:val="20"/>
          <w:lang w:val="sl-SI"/>
        </w:rPr>
        <w:t xml:space="preserve"> in količine podobna OEEO iz gospodinjstev. Z nekaj več kot 4</w:t>
      </w:r>
      <w:r w:rsidRPr="005771BD">
        <w:rPr>
          <w:rFonts w:eastAsia="Calibri" w:cs="Arial"/>
          <w:color w:val="333232"/>
          <w:szCs w:val="20"/>
          <w:lang w:val="sl-SI" w:eastAsia="sl-SI"/>
        </w:rPr>
        <w:t> </w:t>
      </w:r>
      <w:r w:rsidRPr="005771BD">
        <w:rPr>
          <w:rFonts w:eastAsia="Calibri" w:cs="Arial"/>
          <w:szCs w:val="20"/>
          <w:lang w:val="sl-SI"/>
        </w:rPr>
        <w:t xml:space="preserve">kg zbrane OEEO iz gospodinjstev na prebivalca v letu 2014 Slovenija dosega ta okoljski cilj. Po podatkih nosilcev skupnih sistemov je bilo v letu 2014 </w:t>
      </w:r>
      <w:r>
        <w:rPr>
          <w:rFonts w:eastAsia="Calibri" w:cs="Arial"/>
          <w:szCs w:val="20"/>
          <w:lang w:val="sl-SI"/>
        </w:rPr>
        <w:t xml:space="preserve">zbrane </w:t>
      </w:r>
      <w:r w:rsidRPr="005771BD">
        <w:rPr>
          <w:rFonts w:eastAsia="Calibri" w:cs="Arial"/>
          <w:szCs w:val="20"/>
          <w:lang w:val="sl-SI"/>
        </w:rPr>
        <w:t>9.692</w:t>
      </w:r>
      <w:r w:rsidRPr="005771BD">
        <w:rPr>
          <w:rFonts w:eastAsia="Calibri" w:cs="Arial"/>
          <w:color w:val="333232"/>
          <w:szCs w:val="20"/>
          <w:lang w:val="sl-SI" w:eastAsia="sl-SI"/>
        </w:rPr>
        <w:t> </w:t>
      </w:r>
      <w:r w:rsidRPr="005771BD">
        <w:rPr>
          <w:rFonts w:eastAsia="Calibri" w:cs="Arial"/>
          <w:szCs w:val="20"/>
          <w:lang w:val="sl-SI"/>
        </w:rPr>
        <w:t>t</w:t>
      </w:r>
      <w:r>
        <w:rPr>
          <w:rFonts w:eastAsia="Calibri" w:cs="Arial"/>
          <w:szCs w:val="20"/>
          <w:lang w:val="sl-SI"/>
        </w:rPr>
        <w:t xml:space="preserve"> OEEO. </w:t>
      </w:r>
      <w:r w:rsidRPr="005771BD">
        <w:rPr>
          <w:rFonts w:eastAsia="Calibri" w:cs="Arial"/>
          <w:szCs w:val="20"/>
          <w:lang w:val="sl-SI"/>
        </w:rPr>
        <w:t xml:space="preserve"> V letu 2014 je bilo </w:t>
      </w:r>
      <w:r>
        <w:rPr>
          <w:rFonts w:eastAsia="Calibri" w:cs="Arial"/>
          <w:szCs w:val="20"/>
          <w:lang w:val="sl-SI"/>
        </w:rPr>
        <w:t xml:space="preserve">87 % </w:t>
      </w:r>
      <w:r w:rsidRPr="005771BD">
        <w:rPr>
          <w:rFonts w:eastAsia="Calibri" w:cs="Arial"/>
          <w:szCs w:val="20"/>
          <w:lang w:val="sl-SI"/>
        </w:rPr>
        <w:t xml:space="preserve">ločene zbrane OEEO iz gospodinjstev. </w:t>
      </w:r>
    </w:p>
    <w:p w:rsidR="002F73CD" w:rsidRDefault="002F73CD" w:rsidP="002F73CD">
      <w:pPr>
        <w:spacing w:after="200" w:line="276" w:lineRule="auto"/>
        <w:jc w:val="both"/>
        <w:rPr>
          <w:rFonts w:eastAsia="Calibri" w:cs="Arial"/>
          <w:szCs w:val="20"/>
          <w:lang w:val="sl-SI"/>
        </w:rPr>
      </w:pPr>
      <w:r w:rsidRPr="005771BD">
        <w:rPr>
          <w:rFonts w:eastAsia="Calibri" w:cs="Arial"/>
          <w:szCs w:val="20"/>
          <w:lang w:val="sl-SI"/>
        </w:rPr>
        <w:t>Leta 2013 je bilo na podlagi podatkov o letnem poročanju povzročiteljev odpadkov in letnem poročanju o izvajalcih storitev javne službe zbiranja komunalnih odpadkov od povzročiteljev odpadkov prevzetih okoli 6.150</w:t>
      </w:r>
      <w:r w:rsidRPr="005771BD">
        <w:rPr>
          <w:rFonts w:eastAsia="Calibri" w:cs="Arial"/>
          <w:color w:val="333232"/>
          <w:szCs w:val="20"/>
          <w:lang w:val="sl-SI" w:eastAsia="sl-SI"/>
        </w:rPr>
        <w:t> </w:t>
      </w:r>
      <w:r w:rsidRPr="005771BD">
        <w:rPr>
          <w:rFonts w:eastAsia="Calibri" w:cs="Arial"/>
          <w:szCs w:val="20"/>
          <w:lang w:val="sl-SI"/>
        </w:rPr>
        <w:t xml:space="preserve">t vseh odpadnih baterij in akumulatorjev. V letu 2011 je bilo na trg danih 257 ton prenosnih baterij in akumulatorjev, v letu 2012  273 ton,  v letu 2013 228 ton, v 2014 210 ton in v letu 2015 247 ton. </w:t>
      </w:r>
      <w:r w:rsidRPr="005771BD">
        <w:rPr>
          <w:rFonts w:eastAsia="Calibri" w:cs="Arial"/>
          <w:szCs w:val="20"/>
          <w:shd w:val="clear" w:color="auto" w:fill="FFFFFF"/>
          <w:lang w:val="sl-SI"/>
        </w:rPr>
        <w:t xml:space="preserve">Iz podatkov o dajanju prenosnih baterij in akumulatorjev na trg ter podatkov o zbranih odpadnih prenosnih baterijah in akumulatorjih izhaja, da Slovenija od leta 2012 dosega cilj zbranih </w:t>
      </w:r>
      <w:r w:rsidRPr="005771BD">
        <w:rPr>
          <w:rFonts w:eastAsia="Calibri" w:cs="Arial"/>
          <w:szCs w:val="20"/>
          <w:lang w:val="sl-SI"/>
        </w:rPr>
        <w:t>25</w:t>
      </w:r>
      <w:r w:rsidRPr="005771BD">
        <w:rPr>
          <w:rFonts w:eastAsia="Calibri" w:cs="Arial"/>
          <w:color w:val="333232"/>
          <w:szCs w:val="20"/>
          <w:lang w:val="sl-SI" w:eastAsia="sl-SI"/>
        </w:rPr>
        <w:t> %</w:t>
      </w:r>
      <w:r w:rsidRPr="005771BD">
        <w:rPr>
          <w:rFonts w:eastAsia="Calibri" w:cs="Arial"/>
          <w:szCs w:val="20"/>
          <w:lang w:val="sl-SI"/>
        </w:rPr>
        <w:t xml:space="preserve"> odpadnih prenosnih baterij in akumulatorjev glede na količine prenosnih baterij in akumulatorjev, danih na trg v tistem in predhodnih dveh letih. V letu 2015 je Slovenija </w:t>
      </w:r>
      <w:r>
        <w:rPr>
          <w:rFonts w:eastAsia="Calibri" w:cs="Arial"/>
          <w:szCs w:val="20"/>
          <w:lang w:val="sl-SI"/>
        </w:rPr>
        <w:t>zbrala</w:t>
      </w:r>
      <w:r w:rsidRPr="005771BD">
        <w:rPr>
          <w:rFonts w:eastAsia="Calibri" w:cs="Arial"/>
          <w:szCs w:val="20"/>
          <w:lang w:val="sl-SI"/>
        </w:rPr>
        <w:t xml:space="preserve"> 35 % odpadnih prenosnih baterij in akumulatorjev. Cilj za leto 2016 je 45</w:t>
      </w:r>
      <w:r w:rsidRPr="005771BD">
        <w:rPr>
          <w:rFonts w:eastAsia="Calibri" w:cs="Arial"/>
          <w:color w:val="333232"/>
          <w:szCs w:val="20"/>
          <w:lang w:val="sl-SI" w:eastAsia="sl-SI"/>
        </w:rPr>
        <w:t> </w:t>
      </w:r>
      <w:r w:rsidRPr="005771BD">
        <w:rPr>
          <w:rFonts w:eastAsia="Calibri" w:cs="Arial"/>
          <w:szCs w:val="20"/>
          <w:lang w:val="sl-SI" w:eastAsia="sl-SI"/>
        </w:rPr>
        <w:t>%</w:t>
      </w:r>
      <w:r w:rsidRPr="005771BD">
        <w:rPr>
          <w:rFonts w:eastAsia="Calibri" w:cs="Arial"/>
          <w:szCs w:val="20"/>
          <w:lang w:val="sl-SI"/>
        </w:rPr>
        <w:t xml:space="preserve"> zbranih odpadnih prenosnih baterij in akumulatorjev glede na količine prenosnih baterij in akumulatorjev, danih na trg v tistem in predhodnih dveh letih (2014</w:t>
      </w:r>
      <w:r>
        <w:rPr>
          <w:rFonts w:eastAsia="Calibri" w:cs="Arial"/>
          <w:szCs w:val="20"/>
          <w:lang w:val="sl-SI"/>
        </w:rPr>
        <w:t>–</w:t>
      </w:r>
      <w:r w:rsidRPr="005771BD">
        <w:rPr>
          <w:rFonts w:eastAsia="Calibri" w:cs="Arial"/>
          <w:szCs w:val="20"/>
          <w:lang w:val="sl-SI"/>
        </w:rPr>
        <w:t>2016).</w:t>
      </w:r>
    </w:p>
    <w:p w:rsidR="00FF4C0C" w:rsidRPr="005771BD" w:rsidRDefault="00FF4C0C" w:rsidP="00FF4C0C">
      <w:pPr>
        <w:spacing w:after="200" w:line="276" w:lineRule="auto"/>
        <w:jc w:val="both"/>
        <w:rPr>
          <w:rFonts w:cs="Arial"/>
          <w:noProof/>
          <w:szCs w:val="20"/>
          <w:lang w:val="sl-SI"/>
        </w:rPr>
      </w:pPr>
      <w:r w:rsidRPr="005771BD">
        <w:rPr>
          <w:rFonts w:cs="Arial"/>
          <w:szCs w:val="20"/>
          <w:lang w:val="sl-SI"/>
        </w:rPr>
        <w:t>V letu 2020 je na vseh odlagališčih v Sloveniji treba odloži</w:t>
      </w:r>
      <w:r>
        <w:rPr>
          <w:rFonts w:cs="Arial"/>
          <w:szCs w:val="20"/>
          <w:lang w:val="sl-SI"/>
        </w:rPr>
        <w:t>ti</w:t>
      </w:r>
      <w:r w:rsidRPr="005771BD">
        <w:rPr>
          <w:rFonts w:cs="Arial"/>
          <w:szCs w:val="20"/>
          <w:lang w:val="sl-SI"/>
        </w:rPr>
        <w:t xml:space="preserve"> manj kot 35</w:t>
      </w:r>
      <w:r w:rsidRPr="005771BD">
        <w:rPr>
          <w:rFonts w:cs="Arial"/>
          <w:color w:val="333232"/>
          <w:szCs w:val="20"/>
          <w:lang w:val="sl-SI" w:eastAsia="sl-SI"/>
        </w:rPr>
        <w:t> </w:t>
      </w:r>
      <w:r w:rsidRPr="005771BD">
        <w:rPr>
          <w:rFonts w:cs="Arial"/>
          <w:szCs w:val="20"/>
          <w:lang w:val="sl-SI"/>
        </w:rPr>
        <w:t>odstotkov biološko razgradljivih sestavin komunalnih odpadkov glede na odloženo količino biološko razgradljivih sestavin v letu 1995, kar je tudi cilj odlaganja biološko razgradljivih sestavin komunalnih odpadkov iz Direktive</w:t>
      </w:r>
      <w:r w:rsidRPr="005771BD">
        <w:rPr>
          <w:rFonts w:cs="Arial"/>
          <w:color w:val="333232"/>
          <w:szCs w:val="20"/>
          <w:lang w:val="sl-SI" w:eastAsia="sl-SI"/>
        </w:rPr>
        <w:t> </w:t>
      </w:r>
      <w:r w:rsidRPr="005771BD">
        <w:rPr>
          <w:rFonts w:cs="Arial"/>
          <w:szCs w:val="20"/>
          <w:lang w:val="sl-SI"/>
        </w:rPr>
        <w:t>1999/31/ES o odlaganju odpadkov na odlagališčih. Letna količina biološko razgradljivih komunalnih odpadkov, ki se odlagajo na odlagališčih, se mora v letu 2020 zmanjšati pod 156.000</w:t>
      </w:r>
      <w:r w:rsidRPr="005771BD">
        <w:rPr>
          <w:rFonts w:cs="Arial"/>
          <w:color w:val="333232"/>
          <w:szCs w:val="20"/>
          <w:lang w:val="sl-SI" w:eastAsia="sl-SI"/>
        </w:rPr>
        <w:t> </w:t>
      </w:r>
      <w:r w:rsidRPr="005771BD">
        <w:rPr>
          <w:rFonts w:cs="Arial"/>
          <w:szCs w:val="20"/>
          <w:lang w:val="sl-SI"/>
        </w:rPr>
        <w:t xml:space="preserve">t. </w:t>
      </w:r>
      <w:r w:rsidRPr="005771BD">
        <w:rPr>
          <w:rFonts w:cs="Arial"/>
          <w:noProof/>
          <w:szCs w:val="20"/>
          <w:lang w:val="sl-SI"/>
        </w:rPr>
        <w:t>V izhodiščnem letu 1995 je bilo tako na odlagališčih nenevarnih odpadkov v Sloveniji odloženih 707.000</w:t>
      </w:r>
      <w:r w:rsidRPr="005771BD">
        <w:rPr>
          <w:rFonts w:cs="Arial"/>
          <w:noProof/>
          <w:color w:val="333232"/>
          <w:szCs w:val="20"/>
          <w:lang w:val="sl-SI" w:eastAsia="sl-SI"/>
        </w:rPr>
        <w:t> </w:t>
      </w:r>
      <w:r w:rsidRPr="005771BD">
        <w:rPr>
          <w:rFonts w:cs="Arial"/>
          <w:noProof/>
          <w:szCs w:val="20"/>
          <w:lang w:val="sl-SI"/>
        </w:rPr>
        <w:t>t komunalnih odpadkov, od tega 63</w:t>
      </w:r>
      <w:r w:rsidRPr="005771BD">
        <w:rPr>
          <w:rFonts w:cs="Arial"/>
          <w:noProof/>
          <w:color w:val="333232"/>
          <w:szCs w:val="20"/>
          <w:lang w:val="sl-SI" w:eastAsia="sl-SI"/>
        </w:rPr>
        <w:t> </w:t>
      </w:r>
      <w:r w:rsidRPr="005771BD">
        <w:rPr>
          <w:rFonts w:cs="Arial"/>
          <w:noProof/>
          <w:szCs w:val="20"/>
          <w:lang w:val="sl-SI"/>
        </w:rPr>
        <w:t>odstotkov ali 445.000</w:t>
      </w:r>
      <w:r w:rsidRPr="005771BD">
        <w:rPr>
          <w:rFonts w:cs="Arial"/>
          <w:noProof/>
          <w:color w:val="333232"/>
          <w:szCs w:val="20"/>
          <w:lang w:val="sl-SI" w:eastAsia="sl-SI"/>
        </w:rPr>
        <w:t> </w:t>
      </w:r>
      <w:r w:rsidRPr="005771BD">
        <w:rPr>
          <w:rFonts w:cs="Arial"/>
          <w:noProof/>
          <w:szCs w:val="20"/>
          <w:lang w:val="sl-SI"/>
        </w:rPr>
        <w:t>t biološko razgradljivih komunalnih odpadkov. Iz podatkov izhaja, da je bilo v letu 2014 odloženih 83.186 t biološko razgradljivih komunalnih odpadkov, kar je že za polovico boljši rezultat od cilja za leto 2020. V Sloveniji je bilo v letu 2014 recikliranih 49 % komunalnih odpadkov.</w:t>
      </w:r>
    </w:p>
    <w:p w:rsidR="002F73CD" w:rsidRPr="00CC0EE8" w:rsidRDefault="002F73CD" w:rsidP="00FF4C0C">
      <w:pPr>
        <w:spacing w:after="120" w:line="276" w:lineRule="auto"/>
        <w:jc w:val="both"/>
        <w:rPr>
          <w:rFonts w:cs="Arial"/>
          <w:i/>
          <w:szCs w:val="20"/>
          <w:lang w:val="sl-SI" w:eastAsia="sl-SI"/>
        </w:rPr>
      </w:pPr>
      <w:r w:rsidRPr="00CC0EE8">
        <w:rPr>
          <w:rFonts w:cs="Arial"/>
          <w:i/>
          <w:szCs w:val="20"/>
          <w:lang w:val="sl-SI" w:eastAsia="sl-SI"/>
        </w:rPr>
        <w:t xml:space="preserve">Preglednica </w:t>
      </w:r>
      <w:r w:rsidR="00FF4C0C">
        <w:rPr>
          <w:rFonts w:cs="Arial"/>
          <w:i/>
          <w:szCs w:val="20"/>
          <w:lang w:val="sl-SI" w:eastAsia="sl-SI"/>
        </w:rPr>
        <w:t>9</w:t>
      </w:r>
      <w:r w:rsidRPr="00CC0EE8">
        <w:rPr>
          <w:rFonts w:cs="Arial"/>
          <w:i/>
          <w:szCs w:val="20"/>
          <w:lang w:val="sl-SI" w:eastAsia="sl-SI"/>
        </w:rPr>
        <w:t xml:space="preserve">.1: </w:t>
      </w:r>
      <w:r>
        <w:rPr>
          <w:rFonts w:cs="Arial"/>
          <w:i/>
          <w:szCs w:val="20"/>
          <w:lang w:val="sl-SI" w:eastAsia="sl-SI"/>
        </w:rPr>
        <w:t>C</w:t>
      </w:r>
      <w:r w:rsidRPr="00CC0EE8">
        <w:rPr>
          <w:rFonts w:cs="Arial"/>
          <w:i/>
          <w:szCs w:val="20"/>
          <w:lang w:val="sl-SI" w:eastAsia="sl-SI"/>
        </w:rPr>
        <w:t>ilji v zvezi z ravnanjem s komunalnimi odpadki</w:t>
      </w:r>
    </w:p>
    <w:tbl>
      <w:tblPr>
        <w:tblW w:w="9498" w:type="dxa"/>
        <w:tblInd w:w="1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A0" w:firstRow="1" w:lastRow="0" w:firstColumn="1" w:lastColumn="0" w:noHBand="0" w:noVBand="1"/>
      </w:tblPr>
      <w:tblGrid>
        <w:gridCol w:w="2204"/>
        <w:gridCol w:w="756"/>
        <w:gridCol w:w="1461"/>
        <w:gridCol w:w="1694"/>
        <w:gridCol w:w="3383"/>
      </w:tblGrid>
      <w:tr w:rsidR="002F73CD" w:rsidRPr="005771BD" w:rsidTr="00ED0D9D">
        <w:trPr>
          <w:trHeight w:val="263"/>
          <w:tblHeader/>
        </w:trPr>
        <w:tc>
          <w:tcPr>
            <w:tcW w:w="9498" w:type="dxa"/>
            <w:gridSpan w:val="5"/>
            <w:tcBorders>
              <w:top w:val="single" w:sz="4" w:space="0" w:color="auto"/>
              <w:left w:val="single" w:sz="4" w:space="0" w:color="auto"/>
              <w:bottom w:val="single" w:sz="4" w:space="0" w:color="auto"/>
              <w:right w:val="single" w:sz="4" w:space="0" w:color="auto"/>
            </w:tcBorders>
            <w:shd w:val="clear" w:color="auto" w:fill="CCCCCC" w:themeFill="text2" w:themeFillTint="33"/>
            <w:tcMar>
              <w:top w:w="12" w:type="dxa"/>
              <w:left w:w="108" w:type="dxa"/>
              <w:bottom w:w="0" w:type="dxa"/>
              <w:right w:w="108" w:type="dxa"/>
            </w:tcMar>
            <w:vAlign w:val="center"/>
            <w:hideMark/>
          </w:tcPr>
          <w:p w:rsidR="002F73CD" w:rsidRPr="00CC0EE8" w:rsidRDefault="002F73CD" w:rsidP="00ED0D9D">
            <w:pPr>
              <w:spacing w:before="60" w:after="200" w:line="276" w:lineRule="auto"/>
              <w:jc w:val="center"/>
              <w:rPr>
                <w:rFonts w:cs="Arial"/>
                <w:b/>
                <w:szCs w:val="20"/>
                <w:lang w:val="sl-SI"/>
              </w:rPr>
            </w:pPr>
            <w:r w:rsidRPr="00CC0EE8">
              <w:rPr>
                <w:rFonts w:cs="Arial"/>
                <w:b/>
                <w:szCs w:val="20"/>
                <w:lang w:val="sl-SI" w:eastAsia="sl-SI"/>
              </w:rPr>
              <w:br w:type="column"/>
            </w:r>
            <w:r w:rsidRPr="00CC0EE8">
              <w:rPr>
                <w:rFonts w:cs="Arial"/>
                <w:b/>
                <w:szCs w:val="20"/>
                <w:lang w:val="sl-SI"/>
              </w:rPr>
              <w:t>CILJI V ZVEZI Z RAVNANJEM S KOMUNALNIMI ODPADKI</w:t>
            </w:r>
          </w:p>
        </w:tc>
      </w:tr>
      <w:tr w:rsidR="002F73CD" w:rsidRPr="005771BD" w:rsidTr="00ED0D9D">
        <w:trPr>
          <w:trHeight w:val="227"/>
        </w:trPr>
        <w:tc>
          <w:tcPr>
            <w:tcW w:w="2204" w:type="dxa"/>
            <w:tcBorders>
              <w:top w:val="single" w:sz="4" w:space="0" w:color="auto"/>
              <w:left w:val="single" w:sz="4" w:space="0" w:color="auto"/>
              <w:bottom w:val="single" w:sz="4" w:space="0" w:color="auto"/>
              <w:right w:val="single" w:sz="4" w:space="0" w:color="auto"/>
            </w:tcBorders>
            <w:shd w:val="clear" w:color="auto" w:fill="CCCCCC" w:themeFill="text2" w:themeFillTint="33"/>
            <w:tcMar>
              <w:top w:w="12" w:type="dxa"/>
              <w:left w:w="108" w:type="dxa"/>
              <w:bottom w:w="0" w:type="dxa"/>
              <w:right w:w="108" w:type="dxa"/>
            </w:tcMar>
            <w:vAlign w:val="center"/>
            <w:hideMark/>
          </w:tcPr>
          <w:p w:rsidR="002F73CD" w:rsidRPr="002F73CD" w:rsidRDefault="002F73CD" w:rsidP="00ED0D9D">
            <w:pPr>
              <w:autoSpaceDE w:val="0"/>
              <w:autoSpaceDN w:val="0"/>
              <w:adjustRightInd w:val="0"/>
              <w:spacing w:after="200" w:line="276" w:lineRule="auto"/>
              <w:jc w:val="center"/>
              <w:rPr>
                <w:rFonts w:cs="Arial"/>
                <w:szCs w:val="20"/>
                <w:lang w:val="sl-SI" w:eastAsia="sl-SI"/>
              </w:rPr>
            </w:pPr>
          </w:p>
        </w:tc>
        <w:tc>
          <w:tcPr>
            <w:tcW w:w="756" w:type="dxa"/>
            <w:tcBorders>
              <w:top w:val="single" w:sz="4" w:space="0" w:color="auto"/>
              <w:left w:val="single" w:sz="4" w:space="0" w:color="auto"/>
              <w:bottom w:val="single" w:sz="4" w:space="0" w:color="auto"/>
              <w:right w:val="single" w:sz="4" w:space="0" w:color="auto"/>
            </w:tcBorders>
            <w:shd w:val="clear" w:color="auto" w:fill="CCCCCC" w:themeFill="text2" w:themeFillTint="33"/>
            <w:tcMar>
              <w:top w:w="12" w:type="dxa"/>
              <w:left w:w="108" w:type="dxa"/>
              <w:bottom w:w="0" w:type="dxa"/>
              <w:right w:w="108" w:type="dxa"/>
            </w:tcMar>
            <w:vAlign w:val="center"/>
            <w:hideMark/>
          </w:tcPr>
          <w:p w:rsidR="002F73CD" w:rsidRPr="002F73CD" w:rsidRDefault="002F73CD" w:rsidP="00ED0D9D">
            <w:pPr>
              <w:autoSpaceDE w:val="0"/>
              <w:autoSpaceDN w:val="0"/>
              <w:adjustRightInd w:val="0"/>
              <w:spacing w:after="200" w:line="276" w:lineRule="auto"/>
              <w:jc w:val="center"/>
              <w:rPr>
                <w:rFonts w:cs="Arial"/>
                <w:szCs w:val="20"/>
                <w:lang w:val="sl-SI" w:eastAsia="sl-SI"/>
              </w:rPr>
            </w:pPr>
            <w:r w:rsidRPr="002F73CD">
              <w:rPr>
                <w:rFonts w:cs="Arial"/>
                <w:b/>
                <w:bCs/>
                <w:szCs w:val="20"/>
                <w:lang w:val="sl-SI" w:eastAsia="sl-SI"/>
              </w:rPr>
              <w:t>LETO</w:t>
            </w:r>
          </w:p>
        </w:tc>
        <w:tc>
          <w:tcPr>
            <w:tcW w:w="1461" w:type="dxa"/>
            <w:tcBorders>
              <w:top w:val="single" w:sz="4" w:space="0" w:color="auto"/>
              <w:left w:val="single" w:sz="4" w:space="0" w:color="auto"/>
              <w:bottom w:val="single" w:sz="4" w:space="0" w:color="auto"/>
              <w:right w:val="single" w:sz="4" w:space="0" w:color="auto"/>
            </w:tcBorders>
            <w:shd w:val="clear" w:color="auto" w:fill="CCCCCC" w:themeFill="text2" w:themeFillTint="33"/>
            <w:tcMar>
              <w:top w:w="12" w:type="dxa"/>
              <w:left w:w="108" w:type="dxa"/>
              <w:bottom w:w="0" w:type="dxa"/>
              <w:right w:w="108" w:type="dxa"/>
            </w:tcMar>
            <w:vAlign w:val="center"/>
            <w:hideMark/>
          </w:tcPr>
          <w:p w:rsidR="002F73CD" w:rsidRPr="002F73CD" w:rsidRDefault="002F73CD" w:rsidP="00ED0D9D">
            <w:pPr>
              <w:autoSpaceDE w:val="0"/>
              <w:autoSpaceDN w:val="0"/>
              <w:adjustRightInd w:val="0"/>
              <w:spacing w:after="200" w:line="276" w:lineRule="auto"/>
              <w:jc w:val="center"/>
              <w:rPr>
                <w:rFonts w:cs="Arial"/>
                <w:szCs w:val="20"/>
                <w:lang w:val="sl-SI" w:eastAsia="sl-SI"/>
              </w:rPr>
            </w:pPr>
            <w:r w:rsidRPr="002F73CD">
              <w:rPr>
                <w:rFonts w:cs="Arial"/>
                <w:b/>
                <w:bCs/>
                <w:szCs w:val="20"/>
                <w:lang w:val="sl-SI" w:eastAsia="sl-SI"/>
              </w:rPr>
              <w:t>NAJMANJŠA PREDELAVA</w:t>
            </w:r>
          </w:p>
        </w:tc>
        <w:tc>
          <w:tcPr>
            <w:tcW w:w="1694" w:type="dxa"/>
            <w:tcBorders>
              <w:top w:val="single" w:sz="4" w:space="0" w:color="auto"/>
              <w:left w:val="single" w:sz="4" w:space="0" w:color="auto"/>
              <w:bottom w:val="single" w:sz="4" w:space="0" w:color="auto"/>
              <w:right w:val="single" w:sz="4" w:space="0" w:color="auto"/>
            </w:tcBorders>
            <w:shd w:val="clear" w:color="auto" w:fill="CCCCCC" w:themeFill="text2" w:themeFillTint="33"/>
            <w:tcMar>
              <w:top w:w="12" w:type="dxa"/>
              <w:left w:w="108" w:type="dxa"/>
              <w:bottom w:w="0" w:type="dxa"/>
              <w:right w:w="108" w:type="dxa"/>
            </w:tcMar>
            <w:vAlign w:val="center"/>
            <w:hideMark/>
          </w:tcPr>
          <w:p w:rsidR="002F73CD" w:rsidRPr="002F73CD" w:rsidRDefault="002F73CD" w:rsidP="00ED0D9D">
            <w:pPr>
              <w:autoSpaceDE w:val="0"/>
              <w:autoSpaceDN w:val="0"/>
              <w:adjustRightInd w:val="0"/>
              <w:spacing w:after="200" w:line="276" w:lineRule="auto"/>
              <w:jc w:val="center"/>
              <w:rPr>
                <w:rFonts w:cs="Arial"/>
                <w:szCs w:val="20"/>
                <w:lang w:val="sl-SI" w:eastAsia="sl-SI"/>
              </w:rPr>
            </w:pPr>
            <w:r w:rsidRPr="002F73CD">
              <w:rPr>
                <w:rFonts w:cs="Arial"/>
                <w:b/>
                <w:bCs/>
                <w:szCs w:val="20"/>
                <w:lang w:val="sl-SI" w:eastAsia="sl-SI"/>
              </w:rPr>
              <w:t>NAJMANJŠE RECIKLIRANJE</w:t>
            </w:r>
          </w:p>
        </w:tc>
        <w:tc>
          <w:tcPr>
            <w:tcW w:w="3383" w:type="dxa"/>
            <w:tcBorders>
              <w:top w:val="single" w:sz="4" w:space="0" w:color="auto"/>
              <w:left w:val="single" w:sz="4" w:space="0" w:color="auto"/>
              <w:bottom w:val="single" w:sz="4" w:space="0" w:color="auto"/>
              <w:right w:val="single" w:sz="4" w:space="0" w:color="auto"/>
            </w:tcBorders>
            <w:shd w:val="clear" w:color="auto" w:fill="CCCCCC" w:themeFill="text2" w:themeFillTint="33"/>
            <w:tcMar>
              <w:top w:w="12" w:type="dxa"/>
              <w:left w:w="108" w:type="dxa"/>
              <w:bottom w:w="0" w:type="dxa"/>
              <w:right w:w="108" w:type="dxa"/>
            </w:tcMar>
            <w:vAlign w:val="center"/>
            <w:hideMark/>
          </w:tcPr>
          <w:p w:rsidR="002F73CD" w:rsidRPr="002F73CD" w:rsidRDefault="002F73CD" w:rsidP="00ED0D9D">
            <w:pPr>
              <w:autoSpaceDE w:val="0"/>
              <w:autoSpaceDN w:val="0"/>
              <w:adjustRightInd w:val="0"/>
              <w:spacing w:after="200" w:line="276" w:lineRule="auto"/>
              <w:jc w:val="center"/>
              <w:rPr>
                <w:rFonts w:cs="Arial"/>
                <w:szCs w:val="20"/>
                <w:lang w:val="sl-SI" w:eastAsia="sl-SI"/>
              </w:rPr>
            </w:pPr>
            <w:r w:rsidRPr="002F73CD">
              <w:rPr>
                <w:rFonts w:cs="Arial"/>
                <w:b/>
                <w:bCs/>
                <w:szCs w:val="20"/>
                <w:lang w:val="sl-SI" w:eastAsia="sl-SI"/>
              </w:rPr>
              <w:t>CILJ ZBIRANJA</w:t>
            </w:r>
          </w:p>
        </w:tc>
      </w:tr>
      <w:tr w:rsidR="002F73CD" w:rsidRPr="005771BD" w:rsidTr="00ED0D9D">
        <w:trPr>
          <w:trHeight w:val="227"/>
        </w:trPr>
        <w:tc>
          <w:tcPr>
            <w:tcW w:w="2204" w:type="dxa"/>
            <w:vMerge w:val="restart"/>
            <w:tcBorders>
              <w:top w:val="single" w:sz="4" w:space="0" w:color="auto"/>
              <w:left w:val="single" w:sz="4" w:space="0" w:color="auto"/>
              <w:bottom w:val="single" w:sz="4" w:space="0" w:color="auto"/>
              <w:right w:val="single" w:sz="4" w:space="0" w:color="auto"/>
            </w:tcBorders>
            <w:shd w:val="clear" w:color="auto" w:fill="CCCCCC" w:themeFill="text2" w:themeFillTint="33"/>
            <w:tcMar>
              <w:top w:w="12" w:type="dxa"/>
              <w:left w:w="108" w:type="dxa"/>
              <w:bottom w:w="0" w:type="dxa"/>
              <w:right w:w="108" w:type="dxa"/>
            </w:tcMar>
            <w:vAlign w:val="center"/>
            <w:hideMark/>
          </w:tcPr>
          <w:p w:rsidR="002F73CD" w:rsidRPr="002F73CD" w:rsidRDefault="002F73CD" w:rsidP="00ED0D9D">
            <w:pPr>
              <w:autoSpaceDE w:val="0"/>
              <w:autoSpaceDN w:val="0"/>
              <w:adjustRightInd w:val="0"/>
              <w:spacing w:before="20" w:after="200" w:line="276" w:lineRule="auto"/>
              <w:rPr>
                <w:rFonts w:cs="Arial"/>
                <w:szCs w:val="20"/>
                <w:lang w:val="sl-SI" w:eastAsia="sl-SI"/>
              </w:rPr>
            </w:pPr>
            <w:r w:rsidRPr="002F73CD">
              <w:rPr>
                <w:rFonts w:cs="Arial"/>
                <w:b/>
                <w:bCs/>
                <w:szCs w:val="20"/>
                <w:lang w:val="sl-SI" w:eastAsia="sl-SI"/>
              </w:rPr>
              <w:t>Embalaža in odpadna embalaža</w:t>
            </w:r>
            <w:r w:rsidRPr="002F73CD">
              <w:rPr>
                <w:rFonts w:cs="Arial"/>
                <w:szCs w:val="20"/>
                <w:lang w:val="sl-SI" w:eastAsia="sl-SI"/>
              </w:rPr>
              <w:t xml:space="preserve"> </w:t>
            </w:r>
          </w:p>
        </w:tc>
        <w:tc>
          <w:tcPr>
            <w:tcW w:w="756" w:type="dxa"/>
            <w:tcBorders>
              <w:top w:val="single" w:sz="4" w:space="0" w:color="auto"/>
              <w:left w:val="single" w:sz="4" w:space="0" w:color="auto"/>
              <w:bottom w:val="single" w:sz="4" w:space="0" w:color="auto"/>
              <w:right w:val="single" w:sz="4" w:space="0" w:color="auto"/>
            </w:tcBorders>
            <w:shd w:val="clear" w:color="auto" w:fill="auto"/>
            <w:tcMar>
              <w:top w:w="12" w:type="dxa"/>
              <w:left w:w="108" w:type="dxa"/>
              <w:bottom w:w="0" w:type="dxa"/>
              <w:right w:w="108" w:type="dxa"/>
            </w:tcMar>
            <w:vAlign w:val="center"/>
            <w:hideMark/>
          </w:tcPr>
          <w:p w:rsidR="002F73CD" w:rsidRPr="002F73CD" w:rsidRDefault="002F73CD" w:rsidP="00ED0D9D">
            <w:pPr>
              <w:autoSpaceDE w:val="0"/>
              <w:autoSpaceDN w:val="0"/>
              <w:adjustRightInd w:val="0"/>
              <w:spacing w:before="20" w:after="200" w:line="276" w:lineRule="auto"/>
              <w:jc w:val="right"/>
              <w:rPr>
                <w:rFonts w:cs="Arial"/>
                <w:szCs w:val="20"/>
                <w:lang w:val="sl-SI" w:eastAsia="sl-SI"/>
              </w:rPr>
            </w:pPr>
            <w:r w:rsidRPr="002F73CD">
              <w:rPr>
                <w:rFonts w:cs="Arial"/>
                <w:szCs w:val="20"/>
                <w:lang w:val="sl-SI" w:eastAsia="sl-SI"/>
              </w:rPr>
              <w:t>2007</w:t>
            </w:r>
          </w:p>
        </w:tc>
        <w:tc>
          <w:tcPr>
            <w:tcW w:w="1461" w:type="dxa"/>
            <w:tcBorders>
              <w:top w:val="single" w:sz="4" w:space="0" w:color="auto"/>
              <w:left w:val="single" w:sz="4" w:space="0" w:color="auto"/>
              <w:bottom w:val="single" w:sz="4" w:space="0" w:color="auto"/>
              <w:right w:val="single" w:sz="4" w:space="0" w:color="auto"/>
            </w:tcBorders>
            <w:shd w:val="clear" w:color="auto" w:fill="auto"/>
            <w:tcMar>
              <w:top w:w="12" w:type="dxa"/>
              <w:left w:w="108" w:type="dxa"/>
              <w:bottom w:w="0" w:type="dxa"/>
              <w:right w:w="108" w:type="dxa"/>
            </w:tcMar>
            <w:vAlign w:val="center"/>
            <w:hideMark/>
          </w:tcPr>
          <w:p w:rsidR="002F73CD" w:rsidRPr="002F73CD" w:rsidRDefault="002F73CD" w:rsidP="00ED0D9D">
            <w:pPr>
              <w:autoSpaceDE w:val="0"/>
              <w:autoSpaceDN w:val="0"/>
              <w:adjustRightInd w:val="0"/>
              <w:spacing w:before="20" w:after="200" w:line="276" w:lineRule="auto"/>
              <w:jc w:val="center"/>
              <w:rPr>
                <w:rFonts w:cs="Arial"/>
                <w:szCs w:val="20"/>
                <w:lang w:val="sl-SI" w:eastAsia="sl-SI"/>
              </w:rPr>
            </w:pPr>
            <w:r w:rsidRPr="002F73CD">
              <w:rPr>
                <w:rFonts w:cs="Arial"/>
                <w:szCs w:val="20"/>
                <w:lang w:val="sl-SI" w:eastAsia="sl-SI"/>
              </w:rPr>
              <w:t>50 %</w:t>
            </w:r>
          </w:p>
        </w:tc>
        <w:tc>
          <w:tcPr>
            <w:tcW w:w="1694" w:type="dxa"/>
            <w:tcBorders>
              <w:top w:val="single" w:sz="4" w:space="0" w:color="auto"/>
              <w:left w:val="single" w:sz="4" w:space="0" w:color="auto"/>
              <w:bottom w:val="single" w:sz="4" w:space="0" w:color="auto"/>
              <w:right w:val="single" w:sz="4" w:space="0" w:color="auto"/>
            </w:tcBorders>
            <w:shd w:val="clear" w:color="auto" w:fill="auto"/>
            <w:tcMar>
              <w:top w:w="12" w:type="dxa"/>
              <w:left w:w="108" w:type="dxa"/>
              <w:bottom w:w="0" w:type="dxa"/>
              <w:right w:w="108" w:type="dxa"/>
            </w:tcMar>
            <w:vAlign w:val="center"/>
            <w:hideMark/>
          </w:tcPr>
          <w:p w:rsidR="002F73CD" w:rsidRPr="002F73CD" w:rsidRDefault="002F73CD" w:rsidP="00ED0D9D">
            <w:pPr>
              <w:autoSpaceDE w:val="0"/>
              <w:autoSpaceDN w:val="0"/>
              <w:adjustRightInd w:val="0"/>
              <w:spacing w:before="20" w:after="200" w:line="276" w:lineRule="auto"/>
              <w:jc w:val="center"/>
              <w:rPr>
                <w:rFonts w:cs="Arial"/>
                <w:szCs w:val="20"/>
                <w:lang w:val="sl-SI" w:eastAsia="sl-SI"/>
              </w:rPr>
            </w:pPr>
            <w:r w:rsidRPr="002F73CD">
              <w:rPr>
                <w:rFonts w:cs="Arial"/>
                <w:szCs w:val="20"/>
                <w:lang w:val="sl-SI" w:eastAsia="sl-SI"/>
              </w:rPr>
              <w:t>25 %</w:t>
            </w:r>
          </w:p>
        </w:tc>
        <w:tc>
          <w:tcPr>
            <w:tcW w:w="3383" w:type="dxa"/>
            <w:tcBorders>
              <w:top w:val="single" w:sz="4" w:space="0" w:color="auto"/>
              <w:left w:val="single" w:sz="4" w:space="0" w:color="auto"/>
              <w:bottom w:val="single" w:sz="4" w:space="0" w:color="auto"/>
              <w:right w:val="single" w:sz="4" w:space="0" w:color="auto"/>
            </w:tcBorders>
            <w:shd w:val="clear" w:color="auto" w:fill="auto"/>
            <w:tcMar>
              <w:top w:w="12" w:type="dxa"/>
              <w:left w:w="108" w:type="dxa"/>
              <w:bottom w:w="0" w:type="dxa"/>
              <w:right w:w="108" w:type="dxa"/>
            </w:tcMar>
            <w:vAlign w:val="center"/>
            <w:hideMark/>
          </w:tcPr>
          <w:p w:rsidR="002F73CD" w:rsidRPr="002F73CD" w:rsidRDefault="002F73CD" w:rsidP="00ED0D9D">
            <w:pPr>
              <w:autoSpaceDE w:val="0"/>
              <w:autoSpaceDN w:val="0"/>
              <w:adjustRightInd w:val="0"/>
              <w:spacing w:before="20" w:after="200" w:line="276" w:lineRule="auto"/>
              <w:jc w:val="center"/>
              <w:rPr>
                <w:rFonts w:cs="Arial"/>
                <w:szCs w:val="20"/>
                <w:lang w:val="sl-SI" w:eastAsia="sl-SI"/>
              </w:rPr>
            </w:pPr>
          </w:p>
        </w:tc>
      </w:tr>
      <w:tr w:rsidR="002F73CD" w:rsidRPr="005771BD" w:rsidTr="00ED0D9D">
        <w:trPr>
          <w:trHeight w:val="227"/>
        </w:trPr>
        <w:tc>
          <w:tcPr>
            <w:tcW w:w="2204" w:type="dxa"/>
            <w:vMerge/>
            <w:tcBorders>
              <w:top w:val="single" w:sz="4" w:space="0" w:color="auto"/>
              <w:left w:val="single" w:sz="4" w:space="0" w:color="auto"/>
              <w:bottom w:val="single" w:sz="4" w:space="0" w:color="auto"/>
              <w:right w:val="single" w:sz="4" w:space="0" w:color="auto"/>
            </w:tcBorders>
            <w:shd w:val="clear" w:color="auto" w:fill="CCCCCC" w:themeFill="text2" w:themeFillTint="33"/>
            <w:tcMar>
              <w:top w:w="12" w:type="dxa"/>
              <w:left w:w="108" w:type="dxa"/>
              <w:bottom w:w="0" w:type="dxa"/>
              <w:right w:w="108" w:type="dxa"/>
            </w:tcMar>
          </w:tcPr>
          <w:p w:rsidR="002F73CD" w:rsidRPr="002F73CD" w:rsidRDefault="002F73CD" w:rsidP="00ED0D9D">
            <w:pPr>
              <w:autoSpaceDE w:val="0"/>
              <w:autoSpaceDN w:val="0"/>
              <w:adjustRightInd w:val="0"/>
              <w:spacing w:before="20" w:after="200" w:line="276" w:lineRule="auto"/>
              <w:rPr>
                <w:rFonts w:cs="Arial"/>
                <w:b/>
                <w:bCs/>
                <w:szCs w:val="20"/>
                <w:lang w:val="sl-SI" w:eastAsia="sl-SI"/>
              </w:rPr>
            </w:pPr>
          </w:p>
        </w:tc>
        <w:tc>
          <w:tcPr>
            <w:tcW w:w="756" w:type="dxa"/>
            <w:tcBorders>
              <w:top w:val="single" w:sz="4" w:space="0" w:color="auto"/>
              <w:left w:val="single" w:sz="4" w:space="0" w:color="auto"/>
              <w:bottom w:val="single" w:sz="4" w:space="0" w:color="auto"/>
              <w:right w:val="single" w:sz="4" w:space="0" w:color="auto"/>
            </w:tcBorders>
            <w:shd w:val="clear" w:color="auto" w:fill="auto"/>
            <w:tcMar>
              <w:top w:w="12" w:type="dxa"/>
              <w:left w:w="108" w:type="dxa"/>
              <w:bottom w:w="0" w:type="dxa"/>
              <w:right w:w="108" w:type="dxa"/>
            </w:tcMar>
            <w:vAlign w:val="center"/>
          </w:tcPr>
          <w:p w:rsidR="002F73CD" w:rsidRPr="002F73CD" w:rsidRDefault="002F73CD" w:rsidP="00ED0D9D">
            <w:pPr>
              <w:autoSpaceDE w:val="0"/>
              <w:autoSpaceDN w:val="0"/>
              <w:adjustRightInd w:val="0"/>
              <w:spacing w:before="20" w:after="200" w:line="276" w:lineRule="auto"/>
              <w:jc w:val="right"/>
              <w:rPr>
                <w:rFonts w:cs="Arial"/>
                <w:szCs w:val="20"/>
                <w:lang w:val="sl-SI" w:eastAsia="sl-SI"/>
              </w:rPr>
            </w:pPr>
            <w:r w:rsidRPr="002F73CD">
              <w:rPr>
                <w:rFonts w:cs="Arial"/>
                <w:szCs w:val="20"/>
                <w:lang w:val="sl-SI" w:eastAsia="sl-SI"/>
              </w:rPr>
              <w:t>2012</w:t>
            </w:r>
          </w:p>
        </w:tc>
        <w:tc>
          <w:tcPr>
            <w:tcW w:w="1461" w:type="dxa"/>
            <w:tcBorders>
              <w:top w:val="single" w:sz="4" w:space="0" w:color="auto"/>
              <w:left w:val="single" w:sz="4" w:space="0" w:color="auto"/>
              <w:bottom w:val="single" w:sz="4" w:space="0" w:color="auto"/>
              <w:right w:val="single" w:sz="4" w:space="0" w:color="auto"/>
            </w:tcBorders>
            <w:shd w:val="clear" w:color="auto" w:fill="auto"/>
            <w:tcMar>
              <w:top w:w="12" w:type="dxa"/>
              <w:left w:w="108" w:type="dxa"/>
              <w:bottom w:w="0" w:type="dxa"/>
              <w:right w:w="108" w:type="dxa"/>
            </w:tcMar>
            <w:vAlign w:val="center"/>
          </w:tcPr>
          <w:p w:rsidR="002F73CD" w:rsidRPr="002F73CD" w:rsidRDefault="002F73CD" w:rsidP="00ED0D9D">
            <w:pPr>
              <w:autoSpaceDE w:val="0"/>
              <w:autoSpaceDN w:val="0"/>
              <w:adjustRightInd w:val="0"/>
              <w:spacing w:before="20" w:after="200" w:line="276" w:lineRule="auto"/>
              <w:jc w:val="center"/>
              <w:rPr>
                <w:rFonts w:cs="Arial"/>
                <w:szCs w:val="20"/>
                <w:lang w:val="sl-SI" w:eastAsia="sl-SI"/>
              </w:rPr>
            </w:pPr>
            <w:r w:rsidRPr="002F73CD">
              <w:rPr>
                <w:rFonts w:cs="Arial"/>
                <w:szCs w:val="20"/>
                <w:lang w:val="sl-SI" w:eastAsia="sl-SI"/>
              </w:rPr>
              <w:t>60 %</w:t>
            </w:r>
          </w:p>
        </w:tc>
        <w:tc>
          <w:tcPr>
            <w:tcW w:w="1694" w:type="dxa"/>
            <w:tcBorders>
              <w:top w:val="single" w:sz="4" w:space="0" w:color="auto"/>
              <w:left w:val="single" w:sz="4" w:space="0" w:color="auto"/>
              <w:bottom w:val="single" w:sz="4" w:space="0" w:color="auto"/>
              <w:right w:val="single" w:sz="4" w:space="0" w:color="auto"/>
            </w:tcBorders>
            <w:shd w:val="clear" w:color="auto" w:fill="auto"/>
            <w:tcMar>
              <w:top w:w="12" w:type="dxa"/>
              <w:left w:w="108" w:type="dxa"/>
              <w:bottom w:w="0" w:type="dxa"/>
              <w:right w:w="108" w:type="dxa"/>
            </w:tcMar>
            <w:vAlign w:val="center"/>
          </w:tcPr>
          <w:p w:rsidR="002F73CD" w:rsidRPr="002F73CD" w:rsidRDefault="002F73CD" w:rsidP="00ED0D9D">
            <w:pPr>
              <w:autoSpaceDE w:val="0"/>
              <w:autoSpaceDN w:val="0"/>
              <w:adjustRightInd w:val="0"/>
              <w:spacing w:before="20" w:after="200" w:line="276" w:lineRule="auto"/>
              <w:jc w:val="center"/>
              <w:rPr>
                <w:rFonts w:cs="Arial"/>
                <w:szCs w:val="20"/>
                <w:lang w:val="sl-SI" w:eastAsia="sl-SI"/>
              </w:rPr>
            </w:pPr>
            <w:r w:rsidRPr="002F73CD">
              <w:rPr>
                <w:rFonts w:cs="Arial"/>
                <w:szCs w:val="20"/>
                <w:lang w:val="sl-SI" w:eastAsia="sl-SI"/>
              </w:rPr>
              <w:t>55 %</w:t>
            </w:r>
          </w:p>
        </w:tc>
        <w:tc>
          <w:tcPr>
            <w:tcW w:w="3383" w:type="dxa"/>
            <w:tcBorders>
              <w:top w:val="single" w:sz="4" w:space="0" w:color="auto"/>
              <w:left w:val="single" w:sz="4" w:space="0" w:color="auto"/>
              <w:bottom w:val="single" w:sz="4" w:space="0" w:color="auto"/>
              <w:right w:val="single" w:sz="4" w:space="0" w:color="auto"/>
            </w:tcBorders>
            <w:shd w:val="clear" w:color="auto" w:fill="auto"/>
            <w:tcMar>
              <w:top w:w="12" w:type="dxa"/>
              <w:left w:w="108" w:type="dxa"/>
              <w:bottom w:w="0" w:type="dxa"/>
              <w:right w:w="108" w:type="dxa"/>
            </w:tcMar>
            <w:vAlign w:val="center"/>
          </w:tcPr>
          <w:p w:rsidR="002F73CD" w:rsidRPr="002F73CD" w:rsidRDefault="002F73CD" w:rsidP="00ED0D9D">
            <w:pPr>
              <w:autoSpaceDE w:val="0"/>
              <w:autoSpaceDN w:val="0"/>
              <w:adjustRightInd w:val="0"/>
              <w:spacing w:before="20" w:after="200" w:line="276" w:lineRule="auto"/>
              <w:jc w:val="center"/>
              <w:rPr>
                <w:rFonts w:cs="Arial"/>
                <w:szCs w:val="20"/>
                <w:lang w:val="sl-SI" w:eastAsia="sl-SI"/>
              </w:rPr>
            </w:pPr>
          </w:p>
        </w:tc>
      </w:tr>
      <w:tr w:rsidR="002F73CD" w:rsidRPr="005771BD" w:rsidTr="00ED0D9D">
        <w:trPr>
          <w:trHeight w:val="227"/>
        </w:trPr>
        <w:tc>
          <w:tcPr>
            <w:tcW w:w="2204" w:type="dxa"/>
            <w:vMerge w:val="restart"/>
            <w:tcBorders>
              <w:top w:val="single" w:sz="4" w:space="0" w:color="auto"/>
              <w:left w:val="single" w:sz="4" w:space="0" w:color="auto"/>
              <w:bottom w:val="single" w:sz="4" w:space="0" w:color="auto"/>
              <w:right w:val="single" w:sz="4" w:space="0" w:color="auto"/>
            </w:tcBorders>
            <w:shd w:val="clear" w:color="auto" w:fill="CCCCCC" w:themeFill="text2" w:themeFillTint="33"/>
            <w:tcMar>
              <w:top w:w="12" w:type="dxa"/>
              <w:left w:w="108" w:type="dxa"/>
              <w:bottom w:w="0" w:type="dxa"/>
              <w:right w:w="108" w:type="dxa"/>
            </w:tcMar>
            <w:vAlign w:val="center"/>
            <w:hideMark/>
          </w:tcPr>
          <w:p w:rsidR="002F73CD" w:rsidRPr="002F73CD" w:rsidRDefault="002F73CD" w:rsidP="00ED0D9D">
            <w:pPr>
              <w:autoSpaceDE w:val="0"/>
              <w:autoSpaceDN w:val="0"/>
              <w:adjustRightInd w:val="0"/>
              <w:spacing w:before="20" w:after="200" w:line="276" w:lineRule="auto"/>
              <w:rPr>
                <w:rFonts w:cs="Arial"/>
                <w:szCs w:val="20"/>
                <w:lang w:val="sl-SI" w:eastAsia="sl-SI"/>
              </w:rPr>
            </w:pPr>
            <w:r w:rsidRPr="002F73CD">
              <w:rPr>
                <w:rFonts w:cs="Arial"/>
                <w:b/>
                <w:bCs/>
                <w:szCs w:val="20"/>
                <w:lang w:val="sl-SI" w:eastAsia="sl-SI"/>
              </w:rPr>
              <w:t>OEEO</w:t>
            </w:r>
            <w:r w:rsidRPr="002F73CD">
              <w:rPr>
                <w:rFonts w:cs="Arial"/>
                <w:szCs w:val="20"/>
                <w:lang w:val="sl-SI" w:eastAsia="sl-SI"/>
              </w:rPr>
              <w:t xml:space="preserve"> </w:t>
            </w:r>
          </w:p>
        </w:tc>
        <w:tc>
          <w:tcPr>
            <w:tcW w:w="756" w:type="dxa"/>
            <w:tcBorders>
              <w:top w:val="single" w:sz="4" w:space="0" w:color="auto"/>
              <w:left w:val="single" w:sz="4" w:space="0" w:color="auto"/>
              <w:bottom w:val="single" w:sz="4" w:space="0" w:color="auto"/>
              <w:right w:val="single" w:sz="4" w:space="0" w:color="auto"/>
            </w:tcBorders>
            <w:shd w:val="clear" w:color="auto" w:fill="auto"/>
            <w:tcMar>
              <w:top w:w="12" w:type="dxa"/>
              <w:left w:w="108" w:type="dxa"/>
              <w:bottom w:w="0" w:type="dxa"/>
              <w:right w:w="108" w:type="dxa"/>
            </w:tcMar>
            <w:vAlign w:val="center"/>
          </w:tcPr>
          <w:p w:rsidR="002F73CD" w:rsidRPr="002F73CD" w:rsidRDefault="002F73CD" w:rsidP="00ED0D9D">
            <w:pPr>
              <w:autoSpaceDE w:val="0"/>
              <w:autoSpaceDN w:val="0"/>
              <w:adjustRightInd w:val="0"/>
              <w:spacing w:before="20" w:after="200" w:line="276" w:lineRule="auto"/>
              <w:jc w:val="right"/>
              <w:rPr>
                <w:rFonts w:cs="Arial"/>
                <w:szCs w:val="20"/>
                <w:lang w:val="sl-SI" w:eastAsia="sl-SI"/>
              </w:rPr>
            </w:pPr>
            <w:r w:rsidRPr="002F73CD">
              <w:rPr>
                <w:rFonts w:cs="Arial"/>
                <w:szCs w:val="20"/>
                <w:lang w:val="sl-SI" w:eastAsia="sl-SI"/>
              </w:rPr>
              <w:t>2006</w:t>
            </w:r>
          </w:p>
        </w:tc>
        <w:tc>
          <w:tcPr>
            <w:tcW w:w="1461" w:type="dxa"/>
            <w:tcBorders>
              <w:top w:val="single" w:sz="4" w:space="0" w:color="auto"/>
              <w:left w:val="single" w:sz="4" w:space="0" w:color="auto"/>
              <w:bottom w:val="single" w:sz="4" w:space="0" w:color="auto"/>
              <w:right w:val="single" w:sz="4" w:space="0" w:color="auto"/>
            </w:tcBorders>
            <w:shd w:val="clear" w:color="auto" w:fill="auto"/>
            <w:tcMar>
              <w:top w:w="12" w:type="dxa"/>
              <w:left w:w="108" w:type="dxa"/>
              <w:bottom w:w="0" w:type="dxa"/>
              <w:right w:w="108" w:type="dxa"/>
            </w:tcMar>
            <w:vAlign w:val="center"/>
          </w:tcPr>
          <w:p w:rsidR="002F73CD" w:rsidRPr="002F73CD" w:rsidRDefault="002F73CD" w:rsidP="00ED0D9D">
            <w:pPr>
              <w:autoSpaceDE w:val="0"/>
              <w:autoSpaceDN w:val="0"/>
              <w:adjustRightInd w:val="0"/>
              <w:spacing w:before="20" w:after="200" w:line="276" w:lineRule="auto"/>
              <w:jc w:val="center"/>
              <w:rPr>
                <w:rFonts w:cs="Arial"/>
                <w:szCs w:val="20"/>
                <w:lang w:val="sl-SI" w:eastAsia="sl-SI"/>
              </w:rPr>
            </w:pPr>
            <w:r w:rsidRPr="002F73CD">
              <w:rPr>
                <w:rFonts w:cs="Arial"/>
                <w:szCs w:val="20"/>
                <w:lang w:val="sl-SI" w:eastAsia="sl-SI"/>
              </w:rPr>
              <w:t>70 %</w:t>
            </w:r>
          </w:p>
        </w:tc>
        <w:tc>
          <w:tcPr>
            <w:tcW w:w="1694" w:type="dxa"/>
            <w:tcBorders>
              <w:top w:val="single" w:sz="4" w:space="0" w:color="auto"/>
              <w:left w:val="single" w:sz="4" w:space="0" w:color="auto"/>
              <w:bottom w:val="single" w:sz="4" w:space="0" w:color="auto"/>
              <w:right w:val="single" w:sz="4" w:space="0" w:color="auto"/>
            </w:tcBorders>
            <w:shd w:val="clear" w:color="auto" w:fill="auto"/>
            <w:tcMar>
              <w:top w:w="12" w:type="dxa"/>
              <w:left w:w="108" w:type="dxa"/>
              <w:bottom w:w="0" w:type="dxa"/>
              <w:right w:w="108" w:type="dxa"/>
            </w:tcMar>
            <w:vAlign w:val="center"/>
          </w:tcPr>
          <w:p w:rsidR="002F73CD" w:rsidRPr="002F73CD" w:rsidRDefault="002F73CD" w:rsidP="00ED0D9D">
            <w:pPr>
              <w:autoSpaceDE w:val="0"/>
              <w:autoSpaceDN w:val="0"/>
              <w:adjustRightInd w:val="0"/>
              <w:spacing w:before="20" w:after="200" w:line="276" w:lineRule="auto"/>
              <w:jc w:val="center"/>
              <w:rPr>
                <w:rFonts w:cs="Arial"/>
                <w:szCs w:val="20"/>
                <w:lang w:val="sl-SI" w:eastAsia="sl-SI"/>
              </w:rPr>
            </w:pPr>
            <w:r w:rsidRPr="002F73CD">
              <w:rPr>
                <w:rFonts w:cs="Arial"/>
                <w:szCs w:val="20"/>
                <w:lang w:val="sl-SI" w:eastAsia="sl-SI"/>
              </w:rPr>
              <w:t>50 %</w:t>
            </w:r>
          </w:p>
        </w:tc>
        <w:tc>
          <w:tcPr>
            <w:tcW w:w="3383" w:type="dxa"/>
            <w:tcBorders>
              <w:top w:val="single" w:sz="4" w:space="0" w:color="auto"/>
              <w:left w:val="single" w:sz="4" w:space="0" w:color="auto"/>
              <w:bottom w:val="single" w:sz="4" w:space="0" w:color="auto"/>
              <w:right w:val="single" w:sz="4" w:space="0" w:color="auto"/>
            </w:tcBorders>
            <w:shd w:val="clear" w:color="auto" w:fill="auto"/>
            <w:tcMar>
              <w:top w:w="12" w:type="dxa"/>
              <w:left w:w="108" w:type="dxa"/>
              <w:bottom w:w="0" w:type="dxa"/>
              <w:right w:w="108" w:type="dxa"/>
            </w:tcMar>
            <w:vAlign w:val="center"/>
          </w:tcPr>
          <w:p w:rsidR="002F73CD" w:rsidRPr="002F73CD" w:rsidRDefault="002F73CD" w:rsidP="00ED0D9D">
            <w:pPr>
              <w:autoSpaceDE w:val="0"/>
              <w:autoSpaceDN w:val="0"/>
              <w:adjustRightInd w:val="0"/>
              <w:spacing w:before="20" w:after="200" w:line="276" w:lineRule="auto"/>
              <w:rPr>
                <w:rFonts w:cs="Arial"/>
                <w:szCs w:val="20"/>
                <w:lang w:val="sl-SI" w:eastAsia="sl-SI"/>
              </w:rPr>
            </w:pPr>
            <w:r w:rsidRPr="002F73CD">
              <w:rPr>
                <w:rFonts w:cs="Arial"/>
                <w:szCs w:val="20"/>
                <w:lang w:val="sl-SI" w:eastAsia="sl-SI"/>
              </w:rPr>
              <w:t>vsaj 4 kg OEEO iz gospodinjstev na prebivalca na leto</w:t>
            </w:r>
          </w:p>
        </w:tc>
      </w:tr>
      <w:tr w:rsidR="002F73CD" w:rsidRPr="005771BD" w:rsidTr="00ED0D9D">
        <w:trPr>
          <w:trHeight w:val="227"/>
        </w:trPr>
        <w:tc>
          <w:tcPr>
            <w:tcW w:w="2204" w:type="dxa"/>
            <w:vMerge/>
            <w:tcBorders>
              <w:top w:val="single" w:sz="4" w:space="0" w:color="auto"/>
              <w:left w:val="single" w:sz="4" w:space="0" w:color="auto"/>
              <w:bottom w:val="single" w:sz="4" w:space="0" w:color="auto"/>
              <w:right w:val="single" w:sz="4" w:space="0" w:color="auto"/>
            </w:tcBorders>
            <w:shd w:val="clear" w:color="auto" w:fill="CCCCCC" w:themeFill="text2" w:themeFillTint="33"/>
            <w:tcMar>
              <w:top w:w="12" w:type="dxa"/>
              <w:left w:w="108" w:type="dxa"/>
              <w:bottom w:w="0" w:type="dxa"/>
              <w:right w:w="108" w:type="dxa"/>
            </w:tcMar>
            <w:vAlign w:val="center"/>
          </w:tcPr>
          <w:p w:rsidR="002F73CD" w:rsidRPr="002F73CD" w:rsidRDefault="002F73CD" w:rsidP="00ED0D9D">
            <w:pPr>
              <w:autoSpaceDE w:val="0"/>
              <w:autoSpaceDN w:val="0"/>
              <w:adjustRightInd w:val="0"/>
              <w:spacing w:before="20" w:after="200" w:line="276" w:lineRule="auto"/>
              <w:rPr>
                <w:rFonts w:cs="Arial"/>
                <w:b/>
                <w:bCs/>
                <w:szCs w:val="20"/>
                <w:lang w:val="sl-SI" w:eastAsia="sl-SI"/>
              </w:rPr>
            </w:pPr>
          </w:p>
        </w:tc>
        <w:tc>
          <w:tcPr>
            <w:tcW w:w="756" w:type="dxa"/>
            <w:tcBorders>
              <w:top w:val="single" w:sz="4" w:space="0" w:color="auto"/>
              <w:left w:val="single" w:sz="4" w:space="0" w:color="auto"/>
              <w:bottom w:val="single" w:sz="4" w:space="0" w:color="auto"/>
              <w:right w:val="single" w:sz="4" w:space="0" w:color="auto"/>
            </w:tcBorders>
            <w:shd w:val="clear" w:color="auto" w:fill="auto"/>
            <w:tcMar>
              <w:top w:w="12" w:type="dxa"/>
              <w:left w:w="108" w:type="dxa"/>
              <w:bottom w:w="0" w:type="dxa"/>
              <w:right w:w="108" w:type="dxa"/>
            </w:tcMar>
            <w:vAlign w:val="center"/>
          </w:tcPr>
          <w:p w:rsidR="002F73CD" w:rsidRPr="002F73CD" w:rsidRDefault="002F73CD" w:rsidP="00ED0D9D">
            <w:pPr>
              <w:autoSpaceDE w:val="0"/>
              <w:autoSpaceDN w:val="0"/>
              <w:adjustRightInd w:val="0"/>
              <w:spacing w:before="20" w:after="200" w:line="276" w:lineRule="auto"/>
              <w:jc w:val="right"/>
              <w:rPr>
                <w:rFonts w:cs="Arial"/>
                <w:szCs w:val="20"/>
                <w:lang w:val="sl-SI" w:eastAsia="sl-SI"/>
              </w:rPr>
            </w:pPr>
            <w:r w:rsidRPr="002F73CD">
              <w:rPr>
                <w:rFonts w:cs="Arial"/>
                <w:szCs w:val="20"/>
                <w:lang w:val="sl-SI" w:eastAsia="sl-SI"/>
              </w:rPr>
              <w:t>2015</w:t>
            </w:r>
          </w:p>
        </w:tc>
        <w:tc>
          <w:tcPr>
            <w:tcW w:w="1461" w:type="dxa"/>
            <w:tcBorders>
              <w:top w:val="single" w:sz="4" w:space="0" w:color="auto"/>
              <w:left w:val="single" w:sz="4" w:space="0" w:color="auto"/>
              <w:bottom w:val="single" w:sz="4" w:space="0" w:color="auto"/>
              <w:right w:val="single" w:sz="4" w:space="0" w:color="auto"/>
            </w:tcBorders>
            <w:shd w:val="clear" w:color="auto" w:fill="auto"/>
            <w:tcMar>
              <w:top w:w="12" w:type="dxa"/>
              <w:left w:w="108" w:type="dxa"/>
              <w:bottom w:w="0" w:type="dxa"/>
              <w:right w:w="108" w:type="dxa"/>
            </w:tcMar>
            <w:vAlign w:val="center"/>
          </w:tcPr>
          <w:p w:rsidR="002F73CD" w:rsidRPr="002F73CD" w:rsidRDefault="002F73CD" w:rsidP="00ED0D9D">
            <w:pPr>
              <w:autoSpaceDE w:val="0"/>
              <w:autoSpaceDN w:val="0"/>
              <w:adjustRightInd w:val="0"/>
              <w:spacing w:before="20" w:after="200" w:line="276" w:lineRule="auto"/>
              <w:jc w:val="center"/>
              <w:rPr>
                <w:rFonts w:cs="Arial"/>
                <w:szCs w:val="20"/>
                <w:lang w:val="sl-SI" w:eastAsia="sl-SI"/>
              </w:rPr>
            </w:pPr>
          </w:p>
        </w:tc>
        <w:tc>
          <w:tcPr>
            <w:tcW w:w="1694" w:type="dxa"/>
            <w:tcBorders>
              <w:top w:val="single" w:sz="4" w:space="0" w:color="auto"/>
              <w:left w:val="single" w:sz="4" w:space="0" w:color="auto"/>
              <w:bottom w:val="single" w:sz="4" w:space="0" w:color="auto"/>
              <w:right w:val="single" w:sz="4" w:space="0" w:color="auto"/>
            </w:tcBorders>
            <w:shd w:val="clear" w:color="auto" w:fill="auto"/>
            <w:tcMar>
              <w:top w:w="12" w:type="dxa"/>
              <w:left w:w="108" w:type="dxa"/>
              <w:bottom w:w="0" w:type="dxa"/>
              <w:right w:w="108" w:type="dxa"/>
            </w:tcMar>
            <w:vAlign w:val="center"/>
          </w:tcPr>
          <w:p w:rsidR="002F73CD" w:rsidRPr="002F73CD" w:rsidRDefault="002F73CD" w:rsidP="00ED0D9D">
            <w:pPr>
              <w:autoSpaceDE w:val="0"/>
              <w:autoSpaceDN w:val="0"/>
              <w:adjustRightInd w:val="0"/>
              <w:spacing w:before="20" w:after="200" w:line="276" w:lineRule="auto"/>
              <w:jc w:val="center"/>
              <w:rPr>
                <w:rFonts w:cs="Arial"/>
                <w:szCs w:val="20"/>
                <w:lang w:val="sl-SI" w:eastAsia="sl-SI"/>
              </w:rPr>
            </w:pPr>
          </w:p>
        </w:tc>
        <w:tc>
          <w:tcPr>
            <w:tcW w:w="3383" w:type="dxa"/>
            <w:tcBorders>
              <w:top w:val="single" w:sz="4" w:space="0" w:color="auto"/>
              <w:left w:val="single" w:sz="4" w:space="0" w:color="auto"/>
              <w:bottom w:val="single" w:sz="4" w:space="0" w:color="auto"/>
              <w:right w:val="single" w:sz="4" w:space="0" w:color="auto"/>
            </w:tcBorders>
            <w:shd w:val="clear" w:color="auto" w:fill="auto"/>
            <w:tcMar>
              <w:top w:w="12" w:type="dxa"/>
              <w:left w:w="108" w:type="dxa"/>
              <w:bottom w:w="0" w:type="dxa"/>
              <w:right w:w="108" w:type="dxa"/>
            </w:tcMar>
            <w:vAlign w:val="center"/>
          </w:tcPr>
          <w:p w:rsidR="002F73CD" w:rsidRPr="002F73CD" w:rsidRDefault="002F73CD" w:rsidP="00ED0D9D">
            <w:pPr>
              <w:autoSpaceDE w:val="0"/>
              <w:autoSpaceDN w:val="0"/>
              <w:adjustRightInd w:val="0"/>
              <w:spacing w:before="20" w:after="200" w:line="276" w:lineRule="auto"/>
              <w:rPr>
                <w:rFonts w:cs="Arial"/>
                <w:szCs w:val="20"/>
                <w:lang w:val="sl-SI" w:eastAsia="sl-SI"/>
              </w:rPr>
            </w:pPr>
            <w:r w:rsidRPr="002F73CD">
              <w:rPr>
                <w:rFonts w:cs="Arial"/>
                <w:szCs w:val="20"/>
                <w:lang w:val="sl-SI" w:eastAsia="sl-SI"/>
              </w:rPr>
              <w:t>vsaj 4 kg OEEO iz gospodinjstev na prebivalca na leto (če je bilo v 2012–2014 zbranih &gt; 4 kg, najmanj količino, enako tej)</w:t>
            </w:r>
          </w:p>
        </w:tc>
      </w:tr>
      <w:tr w:rsidR="002F73CD" w:rsidRPr="005771BD" w:rsidTr="00ED0D9D">
        <w:trPr>
          <w:trHeight w:val="227"/>
        </w:trPr>
        <w:tc>
          <w:tcPr>
            <w:tcW w:w="2204" w:type="dxa"/>
            <w:vMerge/>
            <w:tcBorders>
              <w:top w:val="single" w:sz="4" w:space="0" w:color="auto"/>
              <w:left w:val="single" w:sz="4" w:space="0" w:color="auto"/>
              <w:bottom w:val="single" w:sz="4" w:space="0" w:color="auto"/>
              <w:right w:val="single" w:sz="4" w:space="0" w:color="auto"/>
            </w:tcBorders>
            <w:shd w:val="clear" w:color="auto" w:fill="CCCCCC" w:themeFill="text2" w:themeFillTint="33"/>
            <w:tcMar>
              <w:top w:w="12" w:type="dxa"/>
              <w:left w:w="108" w:type="dxa"/>
              <w:bottom w:w="0" w:type="dxa"/>
              <w:right w:w="108" w:type="dxa"/>
            </w:tcMar>
            <w:vAlign w:val="center"/>
          </w:tcPr>
          <w:p w:rsidR="002F73CD" w:rsidRPr="002F73CD" w:rsidRDefault="002F73CD" w:rsidP="00ED0D9D">
            <w:pPr>
              <w:autoSpaceDE w:val="0"/>
              <w:autoSpaceDN w:val="0"/>
              <w:adjustRightInd w:val="0"/>
              <w:spacing w:before="20" w:after="200" w:line="276" w:lineRule="auto"/>
              <w:rPr>
                <w:rFonts w:cs="Arial"/>
                <w:b/>
                <w:bCs/>
                <w:szCs w:val="20"/>
                <w:lang w:val="sl-SI" w:eastAsia="sl-SI"/>
              </w:rPr>
            </w:pPr>
          </w:p>
        </w:tc>
        <w:tc>
          <w:tcPr>
            <w:tcW w:w="756" w:type="dxa"/>
            <w:tcBorders>
              <w:top w:val="single" w:sz="4" w:space="0" w:color="auto"/>
              <w:left w:val="single" w:sz="4" w:space="0" w:color="auto"/>
              <w:bottom w:val="single" w:sz="4" w:space="0" w:color="auto"/>
              <w:right w:val="single" w:sz="4" w:space="0" w:color="auto"/>
            </w:tcBorders>
            <w:shd w:val="clear" w:color="auto" w:fill="auto"/>
            <w:tcMar>
              <w:top w:w="12" w:type="dxa"/>
              <w:left w:w="108" w:type="dxa"/>
              <w:bottom w:w="0" w:type="dxa"/>
              <w:right w:w="108" w:type="dxa"/>
            </w:tcMar>
            <w:vAlign w:val="center"/>
          </w:tcPr>
          <w:p w:rsidR="002F73CD" w:rsidRPr="002F73CD" w:rsidRDefault="002F73CD" w:rsidP="00ED0D9D">
            <w:pPr>
              <w:autoSpaceDE w:val="0"/>
              <w:autoSpaceDN w:val="0"/>
              <w:adjustRightInd w:val="0"/>
              <w:spacing w:before="20" w:after="200" w:line="276" w:lineRule="auto"/>
              <w:jc w:val="right"/>
              <w:rPr>
                <w:rFonts w:cs="Arial"/>
                <w:szCs w:val="20"/>
                <w:lang w:val="sl-SI" w:eastAsia="sl-SI"/>
              </w:rPr>
            </w:pPr>
            <w:r w:rsidRPr="002F73CD">
              <w:rPr>
                <w:rFonts w:cs="Arial"/>
                <w:szCs w:val="20"/>
                <w:lang w:val="sl-SI" w:eastAsia="sl-SI"/>
              </w:rPr>
              <w:t>2016</w:t>
            </w:r>
          </w:p>
        </w:tc>
        <w:tc>
          <w:tcPr>
            <w:tcW w:w="1461" w:type="dxa"/>
            <w:tcBorders>
              <w:top w:val="single" w:sz="4" w:space="0" w:color="auto"/>
              <w:left w:val="single" w:sz="4" w:space="0" w:color="auto"/>
              <w:bottom w:val="single" w:sz="4" w:space="0" w:color="auto"/>
              <w:right w:val="single" w:sz="4" w:space="0" w:color="auto"/>
            </w:tcBorders>
            <w:shd w:val="clear" w:color="auto" w:fill="auto"/>
            <w:tcMar>
              <w:top w:w="12" w:type="dxa"/>
              <w:left w:w="108" w:type="dxa"/>
              <w:bottom w:w="0" w:type="dxa"/>
              <w:right w:w="108" w:type="dxa"/>
            </w:tcMar>
            <w:vAlign w:val="center"/>
          </w:tcPr>
          <w:p w:rsidR="002F73CD" w:rsidRPr="002F73CD" w:rsidRDefault="002F73CD" w:rsidP="00ED0D9D">
            <w:pPr>
              <w:autoSpaceDE w:val="0"/>
              <w:autoSpaceDN w:val="0"/>
              <w:adjustRightInd w:val="0"/>
              <w:spacing w:before="20" w:after="200" w:line="276" w:lineRule="auto"/>
              <w:jc w:val="center"/>
              <w:rPr>
                <w:rFonts w:cs="Arial"/>
                <w:szCs w:val="20"/>
                <w:lang w:val="sl-SI" w:eastAsia="sl-SI"/>
              </w:rPr>
            </w:pPr>
          </w:p>
        </w:tc>
        <w:tc>
          <w:tcPr>
            <w:tcW w:w="1694" w:type="dxa"/>
            <w:tcBorders>
              <w:top w:val="single" w:sz="4" w:space="0" w:color="auto"/>
              <w:left w:val="single" w:sz="4" w:space="0" w:color="auto"/>
              <w:bottom w:val="single" w:sz="4" w:space="0" w:color="auto"/>
              <w:right w:val="single" w:sz="4" w:space="0" w:color="auto"/>
            </w:tcBorders>
            <w:shd w:val="clear" w:color="auto" w:fill="auto"/>
            <w:tcMar>
              <w:top w:w="12" w:type="dxa"/>
              <w:left w:w="108" w:type="dxa"/>
              <w:bottom w:w="0" w:type="dxa"/>
              <w:right w:w="108" w:type="dxa"/>
            </w:tcMar>
            <w:vAlign w:val="center"/>
          </w:tcPr>
          <w:p w:rsidR="002F73CD" w:rsidRPr="002F73CD" w:rsidRDefault="002F73CD" w:rsidP="00ED0D9D">
            <w:pPr>
              <w:autoSpaceDE w:val="0"/>
              <w:autoSpaceDN w:val="0"/>
              <w:adjustRightInd w:val="0"/>
              <w:spacing w:before="20" w:after="200" w:line="276" w:lineRule="auto"/>
              <w:jc w:val="center"/>
              <w:rPr>
                <w:rFonts w:cs="Arial"/>
                <w:szCs w:val="20"/>
                <w:lang w:val="sl-SI" w:eastAsia="sl-SI"/>
              </w:rPr>
            </w:pPr>
          </w:p>
        </w:tc>
        <w:tc>
          <w:tcPr>
            <w:tcW w:w="3383" w:type="dxa"/>
            <w:tcBorders>
              <w:top w:val="single" w:sz="4" w:space="0" w:color="auto"/>
              <w:left w:val="single" w:sz="4" w:space="0" w:color="auto"/>
              <w:bottom w:val="single" w:sz="4" w:space="0" w:color="auto"/>
              <w:right w:val="single" w:sz="4" w:space="0" w:color="auto"/>
            </w:tcBorders>
            <w:shd w:val="clear" w:color="auto" w:fill="auto"/>
            <w:tcMar>
              <w:top w:w="12" w:type="dxa"/>
              <w:left w:w="108" w:type="dxa"/>
              <w:bottom w:w="0" w:type="dxa"/>
              <w:right w:w="108" w:type="dxa"/>
            </w:tcMar>
            <w:vAlign w:val="center"/>
          </w:tcPr>
          <w:p w:rsidR="002F73CD" w:rsidRPr="002F73CD" w:rsidRDefault="002F73CD" w:rsidP="00ED0D9D">
            <w:pPr>
              <w:autoSpaceDE w:val="0"/>
              <w:autoSpaceDN w:val="0"/>
              <w:adjustRightInd w:val="0"/>
              <w:spacing w:before="20" w:after="200" w:line="276" w:lineRule="auto"/>
              <w:rPr>
                <w:rFonts w:cs="Arial"/>
                <w:szCs w:val="20"/>
                <w:lang w:val="sl-SI" w:eastAsia="sl-SI"/>
              </w:rPr>
            </w:pPr>
            <w:r w:rsidRPr="002F73CD">
              <w:rPr>
                <w:rFonts w:cs="Arial"/>
                <w:szCs w:val="20"/>
                <w:lang w:val="sl-SI" w:eastAsia="sl-SI"/>
              </w:rPr>
              <w:t>vsaj 41 % povprečne mase EEO, letno dane na trg v zadnjih treh letih</w:t>
            </w:r>
          </w:p>
        </w:tc>
      </w:tr>
      <w:tr w:rsidR="002F73CD" w:rsidRPr="005771BD" w:rsidTr="00ED0D9D">
        <w:trPr>
          <w:trHeight w:val="836"/>
        </w:trPr>
        <w:tc>
          <w:tcPr>
            <w:tcW w:w="2204" w:type="dxa"/>
            <w:vMerge w:val="restart"/>
            <w:tcBorders>
              <w:top w:val="single" w:sz="4" w:space="0" w:color="auto"/>
              <w:left w:val="single" w:sz="4" w:space="0" w:color="auto"/>
              <w:bottom w:val="single" w:sz="4" w:space="0" w:color="auto"/>
              <w:right w:val="single" w:sz="4" w:space="0" w:color="auto"/>
            </w:tcBorders>
            <w:shd w:val="clear" w:color="auto" w:fill="CCCCCC" w:themeFill="text2" w:themeFillTint="33"/>
            <w:tcMar>
              <w:top w:w="12" w:type="dxa"/>
              <w:left w:w="108" w:type="dxa"/>
              <w:bottom w:w="0" w:type="dxa"/>
              <w:right w:w="108" w:type="dxa"/>
            </w:tcMar>
            <w:vAlign w:val="center"/>
            <w:hideMark/>
          </w:tcPr>
          <w:p w:rsidR="002F73CD" w:rsidRPr="002F73CD" w:rsidRDefault="002F73CD" w:rsidP="00ED0D9D">
            <w:pPr>
              <w:autoSpaceDE w:val="0"/>
              <w:autoSpaceDN w:val="0"/>
              <w:adjustRightInd w:val="0"/>
              <w:spacing w:line="276" w:lineRule="auto"/>
              <w:rPr>
                <w:rFonts w:cs="Arial"/>
                <w:szCs w:val="20"/>
                <w:lang w:val="sl-SI" w:eastAsia="sl-SI"/>
              </w:rPr>
            </w:pPr>
            <w:r w:rsidRPr="002F73CD">
              <w:rPr>
                <w:rFonts w:cs="Arial"/>
                <w:b/>
                <w:bCs/>
                <w:szCs w:val="20"/>
                <w:lang w:val="sl-SI" w:eastAsia="sl-SI"/>
              </w:rPr>
              <w:t>Odpadne baterije</w:t>
            </w:r>
            <w:r w:rsidRPr="002F73CD">
              <w:rPr>
                <w:rFonts w:cs="Arial"/>
                <w:szCs w:val="20"/>
                <w:lang w:val="sl-SI" w:eastAsia="sl-SI"/>
              </w:rPr>
              <w:t xml:space="preserve"> </w:t>
            </w:r>
          </w:p>
        </w:tc>
        <w:tc>
          <w:tcPr>
            <w:tcW w:w="756" w:type="dxa"/>
            <w:tcBorders>
              <w:top w:val="single" w:sz="4" w:space="0" w:color="auto"/>
              <w:left w:val="single" w:sz="4" w:space="0" w:color="auto"/>
              <w:bottom w:val="single" w:sz="4" w:space="0" w:color="auto"/>
              <w:right w:val="single" w:sz="4" w:space="0" w:color="auto"/>
            </w:tcBorders>
            <w:shd w:val="clear" w:color="auto" w:fill="auto"/>
            <w:tcMar>
              <w:top w:w="12" w:type="dxa"/>
              <w:left w:w="108" w:type="dxa"/>
              <w:bottom w:w="0" w:type="dxa"/>
              <w:right w:w="108" w:type="dxa"/>
            </w:tcMar>
            <w:vAlign w:val="center"/>
            <w:hideMark/>
          </w:tcPr>
          <w:p w:rsidR="002F73CD" w:rsidRPr="002F73CD" w:rsidRDefault="002F73CD" w:rsidP="00ED0D9D">
            <w:pPr>
              <w:autoSpaceDE w:val="0"/>
              <w:autoSpaceDN w:val="0"/>
              <w:adjustRightInd w:val="0"/>
              <w:spacing w:line="276" w:lineRule="auto"/>
              <w:jc w:val="right"/>
              <w:rPr>
                <w:rFonts w:cs="Arial"/>
                <w:szCs w:val="20"/>
                <w:lang w:val="sl-SI" w:eastAsia="sl-SI"/>
              </w:rPr>
            </w:pPr>
            <w:r w:rsidRPr="002F73CD">
              <w:rPr>
                <w:rFonts w:cs="Arial"/>
                <w:szCs w:val="20"/>
                <w:lang w:val="sl-SI" w:eastAsia="sl-SI"/>
              </w:rPr>
              <w:t>2011</w:t>
            </w:r>
          </w:p>
        </w:tc>
        <w:tc>
          <w:tcPr>
            <w:tcW w:w="3155" w:type="dxa"/>
            <w:gridSpan w:val="2"/>
            <w:tcBorders>
              <w:top w:val="single" w:sz="4" w:space="0" w:color="auto"/>
              <w:left w:val="single" w:sz="4" w:space="0" w:color="auto"/>
              <w:bottom w:val="single" w:sz="4" w:space="0" w:color="auto"/>
              <w:right w:val="single" w:sz="4" w:space="0" w:color="auto"/>
            </w:tcBorders>
            <w:shd w:val="clear" w:color="auto" w:fill="auto"/>
            <w:tcMar>
              <w:top w:w="12" w:type="dxa"/>
              <w:left w:w="108" w:type="dxa"/>
              <w:bottom w:w="0" w:type="dxa"/>
              <w:right w:w="108" w:type="dxa"/>
            </w:tcMar>
            <w:vAlign w:val="center"/>
            <w:hideMark/>
          </w:tcPr>
          <w:p w:rsidR="002F73CD" w:rsidRPr="002F73CD" w:rsidRDefault="002F73CD" w:rsidP="00ED0D9D">
            <w:pPr>
              <w:autoSpaceDE w:val="0"/>
              <w:autoSpaceDN w:val="0"/>
              <w:adjustRightInd w:val="0"/>
              <w:spacing w:line="276" w:lineRule="auto"/>
              <w:jc w:val="center"/>
              <w:rPr>
                <w:rFonts w:cs="Arial"/>
                <w:szCs w:val="20"/>
                <w:lang w:val="sl-SI" w:eastAsia="sl-SI"/>
              </w:rPr>
            </w:pPr>
            <w:r w:rsidRPr="002F73CD">
              <w:rPr>
                <w:rFonts w:cs="Arial"/>
                <w:szCs w:val="20"/>
                <w:lang w:val="sl-SI" w:eastAsia="sl-SI"/>
              </w:rPr>
              <w:t>50–75 %</w:t>
            </w:r>
          </w:p>
          <w:p w:rsidR="002F73CD" w:rsidRPr="002F73CD" w:rsidRDefault="002F73CD" w:rsidP="00ED0D9D">
            <w:pPr>
              <w:autoSpaceDE w:val="0"/>
              <w:autoSpaceDN w:val="0"/>
              <w:adjustRightInd w:val="0"/>
              <w:spacing w:line="276" w:lineRule="auto"/>
              <w:jc w:val="center"/>
              <w:rPr>
                <w:rFonts w:cs="Arial"/>
                <w:szCs w:val="20"/>
                <w:lang w:val="sl-SI" w:eastAsia="sl-SI"/>
              </w:rPr>
            </w:pPr>
            <w:r w:rsidRPr="002F73CD">
              <w:rPr>
                <w:rFonts w:cs="Arial"/>
                <w:szCs w:val="20"/>
                <w:lang w:val="sl-SI" w:eastAsia="sl-SI"/>
              </w:rPr>
              <w:t>(učinkovitost</w:t>
            </w:r>
          </w:p>
          <w:p w:rsidR="002F73CD" w:rsidRPr="002F73CD" w:rsidRDefault="002F73CD" w:rsidP="00ED0D9D">
            <w:pPr>
              <w:autoSpaceDE w:val="0"/>
              <w:autoSpaceDN w:val="0"/>
              <w:adjustRightInd w:val="0"/>
              <w:spacing w:line="276" w:lineRule="auto"/>
              <w:jc w:val="center"/>
              <w:rPr>
                <w:rFonts w:cs="Arial"/>
                <w:szCs w:val="20"/>
                <w:lang w:val="sl-SI" w:eastAsia="sl-SI"/>
              </w:rPr>
            </w:pPr>
            <w:r w:rsidRPr="002F73CD">
              <w:rPr>
                <w:rFonts w:cs="Arial"/>
                <w:szCs w:val="20"/>
                <w:lang w:val="sl-SI" w:eastAsia="sl-SI"/>
              </w:rPr>
              <w:t>recikliranja)</w:t>
            </w:r>
          </w:p>
        </w:tc>
        <w:tc>
          <w:tcPr>
            <w:tcW w:w="3383" w:type="dxa"/>
            <w:tcBorders>
              <w:top w:val="single" w:sz="4" w:space="0" w:color="auto"/>
              <w:left w:val="single" w:sz="4" w:space="0" w:color="auto"/>
              <w:bottom w:val="single" w:sz="4" w:space="0" w:color="auto"/>
              <w:right w:val="single" w:sz="4" w:space="0" w:color="auto"/>
            </w:tcBorders>
            <w:shd w:val="clear" w:color="auto" w:fill="auto"/>
            <w:tcMar>
              <w:top w:w="12" w:type="dxa"/>
              <w:left w:w="108" w:type="dxa"/>
              <w:bottom w:w="0" w:type="dxa"/>
              <w:right w:w="108" w:type="dxa"/>
            </w:tcMar>
            <w:vAlign w:val="center"/>
            <w:hideMark/>
          </w:tcPr>
          <w:p w:rsidR="002F73CD" w:rsidRPr="002F73CD" w:rsidRDefault="002F73CD" w:rsidP="00ED0D9D">
            <w:pPr>
              <w:autoSpaceDE w:val="0"/>
              <w:autoSpaceDN w:val="0"/>
              <w:adjustRightInd w:val="0"/>
              <w:spacing w:line="276" w:lineRule="auto"/>
              <w:jc w:val="center"/>
              <w:rPr>
                <w:rFonts w:cs="Arial"/>
                <w:szCs w:val="20"/>
                <w:lang w:val="sl-SI" w:eastAsia="sl-SI"/>
              </w:rPr>
            </w:pPr>
          </w:p>
        </w:tc>
      </w:tr>
      <w:tr w:rsidR="002F73CD" w:rsidRPr="005771BD" w:rsidTr="00ED0D9D">
        <w:trPr>
          <w:trHeight w:val="227"/>
        </w:trPr>
        <w:tc>
          <w:tcPr>
            <w:tcW w:w="2204" w:type="dxa"/>
            <w:vMerge/>
            <w:tcBorders>
              <w:top w:val="single" w:sz="4" w:space="0" w:color="auto"/>
              <w:left w:val="single" w:sz="4" w:space="0" w:color="auto"/>
              <w:bottom w:val="single" w:sz="4" w:space="0" w:color="auto"/>
              <w:right w:val="single" w:sz="4" w:space="0" w:color="auto"/>
            </w:tcBorders>
            <w:shd w:val="clear" w:color="auto" w:fill="CCCCCC" w:themeFill="text2" w:themeFillTint="33"/>
            <w:vAlign w:val="center"/>
            <w:hideMark/>
          </w:tcPr>
          <w:p w:rsidR="002F73CD" w:rsidRPr="002F73CD" w:rsidRDefault="002F73CD" w:rsidP="00ED0D9D">
            <w:pPr>
              <w:autoSpaceDE w:val="0"/>
              <w:autoSpaceDN w:val="0"/>
              <w:adjustRightInd w:val="0"/>
              <w:spacing w:line="276" w:lineRule="auto"/>
              <w:rPr>
                <w:rFonts w:cs="Arial"/>
                <w:szCs w:val="20"/>
                <w:lang w:val="sl-SI" w:eastAsia="sl-SI"/>
              </w:rPr>
            </w:pPr>
          </w:p>
        </w:tc>
        <w:tc>
          <w:tcPr>
            <w:tcW w:w="756" w:type="dxa"/>
            <w:tcBorders>
              <w:top w:val="single" w:sz="4" w:space="0" w:color="auto"/>
              <w:left w:val="single" w:sz="4" w:space="0" w:color="auto"/>
              <w:bottom w:val="single" w:sz="4" w:space="0" w:color="auto"/>
              <w:right w:val="single" w:sz="4" w:space="0" w:color="auto"/>
            </w:tcBorders>
            <w:shd w:val="clear" w:color="auto" w:fill="auto"/>
            <w:tcMar>
              <w:top w:w="12" w:type="dxa"/>
              <w:left w:w="108" w:type="dxa"/>
              <w:bottom w:w="0" w:type="dxa"/>
              <w:right w:w="108" w:type="dxa"/>
            </w:tcMar>
            <w:vAlign w:val="center"/>
            <w:hideMark/>
          </w:tcPr>
          <w:p w:rsidR="002F73CD" w:rsidRPr="002F73CD" w:rsidRDefault="002F73CD" w:rsidP="00ED0D9D">
            <w:pPr>
              <w:autoSpaceDE w:val="0"/>
              <w:autoSpaceDN w:val="0"/>
              <w:adjustRightInd w:val="0"/>
              <w:spacing w:line="276" w:lineRule="auto"/>
              <w:jc w:val="right"/>
              <w:rPr>
                <w:rFonts w:cs="Arial"/>
                <w:szCs w:val="20"/>
                <w:lang w:val="sl-SI" w:eastAsia="sl-SI"/>
              </w:rPr>
            </w:pPr>
            <w:r w:rsidRPr="002F73CD">
              <w:rPr>
                <w:rFonts w:cs="Arial"/>
                <w:szCs w:val="20"/>
                <w:lang w:val="sl-SI" w:eastAsia="sl-SI"/>
              </w:rPr>
              <w:t>2012</w:t>
            </w:r>
          </w:p>
        </w:tc>
        <w:tc>
          <w:tcPr>
            <w:tcW w:w="3155" w:type="dxa"/>
            <w:gridSpan w:val="2"/>
            <w:tcBorders>
              <w:top w:val="single" w:sz="4" w:space="0" w:color="auto"/>
              <w:left w:val="single" w:sz="4" w:space="0" w:color="auto"/>
              <w:bottom w:val="single" w:sz="4" w:space="0" w:color="auto"/>
              <w:right w:val="single" w:sz="4" w:space="0" w:color="auto"/>
            </w:tcBorders>
            <w:shd w:val="clear" w:color="auto" w:fill="auto"/>
            <w:tcMar>
              <w:top w:w="12" w:type="dxa"/>
              <w:left w:w="108" w:type="dxa"/>
              <w:bottom w:w="0" w:type="dxa"/>
              <w:right w:w="108" w:type="dxa"/>
            </w:tcMar>
            <w:vAlign w:val="center"/>
            <w:hideMark/>
          </w:tcPr>
          <w:p w:rsidR="002F73CD" w:rsidRPr="002F73CD" w:rsidRDefault="002F73CD" w:rsidP="00ED0D9D">
            <w:pPr>
              <w:autoSpaceDE w:val="0"/>
              <w:autoSpaceDN w:val="0"/>
              <w:adjustRightInd w:val="0"/>
              <w:spacing w:line="276" w:lineRule="auto"/>
              <w:jc w:val="center"/>
              <w:rPr>
                <w:rFonts w:cs="Arial"/>
                <w:szCs w:val="20"/>
                <w:lang w:val="sl-SI" w:eastAsia="sl-SI"/>
              </w:rPr>
            </w:pPr>
          </w:p>
        </w:tc>
        <w:tc>
          <w:tcPr>
            <w:tcW w:w="3383" w:type="dxa"/>
            <w:tcBorders>
              <w:top w:val="single" w:sz="4" w:space="0" w:color="auto"/>
              <w:left w:val="single" w:sz="4" w:space="0" w:color="auto"/>
              <w:bottom w:val="single" w:sz="4" w:space="0" w:color="auto"/>
              <w:right w:val="single" w:sz="4" w:space="0" w:color="auto"/>
            </w:tcBorders>
            <w:shd w:val="clear" w:color="auto" w:fill="auto"/>
            <w:tcMar>
              <w:top w:w="12" w:type="dxa"/>
              <w:left w:w="108" w:type="dxa"/>
              <w:bottom w:w="0" w:type="dxa"/>
              <w:right w:w="108" w:type="dxa"/>
            </w:tcMar>
            <w:vAlign w:val="center"/>
            <w:hideMark/>
          </w:tcPr>
          <w:p w:rsidR="002F73CD" w:rsidRPr="002F73CD" w:rsidRDefault="002F73CD" w:rsidP="00ED0D9D">
            <w:pPr>
              <w:autoSpaceDE w:val="0"/>
              <w:autoSpaceDN w:val="0"/>
              <w:adjustRightInd w:val="0"/>
              <w:spacing w:line="276" w:lineRule="auto"/>
              <w:jc w:val="center"/>
              <w:rPr>
                <w:rFonts w:cs="Arial"/>
                <w:szCs w:val="20"/>
                <w:lang w:val="sl-SI" w:eastAsia="sl-SI"/>
              </w:rPr>
            </w:pPr>
            <w:r w:rsidRPr="002F73CD">
              <w:rPr>
                <w:rFonts w:cs="Arial"/>
                <w:szCs w:val="20"/>
                <w:lang w:val="sl-SI" w:eastAsia="sl-SI"/>
              </w:rPr>
              <w:t>25 %</w:t>
            </w:r>
          </w:p>
          <w:p w:rsidR="002F73CD" w:rsidRPr="002F73CD" w:rsidRDefault="002F73CD" w:rsidP="00ED0D9D">
            <w:pPr>
              <w:autoSpaceDE w:val="0"/>
              <w:autoSpaceDN w:val="0"/>
              <w:adjustRightInd w:val="0"/>
              <w:spacing w:line="276" w:lineRule="auto"/>
              <w:jc w:val="center"/>
              <w:rPr>
                <w:rFonts w:cs="Arial"/>
                <w:szCs w:val="20"/>
                <w:lang w:val="sl-SI" w:eastAsia="sl-SI"/>
              </w:rPr>
            </w:pPr>
            <w:r w:rsidRPr="002F73CD">
              <w:rPr>
                <w:rFonts w:cs="Arial"/>
                <w:szCs w:val="20"/>
                <w:lang w:val="sl-SI" w:eastAsia="sl-SI"/>
              </w:rPr>
              <w:t>(prenosne baterije)</w:t>
            </w:r>
          </w:p>
        </w:tc>
      </w:tr>
      <w:tr w:rsidR="002F73CD" w:rsidRPr="005771BD" w:rsidTr="00ED0D9D">
        <w:trPr>
          <w:trHeight w:val="227"/>
        </w:trPr>
        <w:tc>
          <w:tcPr>
            <w:tcW w:w="2204" w:type="dxa"/>
            <w:vMerge/>
            <w:tcBorders>
              <w:top w:val="single" w:sz="4" w:space="0" w:color="auto"/>
              <w:left w:val="single" w:sz="4" w:space="0" w:color="auto"/>
              <w:bottom w:val="single" w:sz="4" w:space="0" w:color="auto"/>
              <w:right w:val="single" w:sz="4" w:space="0" w:color="auto"/>
            </w:tcBorders>
            <w:shd w:val="clear" w:color="auto" w:fill="CCCCCC" w:themeFill="text2" w:themeFillTint="33"/>
            <w:vAlign w:val="center"/>
            <w:hideMark/>
          </w:tcPr>
          <w:p w:rsidR="002F73CD" w:rsidRPr="002F73CD" w:rsidRDefault="002F73CD" w:rsidP="00ED0D9D">
            <w:pPr>
              <w:autoSpaceDE w:val="0"/>
              <w:autoSpaceDN w:val="0"/>
              <w:adjustRightInd w:val="0"/>
              <w:spacing w:line="276" w:lineRule="auto"/>
              <w:rPr>
                <w:rFonts w:cs="Arial"/>
                <w:szCs w:val="20"/>
                <w:lang w:val="sl-SI" w:eastAsia="sl-SI"/>
              </w:rPr>
            </w:pPr>
          </w:p>
        </w:tc>
        <w:tc>
          <w:tcPr>
            <w:tcW w:w="756" w:type="dxa"/>
            <w:tcBorders>
              <w:top w:val="single" w:sz="4" w:space="0" w:color="auto"/>
              <w:left w:val="single" w:sz="4" w:space="0" w:color="auto"/>
              <w:bottom w:val="single" w:sz="4" w:space="0" w:color="auto"/>
              <w:right w:val="single" w:sz="4" w:space="0" w:color="auto"/>
            </w:tcBorders>
            <w:shd w:val="clear" w:color="auto" w:fill="auto"/>
            <w:tcMar>
              <w:top w:w="12" w:type="dxa"/>
              <w:left w:w="108" w:type="dxa"/>
              <w:bottom w:w="0" w:type="dxa"/>
              <w:right w:w="108" w:type="dxa"/>
            </w:tcMar>
            <w:vAlign w:val="center"/>
            <w:hideMark/>
          </w:tcPr>
          <w:p w:rsidR="002F73CD" w:rsidRPr="002F73CD" w:rsidRDefault="002F73CD" w:rsidP="00ED0D9D">
            <w:pPr>
              <w:autoSpaceDE w:val="0"/>
              <w:autoSpaceDN w:val="0"/>
              <w:adjustRightInd w:val="0"/>
              <w:spacing w:line="276" w:lineRule="auto"/>
              <w:jc w:val="right"/>
              <w:rPr>
                <w:rFonts w:cs="Arial"/>
                <w:szCs w:val="20"/>
                <w:lang w:val="sl-SI" w:eastAsia="sl-SI"/>
              </w:rPr>
            </w:pPr>
            <w:r w:rsidRPr="002F73CD">
              <w:rPr>
                <w:rFonts w:cs="Arial"/>
                <w:szCs w:val="20"/>
                <w:lang w:val="sl-SI" w:eastAsia="sl-SI"/>
              </w:rPr>
              <w:t>2016</w:t>
            </w:r>
          </w:p>
        </w:tc>
        <w:tc>
          <w:tcPr>
            <w:tcW w:w="3155" w:type="dxa"/>
            <w:gridSpan w:val="2"/>
            <w:tcBorders>
              <w:top w:val="single" w:sz="4" w:space="0" w:color="auto"/>
              <w:left w:val="single" w:sz="4" w:space="0" w:color="auto"/>
              <w:bottom w:val="single" w:sz="4" w:space="0" w:color="auto"/>
              <w:right w:val="single" w:sz="4" w:space="0" w:color="auto"/>
            </w:tcBorders>
            <w:shd w:val="clear" w:color="auto" w:fill="auto"/>
            <w:tcMar>
              <w:top w:w="12" w:type="dxa"/>
              <w:left w:w="108" w:type="dxa"/>
              <w:bottom w:w="0" w:type="dxa"/>
              <w:right w:w="108" w:type="dxa"/>
            </w:tcMar>
            <w:vAlign w:val="center"/>
            <w:hideMark/>
          </w:tcPr>
          <w:p w:rsidR="002F73CD" w:rsidRPr="002F73CD" w:rsidRDefault="002F73CD" w:rsidP="00ED0D9D">
            <w:pPr>
              <w:autoSpaceDE w:val="0"/>
              <w:autoSpaceDN w:val="0"/>
              <w:adjustRightInd w:val="0"/>
              <w:spacing w:line="276" w:lineRule="auto"/>
              <w:jc w:val="center"/>
              <w:rPr>
                <w:rFonts w:cs="Arial"/>
                <w:szCs w:val="20"/>
                <w:lang w:val="sl-SI" w:eastAsia="sl-SI"/>
              </w:rPr>
            </w:pPr>
          </w:p>
        </w:tc>
        <w:tc>
          <w:tcPr>
            <w:tcW w:w="3383" w:type="dxa"/>
            <w:tcBorders>
              <w:top w:val="single" w:sz="4" w:space="0" w:color="auto"/>
              <w:left w:val="single" w:sz="4" w:space="0" w:color="auto"/>
              <w:bottom w:val="single" w:sz="4" w:space="0" w:color="auto"/>
              <w:right w:val="single" w:sz="4" w:space="0" w:color="auto"/>
            </w:tcBorders>
            <w:shd w:val="clear" w:color="auto" w:fill="auto"/>
            <w:tcMar>
              <w:top w:w="12" w:type="dxa"/>
              <w:left w:w="108" w:type="dxa"/>
              <w:bottom w:w="0" w:type="dxa"/>
              <w:right w:w="108" w:type="dxa"/>
            </w:tcMar>
            <w:vAlign w:val="center"/>
            <w:hideMark/>
          </w:tcPr>
          <w:p w:rsidR="002F73CD" w:rsidRPr="002F73CD" w:rsidRDefault="002F73CD" w:rsidP="00ED0D9D">
            <w:pPr>
              <w:autoSpaceDE w:val="0"/>
              <w:autoSpaceDN w:val="0"/>
              <w:adjustRightInd w:val="0"/>
              <w:spacing w:line="276" w:lineRule="auto"/>
              <w:jc w:val="center"/>
              <w:rPr>
                <w:rFonts w:cs="Arial"/>
                <w:szCs w:val="20"/>
                <w:lang w:val="sl-SI" w:eastAsia="sl-SI"/>
              </w:rPr>
            </w:pPr>
            <w:r w:rsidRPr="002F73CD">
              <w:rPr>
                <w:rFonts w:cs="Arial"/>
                <w:szCs w:val="20"/>
                <w:lang w:val="sl-SI" w:eastAsia="sl-SI"/>
              </w:rPr>
              <w:t>45 %</w:t>
            </w:r>
          </w:p>
          <w:p w:rsidR="002F73CD" w:rsidRPr="002F73CD" w:rsidRDefault="002F73CD" w:rsidP="00ED0D9D">
            <w:pPr>
              <w:autoSpaceDE w:val="0"/>
              <w:autoSpaceDN w:val="0"/>
              <w:adjustRightInd w:val="0"/>
              <w:spacing w:line="276" w:lineRule="auto"/>
              <w:jc w:val="center"/>
              <w:rPr>
                <w:rFonts w:cs="Arial"/>
                <w:szCs w:val="20"/>
                <w:lang w:val="sl-SI" w:eastAsia="sl-SI"/>
              </w:rPr>
            </w:pPr>
            <w:r w:rsidRPr="002F73CD">
              <w:rPr>
                <w:rFonts w:cs="Arial"/>
                <w:szCs w:val="20"/>
                <w:lang w:val="sl-SI" w:eastAsia="sl-SI"/>
              </w:rPr>
              <w:t>(prenosne baterije)</w:t>
            </w:r>
          </w:p>
        </w:tc>
      </w:tr>
      <w:tr w:rsidR="002F73CD" w:rsidRPr="005771BD" w:rsidTr="00ED0D9D">
        <w:trPr>
          <w:trHeight w:val="227"/>
        </w:trPr>
        <w:tc>
          <w:tcPr>
            <w:tcW w:w="2204" w:type="dxa"/>
            <w:vMerge w:val="restart"/>
            <w:tcBorders>
              <w:top w:val="single" w:sz="4" w:space="0" w:color="auto"/>
              <w:left w:val="single" w:sz="4" w:space="0" w:color="auto"/>
              <w:bottom w:val="single" w:sz="4" w:space="0" w:color="auto"/>
              <w:right w:val="single" w:sz="4" w:space="0" w:color="auto"/>
            </w:tcBorders>
            <w:shd w:val="clear" w:color="auto" w:fill="CCCCCC" w:themeFill="text2" w:themeFillTint="33"/>
            <w:tcMar>
              <w:top w:w="12" w:type="dxa"/>
              <w:left w:w="108" w:type="dxa"/>
              <w:bottom w:w="0" w:type="dxa"/>
              <w:right w:w="108" w:type="dxa"/>
            </w:tcMar>
            <w:vAlign w:val="center"/>
            <w:hideMark/>
          </w:tcPr>
          <w:p w:rsidR="002F73CD" w:rsidRPr="002F73CD" w:rsidRDefault="002F73CD" w:rsidP="00ED0D9D">
            <w:pPr>
              <w:autoSpaceDE w:val="0"/>
              <w:autoSpaceDN w:val="0"/>
              <w:adjustRightInd w:val="0"/>
              <w:spacing w:before="20" w:after="200" w:line="276" w:lineRule="auto"/>
              <w:rPr>
                <w:rFonts w:cs="Arial"/>
                <w:szCs w:val="20"/>
                <w:lang w:val="sl-SI" w:eastAsia="sl-SI"/>
              </w:rPr>
            </w:pPr>
            <w:r w:rsidRPr="002F73CD">
              <w:rPr>
                <w:rFonts w:cs="Arial"/>
                <w:b/>
                <w:bCs/>
                <w:szCs w:val="20"/>
                <w:lang w:val="sl-SI" w:eastAsia="sl-SI"/>
              </w:rPr>
              <w:t>Odlaganje biorazgradljivih odpadkov na odlagališča</w:t>
            </w:r>
            <w:r w:rsidRPr="002F73CD">
              <w:rPr>
                <w:rFonts w:cs="Arial"/>
                <w:szCs w:val="20"/>
                <w:lang w:val="sl-SI" w:eastAsia="sl-SI"/>
              </w:rPr>
              <w:t xml:space="preserve"> </w:t>
            </w:r>
          </w:p>
        </w:tc>
        <w:tc>
          <w:tcPr>
            <w:tcW w:w="756" w:type="dxa"/>
            <w:tcBorders>
              <w:top w:val="single" w:sz="4" w:space="0" w:color="auto"/>
              <w:left w:val="single" w:sz="4" w:space="0" w:color="auto"/>
              <w:bottom w:val="single" w:sz="4" w:space="0" w:color="auto"/>
              <w:right w:val="single" w:sz="4" w:space="0" w:color="auto"/>
            </w:tcBorders>
            <w:shd w:val="clear" w:color="auto" w:fill="auto"/>
            <w:tcMar>
              <w:top w:w="12" w:type="dxa"/>
              <w:left w:w="108" w:type="dxa"/>
              <w:bottom w:w="0" w:type="dxa"/>
              <w:right w:w="108" w:type="dxa"/>
            </w:tcMar>
            <w:vAlign w:val="center"/>
            <w:hideMark/>
          </w:tcPr>
          <w:p w:rsidR="002F73CD" w:rsidRPr="002F73CD" w:rsidRDefault="002F73CD" w:rsidP="00ED0D9D">
            <w:pPr>
              <w:autoSpaceDE w:val="0"/>
              <w:autoSpaceDN w:val="0"/>
              <w:adjustRightInd w:val="0"/>
              <w:spacing w:before="20" w:after="200" w:line="276" w:lineRule="auto"/>
              <w:jc w:val="right"/>
              <w:rPr>
                <w:rFonts w:cs="Arial"/>
                <w:szCs w:val="20"/>
                <w:lang w:val="sl-SI" w:eastAsia="sl-SI"/>
              </w:rPr>
            </w:pPr>
            <w:r w:rsidRPr="002F73CD">
              <w:rPr>
                <w:rFonts w:cs="Arial"/>
                <w:szCs w:val="20"/>
                <w:lang w:val="sl-SI" w:eastAsia="sl-SI"/>
              </w:rPr>
              <w:t>2006*</w:t>
            </w:r>
          </w:p>
        </w:tc>
        <w:tc>
          <w:tcPr>
            <w:tcW w:w="6538" w:type="dxa"/>
            <w:gridSpan w:val="3"/>
            <w:tcBorders>
              <w:top w:val="single" w:sz="4" w:space="0" w:color="auto"/>
              <w:left w:val="single" w:sz="4" w:space="0" w:color="auto"/>
              <w:bottom w:val="single" w:sz="4" w:space="0" w:color="auto"/>
              <w:right w:val="single" w:sz="4" w:space="0" w:color="auto"/>
            </w:tcBorders>
            <w:shd w:val="clear" w:color="auto" w:fill="auto"/>
            <w:tcMar>
              <w:top w:w="12" w:type="dxa"/>
              <w:left w:w="108" w:type="dxa"/>
              <w:bottom w:w="0" w:type="dxa"/>
              <w:right w:w="108" w:type="dxa"/>
            </w:tcMar>
            <w:vAlign w:val="center"/>
            <w:hideMark/>
          </w:tcPr>
          <w:p w:rsidR="002F73CD" w:rsidRPr="002F73CD" w:rsidRDefault="002F73CD" w:rsidP="00ED0D9D">
            <w:pPr>
              <w:autoSpaceDE w:val="0"/>
              <w:autoSpaceDN w:val="0"/>
              <w:adjustRightInd w:val="0"/>
              <w:spacing w:before="20" w:after="200" w:line="276" w:lineRule="auto"/>
              <w:rPr>
                <w:rFonts w:cs="Arial"/>
                <w:szCs w:val="20"/>
                <w:lang w:val="sl-SI" w:eastAsia="sl-SI"/>
              </w:rPr>
            </w:pPr>
            <w:r w:rsidRPr="002F73CD">
              <w:rPr>
                <w:rFonts w:cs="Arial"/>
                <w:szCs w:val="20"/>
                <w:lang w:val="sl-SI" w:eastAsia="sl-SI"/>
              </w:rPr>
              <w:t>zmanjšanje na 75 % (po masi) glede na leto 1995</w:t>
            </w:r>
          </w:p>
        </w:tc>
      </w:tr>
      <w:tr w:rsidR="002F73CD" w:rsidRPr="005771BD" w:rsidTr="00ED0D9D">
        <w:trPr>
          <w:trHeight w:val="227"/>
        </w:trPr>
        <w:tc>
          <w:tcPr>
            <w:tcW w:w="2204" w:type="dxa"/>
            <w:vMerge/>
            <w:tcBorders>
              <w:top w:val="single" w:sz="4" w:space="0" w:color="auto"/>
              <w:left w:val="single" w:sz="4" w:space="0" w:color="auto"/>
              <w:bottom w:val="single" w:sz="4" w:space="0" w:color="auto"/>
              <w:right w:val="single" w:sz="4" w:space="0" w:color="auto"/>
            </w:tcBorders>
            <w:shd w:val="clear" w:color="auto" w:fill="CCCCCC" w:themeFill="text2" w:themeFillTint="33"/>
            <w:vAlign w:val="center"/>
            <w:hideMark/>
          </w:tcPr>
          <w:p w:rsidR="002F73CD" w:rsidRPr="002F73CD" w:rsidRDefault="002F73CD" w:rsidP="00ED0D9D">
            <w:pPr>
              <w:autoSpaceDE w:val="0"/>
              <w:autoSpaceDN w:val="0"/>
              <w:adjustRightInd w:val="0"/>
              <w:spacing w:before="20" w:after="200" w:line="276" w:lineRule="auto"/>
              <w:rPr>
                <w:rFonts w:cs="Arial"/>
                <w:szCs w:val="20"/>
                <w:lang w:val="sl-SI" w:eastAsia="sl-SI"/>
              </w:rPr>
            </w:pPr>
          </w:p>
        </w:tc>
        <w:tc>
          <w:tcPr>
            <w:tcW w:w="756" w:type="dxa"/>
            <w:tcBorders>
              <w:top w:val="single" w:sz="4" w:space="0" w:color="auto"/>
              <w:left w:val="single" w:sz="4" w:space="0" w:color="auto"/>
              <w:bottom w:val="single" w:sz="4" w:space="0" w:color="auto"/>
              <w:right w:val="single" w:sz="4" w:space="0" w:color="auto"/>
            </w:tcBorders>
            <w:shd w:val="clear" w:color="auto" w:fill="auto"/>
            <w:tcMar>
              <w:top w:w="12" w:type="dxa"/>
              <w:left w:w="108" w:type="dxa"/>
              <w:bottom w:w="0" w:type="dxa"/>
              <w:right w:w="108" w:type="dxa"/>
            </w:tcMar>
            <w:vAlign w:val="center"/>
            <w:hideMark/>
          </w:tcPr>
          <w:p w:rsidR="002F73CD" w:rsidRPr="002F73CD" w:rsidRDefault="002F73CD" w:rsidP="00ED0D9D">
            <w:pPr>
              <w:autoSpaceDE w:val="0"/>
              <w:autoSpaceDN w:val="0"/>
              <w:adjustRightInd w:val="0"/>
              <w:spacing w:before="20" w:after="200" w:line="276" w:lineRule="auto"/>
              <w:jc w:val="right"/>
              <w:rPr>
                <w:rFonts w:cs="Arial"/>
                <w:szCs w:val="20"/>
                <w:lang w:val="sl-SI" w:eastAsia="sl-SI"/>
              </w:rPr>
            </w:pPr>
            <w:r w:rsidRPr="002F73CD">
              <w:rPr>
                <w:rFonts w:cs="Arial"/>
                <w:szCs w:val="20"/>
                <w:lang w:val="sl-SI" w:eastAsia="sl-SI"/>
              </w:rPr>
              <w:t>2009*</w:t>
            </w:r>
          </w:p>
        </w:tc>
        <w:tc>
          <w:tcPr>
            <w:tcW w:w="6538" w:type="dxa"/>
            <w:gridSpan w:val="3"/>
            <w:tcBorders>
              <w:top w:val="single" w:sz="4" w:space="0" w:color="auto"/>
              <w:left w:val="single" w:sz="4" w:space="0" w:color="auto"/>
              <w:bottom w:val="single" w:sz="4" w:space="0" w:color="auto"/>
              <w:right w:val="single" w:sz="4" w:space="0" w:color="auto"/>
            </w:tcBorders>
            <w:shd w:val="clear" w:color="auto" w:fill="auto"/>
            <w:tcMar>
              <w:top w:w="12" w:type="dxa"/>
              <w:left w:w="108" w:type="dxa"/>
              <w:bottom w:w="0" w:type="dxa"/>
              <w:right w:w="108" w:type="dxa"/>
            </w:tcMar>
            <w:vAlign w:val="center"/>
            <w:hideMark/>
          </w:tcPr>
          <w:p w:rsidR="002F73CD" w:rsidRPr="002F73CD" w:rsidRDefault="002F73CD" w:rsidP="00ED0D9D">
            <w:pPr>
              <w:autoSpaceDE w:val="0"/>
              <w:autoSpaceDN w:val="0"/>
              <w:adjustRightInd w:val="0"/>
              <w:spacing w:before="20" w:after="200" w:line="276" w:lineRule="auto"/>
              <w:rPr>
                <w:rFonts w:cs="Arial"/>
                <w:szCs w:val="20"/>
                <w:lang w:val="sl-SI" w:eastAsia="sl-SI"/>
              </w:rPr>
            </w:pPr>
            <w:r w:rsidRPr="002F73CD">
              <w:rPr>
                <w:rFonts w:cs="Arial"/>
                <w:szCs w:val="20"/>
                <w:lang w:val="sl-SI" w:eastAsia="sl-SI"/>
              </w:rPr>
              <w:t>zmanjšanje na 50 % (po masi) glede na leto 1995</w:t>
            </w:r>
          </w:p>
        </w:tc>
      </w:tr>
      <w:tr w:rsidR="002F73CD" w:rsidRPr="005771BD" w:rsidTr="00ED0D9D">
        <w:trPr>
          <w:trHeight w:val="227"/>
        </w:trPr>
        <w:tc>
          <w:tcPr>
            <w:tcW w:w="2204" w:type="dxa"/>
            <w:vMerge/>
            <w:tcBorders>
              <w:top w:val="single" w:sz="4" w:space="0" w:color="auto"/>
              <w:left w:val="single" w:sz="4" w:space="0" w:color="auto"/>
              <w:bottom w:val="single" w:sz="4" w:space="0" w:color="auto"/>
              <w:right w:val="single" w:sz="4" w:space="0" w:color="auto"/>
            </w:tcBorders>
            <w:shd w:val="clear" w:color="auto" w:fill="CCCCCC" w:themeFill="text2" w:themeFillTint="33"/>
            <w:vAlign w:val="center"/>
            <w:hideMark/>
          </w:tcPr>
          <w:p w:rsidR="002F73CD" w:rsidRPr="002F73CD" w:rsidRDefault="002F73CD" w:rsidP="00ED0D9D">
            <w:pPr>
              <w:autoSpaceDE w:val="0"/>
              <w:autoSpaceDN w:val="0"/>
              <w:adjustRightInd w:val="0"/>
              <w:spacing w:before="20" w:after="200" w:line="276" w:lineRule="auto"/>
              <w:rPr>
                <w:rFonts w:cs="Arial"/>
                <w:szCs w:val="20"/>
                <w:lang w:val="sl-SI" w:eastAsia="sl-SI"/>
              </w:rPr>
            </w:pPr>
          </w:p>
        </w:tc>
        <w:tc>
          <w:tcPr>
            <w:tcW w:w="756" w:type="dxa"/>
            <w:tcBorders>
              <w:top w:val="single" w:sz="4" w:space="0" w:color="auto"/>
              <w:left w:val="single" w:sz="4" w:space="0" w:color="auto"/>
              <w:bottom w:val="single" w:sz="4" w:space="0" w:color="auto"/>
              <w:right w:val="single" w:sz="4" w:space="0" w:color="auto"/>
            </w:tcBorders>
            <w:shd w:val="clear" w:color="auto" w:fill="auto"/>
            <w:tcMar>
              <w:top w:w="12" w:type="dxa"/>
              <w:left w:w="108" w:type="dxa"/>
              <w:bottom w:w="0" w:type="dxa"/>
              <w:right w:w="108" w:type="dxa"/>
            </w:tcMar>
            <w:vAlign w:val="center"/>
            <w:hideMark/>
          </w:tcPr>
          <w:p w:rsidR="002F73CD" w:rsidRPr="002F73CD" w:rsidRDefault="002F73CD" w:rsidP="00ED0D9D">
            <w:pPr>
              <w:autoSpaceDE w:val="0"/>
              <w:autoSpaceDN w:val="0"/>
              <w:adjustRightInd w:val="0"/>
              <w:spacing w:before="20" w:after="200" w:line="276" w:lineRule="auto"/>
              <w:jc w:val="right"/>
              <w:rPr>
                <w:rFonts w:cs="Arial"/>
                <w:szCs w:val="20"/>
                <w:lang w:val="sl-SI" w:eastAsia="sl-SI"/>
              </w:rPr>
            </w:pPr>
            <w:r w:rsidRPr="002F73CD">
              <w:rPr>
                <w:rFonts w:cs="Arial"/>
                <w:szCs w:val="20"/>
                <w:lang w:val="sl-SI" w:eastAsia="sl-SI"/>
              </w:rPr>
              <w:t>2016*</w:t>
            </w:r>
          </w:p>
        </w:tc>
        <w:tc>
          <w:tcPr>
            <w:tcW w:w="6538" w:type="dxa"/>
            <w:gridSpan w:val="3"/>
            <w:tcBorders>
              <w:top w:val="single" w:sz="4" w:space="0" w:color="auto"/>
              <w:left w:val="single" w:sz="4" w:space="0" w:color="auto"/>
              <w:bottom w:val="single" w:sz="4" w:space="0" w:color="auto"/>
              <w:right w:val="single" w:sz="4" w:space="0" w:color="auto"/>
            </w:tcBorders>
            <w:shd w:val="clear" w:color="auto" w:fill="auto"/>
            <w:tcMar>
              <w:top w:w="12" w:type="dxa"/>
              <w:left w:w="108" w:type="dxa"/>
              <w:bottom w:w="0" w:type="dxa"/>
              <w:right w:w="108" w:type="dxa"/>
            </w:tcMar>
            <w:vAlign w:val="center"/>
            <w:hideMark/>
          </w:tcPr>
          <w:p w:rsidR="002F73CD" w:rsidRPr="002F73CD" w:rsidRDefault="002F73CD" w:rsidP="00ED0D9D">
            <w:pPr>
              <w:autoSpaceDE w:val="0"/>
              <w:autoSpaceDN w:val="0"/>
              <w:adjustRightInd w:val="0"/>
              <w:spacing w:before="20" w:after="200" w:line="276" w:lineRule="auto"/>
              <w:rPr>
                <w:rFonts w:cs="Arial"/>
                <w:szCs w:val="20"/>
                <w:lang w:val="sl-SI" w:eastAsia="sl-SI"/>
              </w:rPr>
            </w:pPr>
            <w:r w:rsidRPr="002F73CD">
              <w:rPr>
                <w:rFonts w:cs="Arial"/>
                <w:szCs w:val="20"/>
                <w:lang w:val="sl-SI" w:eastAsia="sl-SI"/>
              </w:rPr>
              <w:t>zmanjšanje na 35 % (po masi) glede na leto 1995</w:t>
            </w:r>
          </w:p>
        </w:tc>
      </w:tr>
      <w:tr w:rsidR="00511EC8" w:rsidRPr="005771BD" w:rsidTr="0077619C">
        <w:trPr>
          <w:trHeight w:val="712"/>
        </w:trPr>
        <w:tc>
          <w:tcPr>
            <w:tcW w:w="2204" w:type="dxa"/>
            <w:vMerge w:val="restart"/>
            <w:tcBorders>
              <w:top w:val="single" w:sz="4" w:space="0" w:color="auto"/>
              <w:left w:val="single" w:sz="4" w:space="0" w:color="auto"/>
              <w:right w:val="single" w:sz="4" w:space="0" w:color="auto"/>
            </w:tcBorders>
            <w:shd w:val="clear" w:color="auto" w:fill="CCCCCC" w:themeFill="text2" w:themeFillTint="33"/>
            <w:tcMar>
              <w:top w:w="12" w:type="dxa"/>
              <w:left w:w="108" w:type="dxa"/>
              <w:bottom w:w="0" w:type="dxa"/>
              <w:right w:w="108" w:type="dxa"/>
            </w:tcMar>
            <w:vAlign w:val="center"/>
            <w:hideMark/>
          </w:tcPr>
          <w:p w:rsidR="00511EC8" w:rsidRPr="002F73CD" w:rsidRDefault="00511EC8" w:rsidP="00ED0D9D">
            <w:pPr>
              <w:autoSpaceDE w:val="0"/>
              <w:autoSpaceDN w:val="0"/>
              <w:adjustRightInd w:val="0"/>
              <w:spacing w:before="20" w:after="200" w:line="276" w:lineRule="auto"/>
              <w:rPr>
                <w:rFonts w:cs="Arial"/>
                <w:szCs w:val="20"/>
                <w:lang w:val="sl-SI" w:eastAsia="sl-SI"/>
              </w:rPr>
            </w:pPr>
            <w:r w:rsidRPr="002F73CD">
              <w:rPr>
                <w:rFonts w:cs="Arial"/>
                <w:b/>
                <w:bCs/>
                <w:szCs w:val="20"/>
                <w:lang w:val="sl-SI" w:eastAsia="sl-SI"/>
              </w:rPr>
              <w:t>Komunalni odpadki (najmanj odpadni papir, kovine, plastika, steklo)</w:t>
            </w:r>
            <w:r w:rsidRPr="002F73CD">
              <w:rPr>
                <w:rFonts w:cs="Arial"/>
                <w:szCs w:val="20"/>
                <w:lang w:val="sl-SI" w:eastAsia="sl-SI"/>
              </w:rPr>
              <w:t xml:space="preserve"> </w:t>
            </w:r>
          </w:p>
        </w:tc>
        <w:tc>
          <w:tcPr>
            <w:tcW w:w="756" w:type="dxa"/>
            <w:tcBorders>
              <w:top w:val="single" w:sz="4" w:space="0" w:color="auto"/>
              <w:left w:val="single" w:sz="4" w:space="0" w:color="auto"/>
              <w:right w:val="single" w:sz="4" w:space="0" w:color="auto"/>
            </w:tcBorders>
            <w:shd w:val="clear" w:color="auto" w:fill="auto"/>
            <w:tcMar>
              <w:top w:w="12" w:type="dxa"/>
              <w:left w:w="108" w:type="dxa"/>
              <w:bottom w:w="0" w:type="dxa"/>
              <w:right w:w="108" w:type="dxa"/>
            </w:tcMar>
            <w:vAlign w:val="center"/>
            <w:hideMark/>
          </w:tcPr>
          <w:p w:rsidR="00511EC8" w:rsidRPr="002F73CD" w:rsidRDefault="00511EC8" w:rsidP="00ED0D9D">
            <w:pPr>
              <w:autoSpaceDE w:val="0"/>
              <w:autoSpaceDN w:val="0"/>
              <w:adjustRightInd w:val="0"/>
              <w:spacing w:before="20" w:after="200" w:line="276" w:lineRule="auto"/>
              <w:jc w:val="right"/>
              <w:rPr>
                <w:rFonts w:cs="Arial"/>
                <w:szCs w:val="20"/>
                <w:lang w:val="sl-SI" w:eastAsia="sl-SI"/>
              </w:rPr>
            </w:pPr>
            <w:r w:rsidRPr="002F73CD">
              <w:rPr>
                <w:rFonts w:cs="Arial"/>
                <w:szCs w:val="20"/>
                <w:lang w:val="sl-SI" w:eastAsia="sl-SI"/>
              </w:rPr>
              <w:t>2015</w:t>
            </w:r>
          </w:p>
        </w:tc>
        <w:tc>
          <w:tcPr>
            <w:tcW w:w="6538" w:type="dxa"/>
            <w:gridSpan w:val="3"/>
            <w:tcBorders>
              <w:top w:val="single" w:sz="4" w:space="0" w:color="auto"/>
              <w:left w:val="single" w:sz="4" w:space="0" w:color="auto"/>
              <w:bottom w:val="single" w:sz="4" w:space="0" w:color="auto"/>
              <w:right w:val="single" w:sz="4" w:space="0" w:color="auto"/>
            </w:tcBorders>
            <w:shd w:val="clear" w:color="auto" w:fill="auto"/>
            <w:tcMar>
              <w:top w:w="12" w:type="dxa"/>
              <w:left w:w="108" w:type="dxa"/>
              <w:bottom w:w="0" w:type="dxa"/>
              <w:right w:w="108" w:type="dxa"/>
            </w:tcMar>
            <w:vAlign w:val="center"/>
            <w:hideMark/>
          </w:tcPr>
          <w:p w:rsidR="00511EC8" w:rsidRPr="002F73CD" w:rsidRDefault="00511EC8" w:rsidP="00ED0D9D">
            <w:pPr>
              <w:autoSpaceDE w:val="0"/>
              <w:autoSpaceDN w:val="0"/>
              <w:adjustRightInd w:val="0"/>
              <w:spacing w:before="20" w:after="200" w:line="276" w:lineRule="auto"/>
              <w:rPr>
                <w:rFonts w:cs="Arial"/>
                <w:szCs w:val="20"/>
                <w:lang w:val="sl-SI" w:eastAsia="sl-SI"/>
              </w:rPr>
            </w:pPr>
            <w:r w:rsidRPr="002F73CD">
              <w:rPr>
                <w:rFonts w:cs="Arial"/>
                <w:szCs w:val="20"/>
                <w:lang w:val="sl-SI" w:eastAsia="sl-SI"/>
              </w:rPr>
              <w:t>vzpostavitev ločenega zbiranja</w:t>
            </w:r>
          </w:p>
        </w:tc>
      </w:tr>
      <w:tr w:rsidR="00511EC8" w:rsidRPr="005771BD" w:rsidTr="0077619C">
        <w:trPr>
          <w:trHeight w:val="711"/>
        </w:trPr>
        <w:tc>
          <w:tcPr>
            <w:tcW w:w="2204" w:type="dxa"/>
            <w:vMerge/>
            <w:tcBorders>
              <w:left w:val="single" w:sz="4" w:space="0" w:color="auto"/>
              <w:bottom w:val="single" w:sz="4" w:space="0" w:color="auto"/>
              <w:right w:val="single" w:sz="4" w:space="0" w:color="auto"/>
            </w:tcBorders>
            <w:shd w:val="clear" w:color="auto" w:fill="CCCCCC" w:themeFill="text2" w:themeFillTint="33"/>
            <w:tcMar>
              <w:top w:w="12" w:type="dxa"/>
              <w:left w:w="108" w:type="dxa"/>
              <w:bottom w:w="0" w:type="dxa"/>
              <w:right w:w="108" w:type="dxa"/>
            </w:tcMar>
            <w:vAlign w:val="center"/>
          </w:tcPr>
          <w:p w:rsidR="00511EC8" w:rsidRPr="002F73CD" w:rsidRDefault="00511EC8" w:rsidP="00ED0D9D">
            <w:pPr>
              <w:autoSpaceDE w:val="0"/>
              <w:autoSpaceDN w:val="0"/>
              <w:adjustRightInd w:val="0"/>
              <w:spacing w:before="20" w:after="200" w:line="276" w:lineRule="auto"/>
              <w:rPr>
                <w:rFonts w:cs="Arial"/>
                <w:b/>
                <w:bCs/>
                <w:szCs w:val="20"/>
                <w:lang w:val="sl-SI" w:eastAsia="sl-SI"/>
              </w:rPr>
            </w:pPr>
          </w:p>
        </w:tc>
        <w:tc>
          <w:tcPr>
            <w:tcW w:w="756" w:type="dxa"/>
            <w:tcBorders>
              <w:left w:val="single" w:sz="4" w:space="0" w:color="auto"/>
              <w:bottom w:val="single" w:sz="4" w:space="0" w:color="auto"/>
              <w:right w:val="single" w:sz="4" w:space="0" w:color="auto"/>
            </w:tcBorders>
            <w:shd w:val="clear" w:color="auto" w:fill="auto"/>
            <w:tcMar>
              <w:top w:w="12" w:type="dxa"/>
              <w:left w:w="108" w:type="dxa"/>
              <w:bottom w:w="0" w:type="dxa"/>
              <w:right w:w="108" w:type="dxa"/>
            </w:tcMar>
            <w:vAlign w:val="center"/>
          </w:tcPr>
          <w:p w:rsidR="00511EC8" w:rsidRPr="002F73CD" w:rsidRDefault="00511EC8" w:rsidP="00ED0D9D">
            <w:pPr>
              <w:autoSpaceDE w:val="0"/>
              <w:autoSpaceDN w:val="0"/>
              <w:adjustRightInd w:val="0"/>
              <w:spacing w:before="20" w:after="200" w:line="276" w:lineRule="auto"/>
              <w:jc w:val="right"/>
              <w:rPr>
                <w:rFonts w:cs="Arial"/>
                <w:szCs w:val="20"/>
                <w:lang w:val="sl-SI" w:eastAsia="sl-SI"/>
              </w:rPr>
            </w:pPr>
            <w:r>
              <w:rPr>
                <w:rFonts w:cs="Arial"/>
                <w:szCs w:val="20"/>
                <w:lang w:val="sl-SI" w:eastAsia="sl-SI"/>
              </w:rPr>
              <w:t>2020</w:t>
            </w:r>
          </w:p>
        </w:tc>
        <w:tc>
          <w:tcPr>
            <w:tcW w:w="6538" w:type="dxa"/>
            <w:gridSpan w:val="3"/>
            <w:tcBorders>
              <w:top w:val="single" w:sz="4" w:space="0" w:color="auto"/>
              <w:left w:val="single" w:sz="4" w:space="0" w:color="auto"/>
              <w:bottom w:val="single" w:sz="4" w:space="0" w:color="auto"/>
              <w:right w:val="single" w:sz="4" w:space="0" w:color="auto"/>
            </w:tcBorders>
            <w:shd w:val="clear" w:color="auto" w:fill="auto"/>
            <w:tcMar>
              <w:top w:w="12" w:type="dxa"/>
              <w:left w:w="108" w:type="dxa"/>
              <w:bottom w:w="0" w:type="dxa"/>
              <w:right w:w="108" w:type="dxa"/>
            </w:tcMar>
            <w:vAlign w:val="center"/>
          </w:tcPr>
          <w:p w:rsidR="00511EC8" w:rsidRPr="002F73CD" w:rsidRDefault="00511EC8" w:rsidP="00511EC8">
            <w:pPr>
              <w:autoSpaceDE w:val="0"/>
              <w:autoSpaceDN w:val="0"/>
              <w:adjustRightInd w:val="0"/>
              <w:spacing w:before="20" w:after="200" w:line="276" w:lineRule="auto"/>
              <w:rPr>
                <w:rFonts w:cs="Arial"/>
                <w:szCs w:val="20"/>
                <w:lang w:val="sl-SI" w:eastAsia="sl-SI"/>
              </w:rPr>
            </w:pPr>
            <w:r>
              <w:rPr>
                <w:rFonts w:cs="Arial"/>
                <w:szCs w:val="20"/>
                <w:lang w:val="sl-SI" w:eastAsia="sl-SI"/>
              </w:rPr>
              <w:t xml:space="preserve">najmanj 50% recikliranja, vključno s pripravo za ponovno uporabo </w:t>
            </w:r>
          </w:p>
        </w:tc>
      </w:tr>
    </w:tbl>
    <w:p w:rsidR="002F73CD" w:rsidRPr="00CC0EE8" w:rsidRDefault="002F73CD" w:rsidP="002F73CD">
      <w:pPr>
        <w:autoSpaceDE w:val="0"/>
        <w:autoSpaceDN w:val="0"/>
        <w:adjustRightInd w:val="0"/>
        <w:spacing w:line="276" w:lineRule="auto"/>
        <w:rPr>
          <w:rFonts w:cs="Arial"/>
          <w:i/>
          <w:szCs w:val="20"/>
          <w:lang w:val="sl-SI" w:eastAsia="sl-SI"/>
        </w:rPr>
      </w:pPr>
      <w:r w:rsidRPr="00CC0EE8">
        <w:rPr>
          <w:rFonts w:cs="Arial"/>
          <w:i/>
          <w:szCs w:val="20"/>
          <w:vertAlign w:val="superscript"/>
          <w:lang w:val="sl-SI" w:eastAsia="sl-SI"/>
        </w:rPr>
        <w:t xml:space="preserve">* </w:t>
      </w:r>
      <w:r w:rsidRPr="00CC0EE8">
        <w:rPr>
          <w:rFonts w:cs="Arial"/>
          <w:i/>
          <w:szCs w:val="20"/>
          <w:lang w:val="sl-SI" w:eastAsia="sl-SI"/>
        </w:rPr>
        <w:t>Slovenija je v skladu s 5. členom Direktive 1999/31/ES o odlaganju odpadkov na odlagališčih odložila uresničitev ciljev za štiri leta.</w:t>
      </w:r>
    </w:p>
    <w:p w:rsidR="002F73CD" w:rsidRPr="005771BD" w:rsidRDefault="002F73CD" w:rsidP="002F73CD">
      <w:pPr>
        <w:spacing w:after="200" w:line="276" w:lineRule="auto"/>
        <w:jc w:val="both"/>
        <w:rPr>
          <w:rFonts w:cs="Arial"/>
          <w:szCs w:val="20"/>
          <w:lang w:val="sl-SI"/>
        </w:rPr>
      </w:pPr>
    </w:p>
    <w:p w:rsidR="002F73CD" w:rsidRPr="005771BD" w:rsidRDefault="002F73CD" w:rsidP="002F73CD">
      <w:pPr>
        <w:spacing w:before="100" w:beforeAutospacing="1" w:after="200" w:line="276" w:lineRule="auto"/>
        <w:jc w:val="both"/>
        <w:rPr>
          <w:rFonts w:cs="Arial"/>
          <w:szCs w:val="20"/>
          <w:lang w:val="sl-SI" w:eastAsia="sl-SI"/>
        </w:rPr>
      </w:pPr>
      <w:r w:rsidRPr="005771BD">
        <w:rPr>
          <w:rFonts w:cs="Arial"/>
          <w:szCs w:val="20"/>
          <w:lang w:val="sl-SI" w:eastAsia="sl-SI"/>
        </w:rPr>
        <w:t xml:space="preserve">V Sloveniji smo v preteklih letih storili velik napredek pri ravnanju z odpadki, zmanjšali smo število odlagališč odpadkov, ločeno zbiranje odpadkov </w:t>
      </w:r>
      <w:r>
        <w:rPr>
          <w:rFonts w:cs="Arial"/>
          <w:szCs w:val="20"/>
          <w:lang w:val="sl-SI" w:eastAsia="sl-SI"/>
        </w:rPr>
        <w:t>narašča</w:t>
      </w:r>
      <w:r w:rsidRPr="005771BD">
        <w:rPr>
          <w:rFonts w:cs="Arial"/>
          <w:szCs w:val="20"/>
          <w:lang w:val="sl-SI" w:eastAsia="sl-SI"/>
        </w:rPr>
        <w:t xml:space="preserve"> (od leta 2009 do 2015 z 29% na 69%), v večini občin je uveden sistem ločenega zbiranja od vrat do vrat za odpadno embalažo (za posamezne embalažne materiale), </w:t>
      </w:r>
      <w:r>
        <w:rPr>
          <w:rFonts w:cs="Arial"/>
          <w:szCs w:val="20"/>
          <w:lang w:val="sl-SI" w:eastAsia="sl-SI"/>
        </w:rPr>
        <w:t>od</w:t>
      </w:r>
      <w:r w:rsidRPr="005771BD">
        <w:rPr>
          <w:rFonts w:cs="Arial"/>
          <w:szCs w:val="20"/>
          <w:lang w:val="sl-SI" w:eastAsia="sl-SI"/>
        </w:rPr>
        <w:t xml:space="preserve"> let</w:t>
      </w:r>
      <w:r>
        <w:rPr>
          <w:rFonts w:cs="Arial"/>
          <w:szCs w:val="20"/>
          <w:lang w:val="sl-SI" w:eastAsia="sl-SI"/>
        </w:rPr>
        <w:t>a</w:t>
      </w:r>
      <w:r w:rsidRPr="005771BD">
        <w:rPr>
          <w:rFonts w:cs="Arial"/>
          <w:szCs w:val="20"/>
          <w:lang w:val="sl-SI" w:eastAsia="sl-SI"/>
        </w:rPr>
        <w:t xml:space="preserve"> 2016 je obvezna mehansk</w:t>
      </w:r>
      <w:r>
        <w:rPr>
          <w:rFonts w:cs="Arial"/>
          <w:szCs w:val="20"/>
          <w:lang w:val="sl-SI" w:eastAsia="sl-SI"/>
        </w:rPr>
        <w:t xml:space="preserve">a </w:t>
      </w:r>
      <w:r w:rsidRPr="005771BD">
        <w:rPr>
          <w:rFonts w:cs="Arial"/>
          <w:szCs w:val="20"/>
          <w:lang w:val="sl-SI" w:eastAsia="sl-SI"/>
        </w:rPr>
        <w:t>biološka obdelava mešanih komunalnih odpadkov pred odlaganjem v centrih za ravnanje s komunalnimi odpadki, količina odloženih komunalnih odpadkov se manjša (od leta 2009 do 2015 s 76</w:t>
      </w:r>
      <w:r>
        <w:rPr>
          <w:rFonts w:cs="Arial"/>
          <w:szCs w:val="20"/>
          <w:lang w:val="sl-SI" w:eastAsia="sl-SI"/>
        </w:rPr>
        <w:t xml:space="preserve"> </w:t>
      </w:r>
      <w:r w:rsidRPr="005771BD">
        <w:rPr>
          <w:rFonts w:cs="Arial"/>
          <w:szCs w:val="20"/>
          <w:lang w:val="sl-SI" w:eastAsia="sl-SI"/>
        </w:rPr>
        <w:t>% na 22</w:t>
      </w:r>
      <w:r>
        <w:rPr>
          <w:rFonts w:cs="Arial"/>
          <w:szCs w:val="20"/>
          <w:lang w:val="sl-SI" w:eastAsia="sl-SI"/>
        </w:rPr>
        <w:t xml:space="preserve"> </w:t>
      </w:r>
      <w:r w:rsidRPr="005771BD">
        <w:rPr>
          <w:rFonts w:cs="Arial"/>
          <w:szCs w:val="20"/>
          <w:lang w:val="sl-SI" w:eastAsia="sl-SI"/>
        </w:rPr>
        <w:t>%). Slovenija postavljene cilje v splošnem dosega.</w:t>
      </w:r>
    </w:p>
    <w:p w:rsidR="002F73CD" w:rsidRPr="00CC0EE8" w:rsidRDefault="002F73CD" w:rsidP="002F73CD">
      <w:pPr>
        <w:spacing w:after="200" w:line="276" w:lineRule="auto"/>
        <w:jc w:val="both"/>
        <w:rPr>
          <w:rFonts w:cs="Arial"/>
          <w:b/>
          <w:szCs w:val="20"/>
          <w:u w:val="single"/>
          <w:lang w:val="sl-SI" w:eastAsia="sl-SI"/>
        </w:rPr>
      </w:pPr>
      <w:r w:rsidRPr="007F272F">
        <w:rPr>
          <w:rFonts w:cs="Arial"/>
          <w:noProof/>
          <w:szCs w:val="20"/>
          <w:lang w:val="sl-SI" w:eastAsia="sl-SI"/>
        </w:rPr>
        <w:drawing>
          <wp:inline distT="0" distB="0" distL="0" distR="0" wp14:anchorId="60B6E7C0" wp14:editId="63E59F44">
            <wp:extent cx="4776717" cy="2520409"/>
            <wp:effectExtent l="0" t="0" r="5080" b="0"/>
            <wp:docPr id="257" name="Slika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787926" cy="2526323"/>
                    </a:xfrm>
                    <a:prstGeom prst="rect">
                      <a:avLst/>
                    </a:prstGeom>
                    <a:noFill/>
                  </pic:spPr>
                </pic:pic>
              </a:graphicData>
            </a:graphic>
          </wp:inline>
        </w:drawing>
      </w:r>
    </w:p>
    <w:p w:rsidR="002F73CD" w:rsidRPr="005771BD" w:rsidRDefault="002F73CD" w:rsidP="002F73CD">
      <w:pPr>
        <w:keepNext/>
        <w:tabs>
          <w:tab w:val="left" w:pos="851"/>
          <w:tab w:val="left" w:pos="1134"/>
        </w:tabs>
        <w:spacing w:before="200" w:line="276" w:lineRule="auto"/>
        <w:rPr>
          <w:rFonts w:cs="Arial"/>
          <w:bCs/>
          <w:i/>
          <w:noProof/>
          <w:szCs w:val="20"/>
          <w:lang w:val="sl-SI"/>
        </w:rPr>
      </w:pPr>
      <w:bookmarkStart w:id="34" w:name="_Toc452023671"/>
      <w:r w:rsidRPr="005771BD">
        <w:rPr>
          <w:rFonts w:cs="Arial"/>
          <w:bCs/>
          <w:i/>
          <w:noProof/>
          <w:szCs w:val="20"/>
          <w:lang w:val="sl-SI"/>
        </w:rPr>
        <w:t xml:space="preserve">Slika </w:t>
      </w:r>
      <w:r w:rsidR="00FF4C0C">
        <w:rPr>
          <w:rFonts w:cs="Arial"/>
          <w:bCs/>
          <w:i/>
          <w:noProof/>
          <w:szCs w:val="20"/>
          <w:lang w:val="sl-SI"/>
        </w:rPr>
        <w:t>9</w:t>
      </w:r>
      <w:r w:rsidRPr="005771BD">
        <w:rPr>
          <w:rFonts w:cs="Arial"/>
          <w:bCs/>
          <w:i/>
          <w:noProof/>
          <w:szCs w:val="20"/>
          <w:lang w:val="sl-SI"/>
        </w:rPr>
        <w:t>.18: Odlaganje biološko razgradljivih odpadkov</w:t>
      </w:r>
    </w:p>
    <w:p w:rsidR="002F73CD" w:rsidRPr="005771BD" w:rsidRDefault="002F73CD" w:rsidP="002F73CD">
      <w:pPr>
        <w:keepNext/>
        <w:tabs>
          <w:tab w:val="left" w:pos="851"/>
          <w:tab w:val="left" w:pos="1134"/>
        </w:tabs>
        <w:spacing w:after="360" w:line="276" w:lineRule="auto"/>
        <w:rPr>
          <w:rFonts w:cs="Arial"/>
          <w:bCs/>
          <w:noProof/>
          <w:sz w:val="18"/>
          <w:szCs w:val="18"/>
          <w:lang w:val="sl-SI"/>
        </w:rPr>
      </w:pPr>
      <w:r w:rsidRPr="005771BD">
        <w:rPr>
          <w:rFonts w:cs="Arial"/>
          <w:bCs/>
          <w:noProof/>
          <w:sz w:val="18"/>
          <w:szCs w:val="18"/>
          <w:lang w:val="sl-SI"/>
        </w:rPr>
        <w:t>Vir: MOP</w:t>
      </w:r>
      <w:bookmarkEnd w:id="34"/>
    </w:p>
    <w:p w:rsidR="002F73CD" w:rsidRPr="005771BD" w:rsidRDefault="002F73CD" w:rsidP="002F73CD">
      <w:pPr>
        <w:spacing w:after="200" w:line="276" w:lineRule="auto"/>
        <w:jc w:val="both"/>
        <w:rPr>
          <w:rFonts w:eastAsia="Calibri" w:cs="Arial"/>
          <w:szCs w:val="20"/>
          <w:lang w:val="sl-SI"/>
        </w:rPr>
      </w:pPr>
      <w:r w:rsidRPr="005771BD">
        <w:rPr>
          <w:rFonts w:eastAsia="Calibri" w:cs="Arial"/>
          <w:szCs w:val="20"/>
          <w:lang w:val="sl-SI"/>
        </w:rPr>
        <w:t>Slovensko gospodarstvo ima kljub delnemu poslovnemu prestrukturiranju še veliko priložnost</w:t>
      </w:r>
      <w:r>
        <w:rPr>
          <w:rFonts w:eastAsia="Calibri" w:cs="Arial"/>
          <w:szCs w:val="20"/>
          <w:lang w:val="sl-SI"/>
        </w:rPr>
        <w:t>i</w:t>
      </w:r>
      <w:r w:rsidRPr="005771BD">
        <w:rPr>
          <w:rFonts w:eastAsia="Calibri" w:cs="Arial"/>
          <w:szCs w:val="20"/>
          <w:lang w:val="sl-SI"/>
        </w:rPr>
        <w:t xml:space="preserve"> na področju tehnološkega</w:t>
      </w:r>
      <w:r>
        <w:rPr>
          <w:rFonts w:eastAsia="Calibri" w:cs="Arial"/>
          <w:szCs w:val="20"/>
          <w:lang w:val="sl-SI"/>
        </w:rPr>
        <w:t xml:space="preserve"> </w:t>
      </w:r>
      <w:r w:rsidRPr="005771BD">
        <w:rPr>
          <w:rFonts w:eastAsia="Calibri" w:cs="Arial"/>
          <w:szCs w:val="20"/>
          <w:lang w:val="sl-SI"/>
        </w:rPr>
        <w:t xml:space="preserve">zelenega prestrukturiranja, saj je snovna učinkovitost v podjetjih še precej nizka. Snovna produktivnost, ki je kazalnik trajnostne proizvodnje oziroma potrošnje, izražen kot razmerje med BDP ter porabljenimi surovinami in materiali, je po letu 2005 močno nihala. V </w:t>
      </w:r>
      <w:r>
        <w:rPr>
          <w:rFonts w:eastAsia="Calibri" w:cs="Arial"/>
          <w:szCs w:val="20"/>
          <w:lang w:val="sl-SI"/>
        </w:rPr>
        <w:t>glavnem</w:t>
      </w:r>
      <w:r w:rsidRPr="005771BD">
        <w:rPr>
          <w:rFonts w:eastAsia="Calibri" w:cs="Arial"/>
          <w:szCs w:val="20"/>
          <w:lang w:val="sl-SI"/>
        </w:rPr>
        <w:t xml:space="preserve"> je bila odvisna od porabe nekovinskih materialov (predvsem peska, gramoza in apnenca), ki imajo velik vpliv predvsem zaradi svoje teže. Tako je bila snovna produktivnost najnižja v letih 2006 in 2007</w:t>
      </w:r>
      <w:r>
        <w:rPr>
          <w:rFonts w:eastAsia="Calibri" w:cs="Arial"/>
          <w:szCs w:val="20"/>
          <w:lang w:val="sl-SI"/>
        </w:rPr>
        <w:t xml:space="preserve"> zaradi</w:t>
      </w:r>
      <w:r w:rsidRPr="005771BD">
        <w:rPr>
          <w:rFonts w:eastAsia="Calibri" w:cs="Arial"/>
          <w:szCs w:val="20"/>
          <w:lang w:val="sl-SI"/>
        </w:rPr>
        <w:t xml:space="preserve"> močn</w:t>
      </w:r>
      <w:r>
        <w:rPr>
          <w:rFonts w:eastAsia="Calibri" w:cs="Arial"/>
          <w:szCs w:val="20"/>
          <w:lang w:val="sl-SI"/>
        </w:rPr>
        <w:t>ega</w:t>
      </w:r>
      <w:r w:rsidRPr="005771BD">
        <w:rPr>
          <w:rFonts w:eastAsia="Calibri" w:cs="Arial"/>
          <w:szCs w:val="20"/>
          <w:lang w:val="sl-SI"/>
        </w:rPr>
        <w:t xml:space="preserve"> vpliv</w:t>
      </w:r>
      <w:r>
        <w:rPr>
          <w:rFonts w:eastAsia="Calibri" w:cs="Arial"/>
          <w:szCs w:val="20"/>
          <w:lang w:val="sl-SI"/>
        </w:rPr>
        <w:t>a</w:t>
      </w:r>
      <w:r w:rsidRPr="005771BD">
        <w:rPr>
          <w:rFonts w:eastAsia="Calibri" w:cs="Arial"/>
          <w:szCs w:val="20"/>
          <w:lang w:val="sl-SI"/>
        </w:rPr>
        <w:t xml:space="preserve"> visoke gradbene dejavnosti, dodatno spodbujene z dokončanjem avtocestnega križa. S </w:t>
      </w:r>
      <w:r>
        <w:rPr>
          <w:rFonts w:eastAsia="Calibri" w:cs="Arial"/>
          <w:szCs w:val="20"/>
          <w:lang w:val="sl-SI"/>
        </w:rPr>
        <w:t>poz</w:t>
      </w:r>
      <w:r w:rsidRPr="005771BD">
        <w:rPr>
          <w:rFonts w:eastAsia="Calibri" w:cs="Arial"/>
          <w:szCs w:val="20"/>
          <w:lang w:val="sl-SI"/>
        </w:rPr>
        <w:t>nejšim zmanjševanjem dejavnosti v gradbeništvu se je poraba surovin in materialov zelo zmanjšala, posledično pa</w:t>
      </w:r>
      <w:r>
        <w:rPr>
          <w:rFonts w:eastAsia="Calibri" w:cs="Arial"/>
          <w:szCs w:val="20"/>
          <w:lang w:val="sl-SI"/>
        </w:rPr>
        <w:t xml:space="preserve"> se je</w:t>
      </w:r>
      <w:r w:rsidRPr="005771BD">
        <w:rPr>
          <w:rFonts w:eastAsia="Calibri" w:cs="Arial"/>
          <w:szCs w:val="20"/>
          <w:lang w:val="sl-SI"/>
        </w:rPr>
        <w:t xml:space="preserve"> snovna produktivnost zvišala, </w:t>
      </w:r>
      <w:r>
        <w:rPr>
          <w:rFonts w:eastAsia="Calibri" w:cs="Arial"/>
          <w:szCs w:val="20"/>
          <w:lang w:val="sl-SI"/>
        </w:rPr>
        <w:t xml:space="preserve">in sicer </w:t>
      </w:r>
      <w:r w:rsidRPr="005771BD">
        <w:rPr>
          <w:rFonts w:eastAsia="Calibri" w:cs="Arial"/>
          <w:szCs w:val="20"/>
          <w:lang w:val="sl-SI"/>
        </w:rPr>
        <w:t xml:space="preserve">v obdobju 2005–2013 za več kot polovico (v EU le za četrtino). V letu 2013 je bila na ravni 88 odstotkov povprečja EU, kar pomeni nekoliko večji zaostanek kot v letu prej, a precejšnje izboljšanje glede na obdobje 2000–2010, ko je bila na ravni 70 odstotkov povprečja EU. Slovenija ima nadpovprečno velik delež stroškov surovin, kar je delno posledica strukture gospodarstva, ki bolj kot v povprečju EU temelji na dejavnostih, pri katerih je raba materiala obsežna. Ker je pri tem nadpovprečen tudi delež stroškov na ravni večine primerljivih panog, to kaže tudi </w:t>
      </w:r>
      <w:r>
        <w:rPr>
          <w:rFonts w:eastAsia="Calibri" w:cs="Arial"/>
          <w:szCs w:val="20"/>
          <w:lang w:val="sl-SI"/>
        </w:rPr>
        <w:t xml:space="preserve">na </w:t>
      </w:r>
      <w:r w:rsidRPr="005771BD">
        <w:rPr>
          <w:rFonts w:eastAsia="Calibri" w:cs="Arial"/>
          <w:szCs w:val="20"/>
          <w:lang w:val="sl-SI"/>
        </w:rPr>
        <w:t xml:space="preserve">manj učinkovito rabo surovin. Zlasti pri izvozno usmerjenih predelovalnih dejavnostih to znižuje njihovo konkurenčnost, hkrati ima tudi splošni negativni vpliv na rabo omejenih naravnih virov. </w:t>
      </w:r>
    </w:p>
    <w:p w:rsidR="002F73CD" w:rsidRPr="005771BD" w:rsidRDefault="002F73CD" w:rsidP="002F73CD">
      <w:pPr>
        <w:spacing w:line="276" w:lineRule="auto"/>
        <w:jc w:val="both"/>
        <w:rPr>
          <w:rFonts w:eastAsia="Calibri" w:cs="Arial"/>
          <w:szCs w:val="20"/>
          <w:lang w:val="sl-SI"/>
        </w:rPr>
      </w:pPr>
    </w:p>
    <w:p w:rsidR="002F73CD" w:rsidRPr="00CC0EE8" w:rsidRDefault="00FF4C0C" w:rsidP="002F73CD">
      <w:pPr>
        <w:spacing w:after="200" w:line="276" w:lineRule="auto"/>
        <w:jc w:val="both"/>
        <w:rPr>
          <w:rFonts w:cs="Arial"/>
          <w:b/>
          <w:szCs w:val="20"/>
          <w:lang w:val="sl-SI" w:eastAsia="sl-SI"/>
        </w:rPr>
      </w:pPr>
      <w:r>
        <w:rPr>
          <w:rFonts w:cs="Arial"/>
          <w:b/>
          <w:szCs w:val="20"/>
          <w:lang w:val="sl-SI" w:eastAsia="sl-SI"/>
        </w:rPr>
        <w:t>9</w:t>
      </w:r>
      <w:r w:rsidR="002F73CD" w:rsidRPr="00CC0EE8">
        <w:rPr>
          <w:rFonts w:cs="Arial"/>
          <w:b/>
          <w:szCs w:val="20"/>
          <w:lang w:val="sl-SI" w:eastAsia="sl-SI"/>
        </w:rPr>
        <w:t xml:space="preserve">.3.6 Ravnanje z odpadki </w:t>
      </w:r>
    </w:p>
    <w:p w:rsidR="002F73CD" w:rsidRPr="005771BD" w:rsidRDefault="002F73CD" w:rsidP="002F73CD">
      <w:pPr>
        <w:spacing w:after="200" w:line="276" w:lineRule="auto"/>
        <w:jc w:val="both"/>
        <w:rPr>
          <w:rFonts w:eastAsia="Calibri" w:cs="Arial"/>
          <w:szCs w:val="20"/>
          <w:lang w:val="sl-SI"/>
        </w:rPr>
      </w:pPr>
      <w:r w:rsidRPr="005771BD">
        <w:rPr>
          <w:rFonts w:eastAsia="Calibri" w:cs="Arial"/>
          <w:szCs w:val="20"/>
          <w:lang w:val="sl-SI"/>
        </w:rPr>
        <w:t>Temeljno načelo za ravnanje z odpadki v Sloveniji je ravnanje brez negativnega vpliva na okolje in zdravje ljudi ter z upoštevanjem prednostnih postopkov ravnanja z odpadki.</w:t>
      </w:r>
    </w:p>
    <w:p w:rsidR="002F73CD" w:rsidRPr="005771BD" w:rsidRDefault="002F73CD" w:rsidP="002F73CD">
      <w:pPr>
        <w:spacing w:after="200" w:line="276" w:lineRule="auto"/>
        <w:jc w:val="both"/>
        <w:rPr>
          <w:rFonts w:eastAsia="Calibri" w:cs="Arial"/>
          <w:szCs w:val="20"/>
          <w:lang w:val="sl-SI"/>
        </w:rPr>
      </w:pPr>
      <w:r>
        <w:rPr>
          <w:rFonts w:eastAsia="Calibri" w:cs="Arial"/>
          <w:szCs w:val="20"/>
          <w:lang w:val="sl-SI"/>
        </w:rPr>
        <w:t>V s</w:t>
      </w:r>
      <w:r w:rsidRPr="005771BD">
        <w:rPr>
          <w:rFonts w:eastAsia="Calibri" w:cs="Arial"/>
          <w:szCs w:val="20"/>
          <w:lang w:val="sl-SI"/>
        </w:rPr>
        <w:t>klad</w:t>
      </w:r>
      <w:r>
        <w:rPr>
          <w:rFonts w:eastAsia="Calibri" w:cs="Arial"/>
          <w:szCs w:val="20"/>
          <w:lang w:val="sl-SI"/>
        </w:rPr>
        <w:t>u</w:t>
      </w:r>
      <w:r w:rsidRPr="005771BD">
        <w:rPr>
          <w:rFonts w:eastAsia="Calibri" w:cs="Arial"/>
          <w:szCs w:val="20"/>
          <w:lang w:val="sl-SI"/>
        </w:rPr>
        <w:t xml:space="preserve"> z načelom odgovornosti povzročitelja in načelom plačila za obremenjevanje okolja iz zakona o varstvu okolja mora stroške ravnanja z odpadki kriti njihov imetnik ali prejšnji imetniki ali proizvajalci izdelkov, </w:t>
      </w:r>
      <w:r>
        <w:rPr>
          <w:rFonts w:eastAsia="Calibri" w:cs="Arial"/>
          <w:szCs w:val="20"/>
          <w:lang w:val="sl-SI"/>
        </w:rPr>
        <w:t>pri katerih</w:t>
      </w:r>
      <w:r w:rsidRPr="005771BD">
        <w:rPr>
          <w:rFonts w:eastAsia="Calibri" w:cs="Arial"/>
          <w:szCs w:val="20"/>
          <w:lang w:val="sl-SI"/>
        </w:rPr>
        <w:t xml:space="preserve"> odpadki </w:t>
      </w:r>
      <w:r>
        <w:rPr>
          <w:rFonts w:eastAsia="Calibri" w:cs="Arial"/>
          <w:szCs w:val="20"/>
          <w:lang w:val="sl-SI"/>
        </w:rPr>
        <w:t>nastajajo</w:t>
      </w:r>
      <w:r w:rsidRPr="005771BD">
        <w:rPr>
          <w:rFonts w:eastAsia="Calibri" w:cs="Arial"/>
          <w:szCs w:val="20"/>
          <w:lang w:val="sl-SI"/>
        </w:rPr>
        <w:t xml:space="preserve">.  </w:t>
      </w:r>
    </w:p>
    <w:p w:rsidR="002F73CD" w:rsidRPr="00CC0EE8" w:rsidRDefault="002F73CD" w:rsidP="002F73CD">
      <w:pPr>
        <w:spacing w:after="200" w:line="276" w:lineRule="auto"/>
        <w:jc w:val="both"/>
        <w:rPr>
          <w:rFonts w:cs="Arial"/>
          <w:szCs w:val="20"/>
          <w:lang w:val="sl-SI" w:eastAsia="sl-SI"/>
        </w:rPr>
      </w:pPr>
      <w:r w:rsidRPr="00CC0EE8">
        <w:rPr>
          <w:rFonts w:cs="Arial"/>
          <w:szCs w:val="20"/>
          <w:lang w:val="sl-SI"/>
        </w:rPr>
        <w:t xml:space="preserve">V predpisih so urejena tudi </w:t>
      </w:r>
      <w:r w:rsidRPr="00CC0EE8">
        <w:rPr>
          <w:rFonts w:cs="Arial"/>
          <w:szCs w:val="20"/>
          <w:lang w:val="sl-SI" w:eastAsia="sl-SI"/>
        </w:rPr>
        <w:t xml:space="preserve">pravila ravnanja z odpadki </w:t>
      </w:r>
      <w:r>
        <w:rPr>
          <w:rFonts w:cs="Arial"/>
          <w:szCs w:val="20"/>
          <w:lang w:val="sl-SI" w:eastAsia="sl-SI"/>
        </w:rPr>
        <w:t>in</w:t>
      </w:r>
      <w:r w:rsidRPr="00CC0EE8">
        <w:rPr>
          <w:rFonts w:cs="Arial"/>
          <w:szCs w:val="20"/>
          <w:lang w:val="sl-SI" w:eastAsia="sl-SI"/>
        </w:rPr>
        <w:t xml:space="preserve"> </w:t>
      </w:r>
      <w:r>
        <w:rPr>
          <w:rFonts w:cs="Arial"/>
          <w:szCs w:val="20"/>
          <w:lang w:val="sl-SI" w:eastAsia="sl-SI"/>
        </w:rPr>
        <w:t xml:space="preserve">določeni </w:t>
      </w:r>
      <w:r w:rsidRPr="00CC0EE8">
        <w:rPr>
          <w:rFonts w:cs="Arial"/>
          <w:szCs w:val="20"/>
          <w:lang w:val="sl-SI" w:eastAsia="sl-SI"/>
        </w:rPr>
        <w:t xml:space="preserve">pogoji za preprečevanje odpadkov ali zmanjševanje škodljivih vplivov nastajanja odpadkov in ravnanja z njimi ter zmanjševanje celotnega vpliva uporabe naravnih virov in izboljšanje učinkovitosti uporabe naravnih virov. </w:t>
      </w:r>
    </w:p>
    <w:p w:rsidR="002F73CD" w:rsidRPr="00CC0EE8" w:rsidRDefault="002F73CD" w:rsidP="002F73CD">
      <w:pPr>
        <w:spacing w:after="200" w:line="276" w:lineRule="auto"/>
        <w:jc w:val="both"/>
        <w:rPr>
          <w:rFonts w:cs="Arial"/>
          <w:szCs w:val="20"/>
          <w:lang w:val="sl-SI"/>
        </w:rPr>
      </w:pPr>
      <w:r w:rsidRPr="00CC0EE8">
        <w:rPr>
          <w:rFonts w:cs="Arial"/>
          <w:szCs w:val="20"/>
          <w:lang w:val="sl-SI"/>
        </w:rPr>
        <w:t xml:space="preserve">Pravila ravnanja </w:t>
      </w:r>
      <w:r>
        <w:rPr>
          <w:rFonts w:cs="Arial"/>
          <w:szCs w:val="20"/>
          <w:lang w:val="sl-SI"/>
        </w:rPr>
        <w:t>se nanašajo</w:t>
      </w:r>
      <w:r w:rsidRPr="00CC0EE8">
        <w:rPr>
          <w:rFonts w:cs="Arial"/>
          <w:szCs w:val="20"/>
          <w:lang w:val="sl-SI"/>
        </w:rPr>
        <w:t xml:space="preserve"> zlasti </w:t>
      </w:r>
      <w:r>
        <w:rPr>
          <w:rFonts w:cs="Arial"/>
          <w:szCs w:val="20"/>
          <w:lang w:val="sl-SI"/>
        </w:rPr>
        <w:t xml:space="preserve">na </w:t>
      </w:r>
      <w:r w:rsidRPr="00CC0EE8">
        <w:rPr>
          <w:rFonts w:cs="Arial"/>
          <w:szCs w:val="20"/>
          <w:lang w:val="sl-SI"/>
        </w:rPr>
        <w:t xml:space="preserve">preprečevanje odpadkov, razvrščanje odpadkov, načine ravnanja z odpadki, obveznost pridobitve dovoljenj za ravnanje z odpadki </w:t>
      </w:r>
      <w:r>
        <w:rPr>
          <w:rFonts w:cs="Arial"/>
          <w:szCs w:val="20"/>
          <w:lang w:val="sl-SI"/>
        </w:rPr>
        <w:t>in</w:t>
      </w:r>
      <w:r w:rsidRPr="00CC0EE8">
        <w:rPr>
          <w:rFonts w:cs="Arial"/>
          <w:szCs w:val="20"/>
          <w:lang w:val="sl-SI"/>
        </w:rPr>
        <w:t xml:space="preserve"> vodenje evidenc o odpadkih. </w:t>
      </w:r>
    </w:p>
    <w:p w:rsidR="002F73CD" w:rsidRPr="005771BD" w:rsidRDefault="002F73CD" w:rsidP="002F73CD">
      <w:pPr>
        <w:spacing w:after="200" w:line="276" w:lineRule="auto"/>
        <w:jc w:val="both"/>
        <w:rPr>
          <w:rFonts w:eastAsia="Calibri" w:cs="Arial"/>
          <w:szCs w:val="20"/>
          <w:lang w:val="sl-SI"/>
        </w:rPr>
      </w:pPr>
      <w:r w:rsidRPr="005771BD">
        <w:rPr>
          <w:rFonts w:eastAsia="Calibri" w:cs="Arial"/>
          <w:szCs w:val="20"/>
          <w:lang w:val="sl-SI"/>
        </w:rPr>
        <w:t>Povzročitelj odpadkov, pri katerem odpadki nastanejo, lahko pod določenimi pogoji obdeluje odpadke sam ali jih odda v nadaljnj</w:t>
      </w:r>
      <w:r>
        <w:rPr>
          <w:rFonts w:eastAsia="Calibri" w:cs="Arial"/>
          <w:szCs w:val="20"/>
          <w:lang w:val="sl-SI"/>
        </w:rPr>
        <w:t>o obdelavo</w:t>
      </w:r>
      <w:r w:rsidRPr="005771BD">
        <w:rPr>
          <w:rFonts w:eastAsia="Calibri" w:cs="Arial"/>
          <w:szCs w:val="20"/>
          <w:lang w:val="sl-SI"/>
        </w:rPr>
        <w:t xml:space="preserve"> drugim osebam v RS ali izven nje. Ravnanje z odpadki obsega nastajanje, prevoz, zbiranje, trgovanje, </w:t>
      </w:r>
      <w:r w:rsidRPr="00121629">
        <w:rPr>
          <w:rFonts w:eastAsia="Calibri" w:cs="Arial"/>
          <w:szCs w:val="20"/>
          <w:lang w:val="sl-SI"/>
        </w:rPr>
        <w:t>pošiljanje</w:t>
      </w:r>
      <w:r w:rsidRPr="005771BD">
        <w:rPr>
          <w:rFonts w:eastAsia="Calibri" w:cs="Arial"/>
          <w:szCs w:val="20"/>
          <w:lang w:val="sl-SI"/>
        </w:rPr>
        <w:t>, predelavo in odstranjevanje odpadkov vključno z nadzorom nad takimi postopki in dejavnostmi po prenehanju obratovanja naprave.</w:t>
      </w:r>
    </w:p>
    <w:p w:rsidR="002F73CD" w:rsidRPr="005771BD" w:rsidRDefault="002F73CD" w:rsidP="002F73CD">
      <w:pPr>
        <w:spacing w:after="200" w:line="276" w:lineRule="auto"/>
        <w:jc w:val="both"/>
        <w:rPr>
          <w:rFonts w:eastAsia="Calibri" w:cs="Arial"/>
          <w:szCs w:val="20"/>
          <w:lang w:val="sl-SI"/>
        </w:rPr>
      </w:pPr>
      <w:r w:rsidRPr="005771BD">
        <w:rPr>
          <w:rFonts w:eastAsia="Calibri" w:cs="Arial"/>
          <w:szCs w:val="20"/>
          <w:lang w:val="sl-SI"/>
        </w:rPr>
        <w:t xml:space="preserve">V skladu s tem mora pravna ali fizična oseba, ki predeluje ali odstranjuje svoje odpadke ali odpadke drugih povzročiteljev po predpisanih postopkih, za to imeti okoljevarstveno dovoljenje. Pravna ali fizična oseba, ki zbira ali prevaža odpadke ali z njimi trguje ali jih </w:t>
      </w:r>
      <w:r w:rsidRPr="00121629">
        <w:rPr>
          <w:rFonts w:eastAsia="Calibri" w:cs="Arial"/>
          <w:szCs w:val="20"/>
          <w:lang w:val="sl-SI"/>
        </w:rPr>
        <w:t>pošilja</w:t>
      </w:r>
      <w:r w:rsidRPr="005771BD">
        <w:rPr>
          <w:rFonts w:eastAsia="Calibri" w:cs="Arial"/>
          <w:szCs w:val="20"/>
          <w:lang w:val="sl-SI"/>
        </w:rPr>
        <w:t>, pa se mora vpisati v evidenco oseb, ki imajo pooblastila ali potrdila za opravljanje dejavnosti varstva okolja.</w:t>
      </w:r>
    </w:p>
    <w:p w:rsidR="002F73CD" w:rsidRPr="005771BD" w:rsidRDefault="002F73CD" w:rsidP="002F73CD">
      <w:pPr>
        <w:spacing w:after="200" w:line="276" w:lineRule="auto"/>
        <w:jc w:val="both"/>
        <w:rPr>
          <w:rFonts w:eastAsia="Calibri" w:cs="Arial"/>
          <w:szCs w:val="20"/>
          <w:lang w:val="sl-SI"/>
        </w:rPr>
      </w:pPr>
      <w:r w:rsidRPr="005771BD">
        <w:rPr>
          <w:rFonts w:eastAsia="Calibri" w:cs="Arial"/>
          <w:szCs w:val="20"/>
          <w:lang w:val="sl-SI"/>
        </w:rPr>
        <w:t>Pristojnost normativnega urejanja področja ravnanja z odpadki in izvajanja nalog, povezanih z odpadki, ima</w:t>
      </w:r>
      <w:r>
        <w:rPr>
          <w:rFonts w:eastAsia="Calibri" w:cs="Arial"/>
          <w:szCs w:val="20"/>
          <w:lang w:val="sl-SI"/>
        </w:rPr>
        <w:t>jo</w:t>
      </w:r>
      <w:r w:rsidRPr="005771BD">
        <w:rPr>
          <w:rFonts w:eastAsia="Calibri" w:cs="Arial"/>
          <w:szCs w:val="20"/>
          <w:lang w:val="sl-SI"/>
        </w:rPr>
        <w:t xml:space="preserve"> država in lokalne skupnosti. Občine samostojno opravljajo zadeve javnega pomena, ki jih določijo s splošnim aktom občine ali so kot izvirne naloge določene z zakonom. Za zadovoljevanje potreb prebivalcev opravljajo na področju odpadkov zlasti zbiranje in obdelavo komunalnih odpadkov ter druge dejavnosti varstva okolja in v okviru svojih pristojnosti urejajo, upravljajo in v skladu z Zakonom o lokalni samoupravi </w:t>
      </w:r>
      <w:r>
        <w:rPr>
          <w:rFonts w:eastAsia="Calibri" w:cs="Arial"/>
          <w:szCs w:val="20"/>
          <w:lang w:val="sl-SI"/>
        </w:rPr>
        <w:t>zagotavljajo</w:t>
      </w:r>
      <w:r w:rsidRPr="005771BD">
        <w:rPr>
          <w:rFonts w:eastAsia="Calibri" w:cs="Arial"/>
          <w:szCs w:val="20"/>
          <w:lang w:val="sl-SI"/>
        </w:rPr>
        <w:t xml:space="preserve"> občinske javne službe.</w:t>
      </w:r>
    </w:p>
    <w:p w:rsidR="002F73CD" w:rsidRPr="005771BD" w:rsidRDefault="002F73CD" w:rsidP="002F73CD">
      <w:pPr>
        <w:spacing w:after="200" w:line="276" w:lineRule="auto"/>
        <w:jc w:val="both"/>
        <w:rPr>
          <w:rFonts w:eastAsia="Calibri" w:cs="Arial"/>
          <w:szCs w:val="20"/>
          <w:lang w:val="sl-SI"/>
        </w:rPr>
      </w:pPr>
      <w:r w:rsidRPr="005771BD">
        <w:rPr>
          <w:rFonts w:eastAsia="Calibri" w:cs="Arial"/>
          <w:szCs w:val="20"/>
          <w:lang w:val="sl-SI"/>
        </w:rPr>
        <w:t xml:space="preserve">Cilj okoljske politike na področju ravnanja z odpadki je, da v Sloveniji z odpadki ravnamo kot z viri surovin in </w:t>
      </w:r>
      <w:r>
        <w:rPr>
          <w:rFonts w:eastAsia="Calibri" w:cs="Arial"/>
          <w:szCs w:val="20"/>
          <w:lang w:val="sl-SI"/>
        </w:rPr>
        <w:t xml:space="preserve">v </w:t>
      </w:r>
      <w:r w:rsidRPr="005771BD">
        <w:rPr>
          <w:rFonts w:eastAsia="Calibri" w:cs="Arial"/>
          <w:szCs w:val="20"/>
          <w:lang w:val="sl-SI"/>
        </w:rPr>
        <w:t>sklad</w:t>
      </w:r>
      <w:r>
        <w:rPr>
          <w:rFonts w:eastAsia="Calibri" w:cs="Arial"/>
          <w:szCs w:val="20"/>
          <w:lang w:val="sl-SI"/>
        </w:rPr>
        <w:t>u</w:t>
      </w:r>
      <w:r w:rsidRPr="005771BD">
        <w:rPr>
          <w:rFonts w:eastAsia="Calibri" w:cs="Arial"/>
          <w:szCs w:val="20"/>
          <w:lang w:val="sl-SI"/>
        </w:rPr>
        <w:t xml:space="preserve"> z na ravni </w:t>
      </w:r>
      <w:r>
        <w:rPr>
          <w:rFonts w:eastAsia="Calibri" w:cs="Arial"/>
          <w:szCs w:val="20"/>
          <w:lang w:val="sl-SI"/>
        </w:rPr>
        <w:t xml:space="preserve">EU </w:t>
      </w:r>
      <w:r w:rsidRPr="005771BD">
        <w:rPr>
          <w:rFonts w:eastAsia="Calibri" w:cs="Arial"/>
          <w:szCs w:val="20"/>
          <w:lang w:val="sl-SI"/>
        </w:rPr>
        <w:t xml:space="preserve">dogovorjeno hierarhijo postopkov ravnanja z odpadki. Ta postavlja preprečevanje odpadkov, pripravo odpadkov za ponovno uporabo in njihovo recikliranje pred energetsko predelavo odpadkov, predelavi odpadkov pa daje prednost pred njihovim odstranjevanjem. </w:t>
      </w:r>
    </w:p>
    <w:p w:rsidR="002F73CD" w:rsidRPr="005771BD" w:rsidRDefault="002F73CD" w:rsidP="002F73CD">
      <w:pPr>
        <w:spacing w:after="200" w:line="276" w:lineRule="auto"/>
        <w:jc w:val="both"/>
        <w:rPr>
          <w:rFonts w:eastAsia="Calibri" w:cs="Arial"/>
          <w:szCs w:val="20"/>
          <w:lang w:val="sl-SI"/>
        </w:rPr>
      </w:pPr>
      <w:r w:rsidRPr="005771BD">
        <w:rPr>
          <w:rFonts w:eastAsia="Calibri" w:cs="Arial"/>
          <w:szCs w:val="20"/>
          <w:lang w:val="sl-SI"/>
        </w:rPr>
        <w:t xml:space="preserve">Pomemben mehanizem ravnanja z odpadki je t. i. </w:t>
      </w:r>
      <w:r w:rsidRPr="005771BD">
        <w:rPr>
          <w:rFonts w:eastAsia="Calibri" w:cs="Arial"/>
          <w:szCs w:val="20"/>
          <w:u w:val="single"/>
          <w:lang w:val="sl-SI"/>
        </w:rPr>
        <w:t>razširjena odgovornost proizvajalcev izdelkov</w:t>
      </w:r>
      <w:r w:rsidRPr="005771BD">
        <w:rPr>
          <w:rFonts w:eastAsia="Calibri" w:cs="Arial"/>
          <w:szCs w:val="20"/>
          <w:lang w:val="sl-SI"/>
        </w:rPr>
        <w:t>. Pravna ali fizična oseba, ki razvija, izdeluje, predeluje, obdeluje, prodaja ali uvaža izdelke, za katere velja razširjena odgovornost proizvajalcev (proizvajalec izdelkov), mora delno ali v celoti zagotoviti takšno ravnanje z izdelki in odpadki, ki nastanejo po uporabi teh izdelkov, da se spodbujajo ponovna uporaba ter preprečevanje odpadkov in njihova predelava. Proizvajalec izdelkov lahko svoje obveznosti glede organizacije in financiranja zbiranja in obdelave odpadkov, ki izvirajo iz njegovih izdelkov, izpolnjuje posamično ali skupno v okviru skupnega sistema. Nosilec skupnega sistema je gospodarska družba, ki v imenu in za račun proizvajalcev izdelkov, ki so udeleženci v tem skupnem sistemu, prevzame organizacijo in financiranje zbiranja in obdelave odpadkov, ki izvirajo iz tovrstnih izdelkov. Ključno načelo razširjene odgovornosti proizvajalcev je zagotavljanje enakih pogojev na trgu za vse gospodarske subjekte, ki ustrezajo opredelitvi proizvajalca izdelkov. V skladu z načelom razširjene odgovornosti proizvajalcev je urejeno ravnanje z odpadno embalažo, izrabljenimi vozili, izrabljenimi gumami, OEEO, odpadnimi baterijami in akumulatorji, odpadnimi fitofarmacevtskimi sredstvi, ki vsebujejo nevarne snovi, odpadnimi zdravili in odpadnimi nagrobnimi svečami.</w:t>
      </w:r>
    </w:p>
    <w:p w:rsidR="002F73CD" w:rsidRPr="005771BD" w:rsidRDefault="002F73CD" w:rsidP="002F73CD">
      <w:pPr>
        <w:spacing w:after="200" w:line="276" w:lineRule="auto"/>
        <w:jc w:val="both"/>
        <w:rPr>
          <w:rFonts w:cs="Arial"/>
          <w:szCs w:val="20"/>
          <w:lang w:val="sl-SI" w:eastAsia="sl-SI"/>
        </w:rPr>
      </w:pPr>
    </w:p>
    <w:tbl>
      <w:tblPr>
        <w:tblW w:w="8931" w:type="dxa"/>
        <w:tblInd w:w="108" w:type="dxa"/>
        <w:tblLook w:val="04A0" w:firstRow="1" w:lastRow="0" w:firstColumn="1" w:lastColumn="0" w:noHBand="0" w:noVBand="1"/>
      </w:tblPr>
      <w:tblGrid>
        <w:gridCol w:w="5929"/>
        <w:gridCol w:w="3002"/>
      </w:tblGrid>
      <w:tr w:rsidR="002F73CD" w:rsidRPr="005771BD" w:rsidTr="00ED0D9D">
        <w:tc>
          <w:tcPr>
            <w:tcW w:w="5929" w:type="dxa"/>
            <w:shd w:val="clear" w:color="auto" w:fill="auto"/>
          </w:tcPr>
          <w:p w:rsidR="002F73CD" w:rsidRPr="005771BD" w:rsidRDefault="002F73CD" w:rsidP="00ED0D9D">
            <w:pPr>
              <w:spacing w:line="276" w:lineRule="auto"/>
              <w:jc w:val="both"/>
              <w:rPr>
                <w:rFonts w:eastAsia="Calibri" w:cs="Arial"/>
                <w:szCs w:val="20"/>
                <w:shd w:val="clear" w:color="auto" w:fill="FFFFFF"/>
                <w:lang w:val="sl-SI"/>
              </w:rPr>
            </w:pPr>
            <w:r w:rsidRPr="007F272F">
              <w:rPr>
                <w:rFonts w:eastAsia="Calibri" w:cs="Arial"/>
                <w:noProof/>
                <w:szCs w:val="20"/>
                <w:shd w:val="clear" w:color="auto" w:fill="FFFFFF"/>
                <w:lang w:val="sl-SI" w:eastAsia="sl-SI"/>
              </w:rPr>
              <w:drawing>
                <wp:inline distT="0" distB="0" distL="0" distR="0" wp14:anchorId="3684A801" wp14:editId="1A2DF1BA">
                  <wp:extent cx="3415680" cy="1978925"/>
                  <wp:effectExtent l="0" t="0" r="0" b="2540"/>
                  <wp:docPr id="26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ka 58.pn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3427338" cy="1985679"/>
                          </a:xfrm>
                          <a:prstGeom prst="rect">
                            <a:avLst/>
                          </a:prstGeom>
                        </pic:spPr>
                      </pic:pic>
                    </a:graphicData>
                  </a:graphic>
                </wp:inline>
              </w:drawing>
            </w:r>
          </w:p>
        </w:tc>
        <w:tc>
          <w:tcPr>
            <w:tcW w:w="3002" w:type="dxa"/>
            <w:shd w:val="clear" w:color="auto" w:fill="auto"/>
            <w:vAlign w:val="center"/>
          </w:tcPr>
          <w:p w:rsidR="002F73CD" w:rsidRPr="005771BD" w:rsidRDefault="002F73CD" w:rsidP="00ED0D9D">
            <w:pPr>
              <w:numPr>
                <w:ilvl w:val="0"/>
                <w:numId w:val="12"/>
              </w:numPr>
              <w:spacing w:line="240" w:lineRule="auto"/>
              <w:ind w:left="340" w:hanging="329"/>
              <w:rPr>
                <w:rFonts w:eastAsia="Calibri" w:cs="Arial"/>
                <w:szCs w:val="20"/>
                <w:shd w:val="clear" w:color="auto" w:fill="FFFFFF"/>
                <w:lang w:val="sl-SI"/>
              </w:rPr>
            </w:pPr>
            <w:r w:rsidRPr="005771BD">
              <w:rPr>
                <w:rFonts w:eastAsia="Calibri" w:cs="Arial"/>
                <w:szCs w:val="20"/>
                <w:shd w:val="clear" w:color="auto" w:fill="FFFFFF"/>
                <w:lang w:val="sl-SI"/>
              </w:rPr>
              <w:t>preprečevanje odpadkov</w:t>
            </w:r>
            <w:r w:rsidRPr="005771BD">
              <w:rPr>
                <w:rFonts w:eastAsia="Calibri" w:cs="Arial"/>
                <w:szCs w:val="20"/>
                <w:shd w:val="clear" w:color="auto" w:fill="FFFFFF"/>
                <w:lang w:val="sl-SI"/>
              </w:rPr>
              <w:br/>
              <w:t>(kakovostno in količinsko);</w:t>
            </w:r>
            <w:r w:rsidRPr="005771BD">
              <w:rPr>
                <w:rFonts w:eastAsia="Calibri" w:cs="Arial"/>
                <w:szCs w:val="20"/>
                <w:shd w:val="clear" w:color="auto" w:fill="FFFFFF"/>
                <w:lang w:val="sl-SI"/>
              </w:rPr>
              <w:br/>
            </w:r>
          </w:p>
          <w:p w:rsidR="002F73CD" w:rsidRPr="005771BD" w:rsidRDefault="002F73CD" w:rsidP="00ED0D9D">
            <w:pPr>
              <w:numPr>
                <w:ilvl w:val="0"/>
                <w:numId w:val="12"/>
              </w:numPr>
              <w:spacing w:line="240" w:lineRule="auto"/>
              <w:ind w:left="340" w:hanging="329"/>
              <w:rPr>
                <w:rFonts w:eastAsia="Calibri" w:cs="Arial"/>
                <w:szCs w:val="20"/>
                <w:shd w:val="clear" w:color="auto" w:fill="FFFFFF"/>
                <w:lang w:val="sl-SI"/>
              </w:rPr>
            </w:pPr>
            <w:r w:rsidRPr="005771BD">
              <w:rPr>
                <w:rFonts w:eastAsia="Calibri" w:cs="Arial"/>
                <w:szCs w:val="20"/>
                <w:shd w:val="clear" w:color="auto" w:fill="FFFFFF"/>
                <w:lang w:val="sl-SI"/>
              </w:rPr>
              <w:t>priprava za ponovno uporabo;</w:t>
            </w:r>
            <w:r w:rsidRPr="005771BD">
              <w:rPr>
                <w:rFonts w:eastAsia="Calibri" w:cs="Arial"/>
                <w:szCs w:val="20"/>
                <w:shd w:val="clear" w:color="auto" w:fill="FFFFFF"/>
                <w:lang w:val="sl-SI"/>
              </w:rPr>
              <w:br/>
            </w:r>
          </w:p>
          <w:p w:rsidR="002F73CD" w:rsidRPr="005771BD" w:rsidRDefault="002F73CD" w:rsidP="00ED0D9D">
            <w:pPr>
              <w:numPr>
                <w:ilvl w:val="0"/>
                <w:numId w:val="12"/>
              </w:numPr>
              <w:spacing w:line="240" w:lineRule="auto"/>
              <w:ind w:left="340" w:hanging="329"/>
              <w:rPr>
                <w:rFonts w:eastAsia="Calibri" w:cs="Arial"/>
                <w:szCs w:val="20"/>
                <w:shd w:val="clear" w:color="auto" w:fill="FFFFFF"/>
                <w:lang w:val="sl-SI"/>
              </w:rPr>
            </w:pPr>
            <w:r w:rsidRPr="005771BD">
              <w:rPr>
                <w:rFonts w:eastAsia="Calibri" w:cs="Arial"/>
                <w:szCs w:val="20"/>
                <w:shd w:val="clear" w:color="auto" w:fill="FFFFFF"/>
                <w:lang w:val="sl-SI"/>
              </w:rPr>
              <w:t>recikliranje;</w:t>
            </w:r>
            <w:r w:rsidRPr="005771BD">
              <w:rPr>
                <w:rFonts w:eastAsia="Calibri" w:cs="Arial"/>
                <w:szCs w:val="20"/>
                <w:shd w:val="clear" w:color="auto" w:fill="FFFFFF"/>
                <w:lang w:val="sl-SI"/>
              </w:rPr>
              <w:br/>
            </w:r>
          </w:p>
          <w:p w:rsidR="002F73CD" w:rsidRPr="005771BD" w:rsidRDefault="002F73CD" w:rsidP="00ED0D9D">
            <w:pPr>
              <w:numPr>
                <w:ilvl w:val="0"/>
                <w:numId w:val="12"/>
              </w:numPr>
              <w:spacing w:line="240" w:lineRule="auto"/>
              <w:ind w:left="340" w:hanging="329"/>
              <w:rPr>
                <w:rFonts w:eastAsia="Calibri" w:cs="Arial"/>
                <w:szCs w:val="20"/>
                <w:shd w:val="clear" w:color="auto" w:fill="FFFFFF"/>
                <w:lang w:val="sl-SI"/>
              </w:rPr>
            </w:pPr>
            <w:r w:rsidRPr="005771BD">
              <w:rPr>
                <w:rFonts w:eastAsia="Calibri" w:cs="Arial"/>
                <w:szCs w:val="20"/>
                <w:lang w:val="sl-SI"/>
              </w:rPr>
              <w:t xml:space="preserve">drugi postopki predelave </w:t>
            </w:r>
            <w:r w:rsidRPr="005771BD">
              <w:rPr>
                <w:rFonts w:eastAsia="Calibri" w:cs="Arial"/>
                <w:szCs w:val="20"/>
                <w:lang w:val="sl-SI"/>
              </w:rPr>
              <w:br/>
              <w:t>(npr. energetska predelava);</w:t>
            </w:r>
            <w:r w:rsidRPr="005771BD">
              <w:rPr>
                <w:rFonts w:eastAsia="Calibri" w:cs="Arial"/>
                <w:szCs w:val="20"/>
                <w:lang w:val="sl-SI"/>
              </w:rPr>
              <w:br/>
            </w:r>
          </w:p>
          <w:p w:rsidR="002F73CD" w:rsidRPr="005771BD" w:rsidRDefault="002F73CD" w:rsidP="00ED0D9D">
            <w:pPr>
              <w:numPr>
                <w:ilvl w:val="0"/>
                <w:numId w:val="12"/>
              </w:numPr>
              <w:spacing w:line="240" w:lineRule="auto"/>
              <w:ind w:left="340" w:hanging="329"/>
              <w:rPr>
                <w:rFonts w:eastAsia="Calibri" w:cs="Arial"/>
                <w:szCs w:val="20"/>
                <w:shd w:val="clear" w:color="auto" w:fill="FFFFFF"/>
                <w:lang w:val="sl-SI"/>
              </w:rPr>
            </w:pPr>
            <w:r w:rsidRPr="005771BD">
              <w:rPr>
                <w:rFonts w:eastAsia="Calibri" w:cs="Arial"/>
                <w:szCs w:val="20"/>
                <w:lang w:val="sl-SI"/>
              </w:rPr>
              <w:t xml:space="preserve"> </w:t>
            </w:r>
            <w:r w:rsidRPr="005771BD">
              <w:rPr>
                <w:rFonts w:eastAsia="Calibri" w:cs="Arial"/>
                <w:szCs w:val="20"/>
                <w:shd w:val="clear" w:color="auto" w:fill="FFFFFF"/>
                <w:lang w:val="sl-SI"/>
              </w:rPr>
              <w:t>odstranjevanje</w:t>
            </w:r>
            <w:r w:rsidRPr="005771BD">
              <w:rPr>
                <w:rFonts w:eastAsia="Calibri" w:cs="Arial"/>
                <w:szCs w:val="20"/>
                <w:lang w:val="sl-SI"/>
              </w:rPr>
              <w:t xml:space="preserve"> odpadkov.</w:t>
            </w:r>
          </w:p>
        </w:tc>
      </w:tr>
    </w:tbl>
    <w:p w:rsidR="002F73CD" w:rsidRPr="005771BD" w:rsidRDefault="002F73CD" w:rsidP="002F73CD">
      <w:pPr>
        <w:keepNext/>
        <w:tabs>
          <w:tab w:val="left" w:pos="851"/>
          <w:tab w:val="left" w:pos="1134"/>
        </w:tabs>
        <w:spacing w:after="240" w:line="276" w:lineRule="auto"/>
        <w:ind w:left="851" w:hanging="851"/>
        <w:rPr>
          <w:rFonts w:cs="Arial"/>
          <w:bCs/>
          <w:i/>
          <w:noProof/>
          <w:szCs w:val="20"/>
          <w:lang w:val="sl-SI"/>
        </w:rPr>
      </w:pPr>
      <w:bookmarkStart w:id="35" w:name="_Toc452023636"/>
    </w:p>
    <w:p w:rsidR="002F73CD" w:rsidRPr="005771BD" w:rsidRDefault="002F73CD" w:rsidP="002F73CD">
      <w:pPr>
        <w:keepNext/>
        <w:tabs>
          <w:tab w:val="left" w:pos="851"/>
          <w:tab w:val="left" w:pos="1134"/>
        </w:tabs>
        <w:spacing w:after="240" w:line="276" w:lineRule="auto"/>
        <w:ind w:left="851" w:hanging="851"/>
        <w:rPr>
          <w:rFonts w:cs="Arial"/>
          <w:bCs/>
          <w:i/>
          <w:noProof/>
          <w:szCs w:val="20"/>
          <w:lang w:val="sl-SI"/>
        </w:rPr>
      </w:pPr>
      <w:r w:rsidRPr="005771BD">
        <w:rPr>
          <w:rFonts w:cs="Arial"/>
          <w:bCs/>
          <w:i/>
          <w:noProof/>
          <w:szCs w:val="20"/>
          <w:lang w:val="sl-SI"/>
        </w:rPr>
        <w:t xml:space="preserve">Slika </w:t>
      </w:r>
      <w:r w:rsidR="001323F1">
        <w:rPr>
          <w:rFonts w:cs="Arial"/>
          <w:bCs/>
          <w:i/>
          <w:noProof/>
          <w:szCs w:val="20"/>
          <w:lang w:val="sl-SI"/>
        </w:rPr>
        <w:t>9</w:t>
      </w:r>
      <w:r w:rsidRPr="005771BD">
        <w:rPr>
          <w:rFonts w:cs="Arial"/>
          <w:bCs/>
          <w:i/>
          <w:noProof/>
          <w:szCs w:val="20"/>
          <w:lang w:val="sl-SI"/>
        </w:rPr>
        <w:t>.19: H</w:t>
      </w:r>
      <w:r w:rsidRPr="005771BD">
        <w:rPr>
          <w:rFonts w:cs="Arial"/>
          <w:bCs/>
          <w:i/>
          <w:noProof/>
          <w:szCs w:val="20"/>
          <w:shd w:val="clear" w:color="auto" w:fill="FFFFFF"/>
          <w:lang w:val="sl-SI"/>
        </w:rPr>
        <w:t>ierarhija</w:t>
      </w:r>
      <w:r w:rsidRPr="005771BD">
        <w:rPr>
          <w:rFonts w:cs="Arial"/>
          <w:bCs/>
          <w:i/>
          <w:noProof/>
          <w:szCs w:val="20"/>
          <w:lang w:val="sl-SI"/>
        </w:rPr>
        <w:t xml:space="preserve"> ravnanja z odpadki (vir: MOP)</w:t>
      </w:r>
      <w:bookmarkEnd w:id="35"/>
    </w:p>
    <w:p w:rsidR="002F73CD" w:rsidRPr="00CC0EE8" w:rsidRDefault="002F73CD" w:rsidP="002F73CD">
      <w:pPr>
        <w:spacing w:line="276" w:lineRule="auto"/>
        <w:jc w:val="both"/>
        <w:rPr>
          <w:rFonts w:cs="Arial"/>
          <w:b/>
          <w:szCs w:val="20"/>
          <w:u w:val="single"/>
          <w:lang w:val="sl-SI" w:eastAsia="sl-SI"/>
        </w:rPr>
      </w:pPr>
    </w:p>
    <w:p w:rsidR="002F73CD" w:rsidRPr="00CC0EE8" w:rsidRDefault="00FF4C0C" w:rsidP="002F73CD">
      <w:pPr>
        <w:spacing w:after="200" w:line="276" w:lineRule="auto"/>
        <w:jc w:val="both"/>
        <w:rPr>
          <w:rFonts w:cs="Arial"/>
          <w:b/>
          <w:szCs w:val="20"/>
          <w:u w:val="single"/>
          <w:lang w:val="sl-SI" w:eastAsia="sl-SI"/>
        </w:rPr>
      </w:pPr>
      <w:r>
        <w:rPr>
          <w:rFonts w:cs="Arial"/>
          <w:b/>
          <w:szCs w:val="20"/>
          <w:u w:val="single"/>
          <w:lang w:val="sl-SI" w:eastAsia="sl-SI"/>
        </w:rPr>
        <w:t>9</w:t>
      </w:r>
      <w:r w:rsidR="002F73CD" w:rsidRPr="00CC0EE8">
        <w:rPr>
          <w:rFonts w:cs="Arial"/>
          <w:b/>
          <w:szCs w:val="20"/>
          <w:u w:val="single"/>
          <w:lang w:val="sl-SI" w:eastAsia="sl-SI"/>
        </w:rPr>
        <w:t>.4 Napotki za ravnanja v prihodnje</w:t>
      </w:r>
    </w:p>
    <w:p w:rsidR="002F73CD" w:rsidRPr="005771BD" w:rsidRDefault="002F73CD" w:rsidP="002F73CD">
      <w:pPr>
        <w:spacing w:after="200" w:line="276" w:lineRule="auto"/>
        <w:jc w:val="both"/>
        <w:rPr>
          <w:rFonts w:cs="Arial"/>
          <w:szCs w:val="20"/>
          <w:lang w:val="sl-SI" w:eastAsia="sl-SI"/>
        </w:rPr>
      </w:pPr>
      <w:r w:rsidRPr="005771BD">
        <w:rPr>
          <w:rFonts w:eastAsia="Calibri" w:cs="Arial"/>
          <w:szCs w:val="20"/>
          <w:lang w:val="sl-SI" w:eastAsia="sl-SI"/>
        </w:rPr>
        <w:t xml:space="preserve">Junija 2016 smo v Sloveniji sprejeli </w:t>
      </w:r>
      <w:r w:rsidRPr="005771BD">
        <w:rPr>
          <w:rFonts w:eastAsia="Calibri" w:cs="Arial"/>
          <w:szCs w:val="20"/>
          <w:lang w:val="sl-SI"/>
        </w:rPr>
        <w:t xml:space="preserve">nov </w:t>
      </w:r>
      <w:r>
        <w:rPr>
          <w:rFonts w:eastAsia="Calibri" w:cs="Arial"/>
          <w:szCs w:val="20"/>
          <w:lang w:val="sl-SI"/>
        </w:rPr>
        <w:t>p</w:t>
      </w:r>
      <w:r w:rsidRPr="005771BD">
        <w:rPr>
          <w:rFonts w:eastAsia="Calibri" w:cs="Arial"/>
          <w:szCs w:val="20"/>
          <w:lang w:val="sl-SI"/>
        </w:rPr>
        <w:t xml:space="preserve">rogram ravnanja z odpadki in preprečevanja odpadkov. </w:t>
      </w:r>
      <w:r w:rsidRPr="005771BD">
        <w:rPr>
          <w:rFonts w:cs="Arial"/>
          <w:szCs w:val="20"/>
          <w:lang w:val="sl-SI" w:eastAsia="sl-SI"/>
        </w:rPr>
        <w:t>V tem programu sta podrobno opisana scenarija najmanjšega in izvedljivega obsega priprave na ponovno uporabo in recikliranje komunalnih odpadkov, ki j</w:t>
      </w:r>
      <w:r>
        <w:rPr>
          <w:rFonts w:cs="Arial"/>
          <w:szCs w:val="20"/>
          <w:lang w:val="sl-SI" w:eastAsia="sl-SI"/>
        </w:rPr>
        <w:t>u je treba upoštevati</w:t>
      </w:r>
      <w:r w:rsidRPr="005771BD">
        <w:rPr>
          <w:rFonts w:cs="Arial"/>
          <w:szCs w:val="20"/>
          <w:lang w:val="sl-SI" w:eastAsia="sl-SI"/>
        </w:rPr>
        <w:t xml:space="preserve">, da bomo dosegli zavezujoče cilje priprave za ponovno uporabo </w:t>
      </w:r>
      <w:r>
        <w:rPr>
          <w:rFonts w:cs="Arial"/>
          <w:szCs w:val="20"/>
          <w:lang w:val="sl-SI" w:eastAsia="sl-SI"/>
        </w:rPr>
        <w:t>in</w:t>
      </w:r>
      <w:r w:rsidRPr="005771BD">
        <w:rPr>
          <w:rFonts w:cs="Arial"/>
          <w:szCs w:val="20"/>
          <w:lang w:val="sl-SI" w:eastAsia="sl-SI"/>
        </w:rPr>
        <w:t xml:space="preserve"> recikliranje. Pri tem je učinkovito ločeno zbiranje odpadkov ključno za pripravo komunalnih odpadkov za ponovno uporabo in njihovo recikliranje, ločeno zbiranje bioloških odpadkov pa prispeva k preprečevanju onesnaževanja odpadnih materialov, ki jih je mogoče reciklirati. </w:t>
      </w:r>
    </w:p>
    <w:p w:rsidR="002F73CD" w:rsidRPr="005771BD" w:rsidRDefault="002F73CD" w:rsidP="002F73CD">
      <w:pPr>
        <w:spacing w:after="200" w:line="276" w:lineRule="auto"/>
        <w:jc w:val="both"/>
        <w:rPr>
          <w:rFonts w:cs="Arial"/>
          <w:szCs w:val="20"/>
          <w:lang w:val="sl-SI" w:eastAsia="sl-SI"/>
        </w:rPr>
      </w:pPr>
      <w:r w:rsidRPr="005771BD">
        <w:rPr>
          <w:rFonts w:cs="Arial"/>
          <w:szCs w:val="20"/>
          <w:lang w:val="sl-SI" w:eastAsia="sl-SI"/>
        </w:rPr>
        <w:t xml:space="preserve">V Sloveniji ločeno zbiranje komunalnih odpadkov poteka že več kot desetletje, zato ne pričakujemo večjih težav, povezanih z nadgradnjo sistema zbiranja od izvirnih povzročiteljev. </w:t>
      </w:r>
      <w:r>
        <w:rPr>
          <w:rFonts w:cs="Arial"/>
          <w:szCs w:val="20"/>
          <w:lang w:val="sl-SI" w:eastAsia="sl-SI"/>
        </w:rPr>
        <w:t>Vendar</w:t>
      </w:r>
      <w:r w:rsidRPr="005771BD">
        <w:rPr>
          <w:rFonts w:cs="Arial"/>
          <w:szCs w:val="20"/>
          <w:lang w:val="sl-SI" w:eastAsia="sl-SI"/>
        </w:rPr>
        <w:t xml:space="preserve"> so razlike v doseganju deležev ločenega zbiranja komunalnih odpadkov med občinami prevelike (v letu 2015 najslabše okoli 20</w:t>
      </w:r>
      <w:r>
        <w:rPr>
          <w:rFonts w:cs="Arial"/>
          <w:szCs w:val="20"/>
          <w:lang w:val="sl-SI" w:eastAsia="sl-SI"/>
        </w:rPr>
        <w:t xml:space="preserve"> </w:t>
      </w:r>
      <w:r w:rsidRPr="005771BD">
        <w:rPr>
          <w:rFonts w:cs="Arial"/>
          <w:szCs w:val="20"/>
          <w:lang w:val="sl-SI" w:eastAsia="sl-SI"/>
        </w:rPr>
        <w:t>%</w:t>
      </w:r>
      <w:r>
        <w:rPr>
          <w:rFonts w:cs="Arial"/>
          <w:szCs w:val="20"/>
          <w:lang w:val="sl-SI" w:eastAsia="sl-SI"/>
        </w:rPr>
        <w:t>,</w:t>
      </w:r>
      <w:r w:rsidRPr="005771BD">
        <w:rPr>
          <w:rFonts w:cs="Arial"/>
          <w:szCs w:val="20"/>
          <w:lang w:val="sl-SI" w:eastAsia="sl-SI"/>
        </w:rPr>
        <w:t xml:space="preserve"> kar nekaj občin </w:t>
      </w:r>
      <w:r>
        <w:rPr>
          <w:rFonts w:cs="Arial"/>
          <w:szCs w:val="20"/>
          <w:lang w:val="sl-SI" w:eastAsia="sl-SI"/>
        </w:rPr>
        <w:t>več kakor</w:t>
      </w:r>
      <w:r w:rsidRPr="005771BD">
        <w:rPr>
          <w:rFonts w:cs="Arial"/>
          <w:szCs w:val="20"/>
          <w:lang w:val="sl-SI" w:eastAsia="sl-SI"/>
        </w:rPr>
        <w:t xml:space="preserve"> 90</w:t>
      </w:r>
      <w:r>
        <w:rPr>
          <w:rFonts w:cs="Arial"/>
          <w:szCs w:val="20"/>
          <w:lang w:val="sl-SI" w:eastAsia="sl-SI"/>
        </w:rPr>
        <w:t xml:space="preserve"> </w:t>
      </w:r>
      <w:r w:rsidRPr="005771BD">
        <w:rPr>
          <w:rFonts w:cs="Arial"/>
          <w:szCs w:val="20"/>
          <w:lang w:val="sl-SI" w:eastAsia="sl-SI"/>
        </w:rPr>
        <w:t xml:space="preserve">%). </w:t>
      </w:r>
      <w:r>
        <w:rPr>
          <w:rFonts w:cs="Arial"/>
          <w:szCs w:val="20"/>
          <w:lang w:val="sl-SI" w:eastAsia="sl-SI"/>
        </w:rPr>
        <w:t>Z</w:t>
      </w:r>
      <w:r w:rsidRPr="005771BD">
        <w:rPr>
          <w:rFonts w:cs="Arial"/>
          <w:szCs w:val="20"/>
          <w:lang w:val="sl-SI" w:eastAsia="sl-SI"/>
        </w:rPr>
        <w:t>ato je</w:t>
      </w:r>
      <w:r>
        <w:rPr>
          <w:rFonts w:cs="Arial"/>
          <w:szCs w:val="20"/>
          <w:lang w:val="sl-SI" w:eastAsia="sl-SI"/>
        </w:rPr>
        <w:t xml:space="preserve"> cilj</w:t>
      </w:r>
      <w:r w:rsidRPr="005771BD">
        <w:rPr>
          <w:rFonts w:cs="Arial"/>
          <w:szCs w:val="20"/>
          <w:lang w:val="sl-SI" w:eastAsia="sl-SI"/>
        </w:rPr>
        <w:t xml:space="preserve">, da </w:t>
      </w:r>
      <w:r>
        <w:rPr>
          <w:rFonts w:cs="Arial"/>
          <w:szCs w:val="20"/>
          <w:lang w:val="sl-SI" w:eastAsia="sl-SI"/>
        </w:rPr>
        <w:t xml:space="preserve">se </w:t>
      </w:r>
      <w:r w:rsidRPr="005771BD">
        <w:rPr>
          <w:rFonts w:cs="Arial"/>
          <w:szCs w:val="20"/>
          <w:lang w:val="sl-SI" w:eastAsia="sl-SI"/>
        </w:rPr>
        <w:t>dobre prakse občin, katerih izvajalci javne službe zbiranja komunalnih odpadkov dosegajo dobre rezultate, prenese</w:t>
      </w:r>
      <w:r>
        <w:rPr>
          <w:rFonts w:cs="Arial"/>
          <w:szCs w:val="20"/>
          <w:lang w:val="sl-SI" w:eastAsia="sl-SI"/>
        </w:rPr>
        <w:t>jo</w:t>
      </w:r>
      <w:r w:rsidRPr="005771BD">
        <w:rPr>
          <w:rFonts w:cs="Arial"/>
          <w:szCs w:val="20"/>
          <w:lang w:val="sl-SI" w:eastAsia="sl-SI"/>
        </w:rPr>
        <w:t xml:space="preserve"> tudi v občine, kjer sistemi ločenega zbiranja komunalnih odpadkov še niso učinkoviti. Poleg tega </w:t>
      </w:r>
      <w:r>
        <w:rPr>
          <w:rFonts w:cs="Arial"/>
          <w:szCs w:val="20"/>
          <w:lang w:val="sl-SI" w:eastAsia="sl-SI"/>
        </w:rPr>
        <w:t>je treba</w:t>
      </w:r>
      <w:r w:rsidRPr="005771BD">
        <w:rPr>
          <w:rFonts w:cs="Arial"/>
          <w:szCs w:val="20"/>
          <w:lang w:val="sl-SI" w:eastAsia="sl-SI"/>
        </w:rPr>
        <w:t xml:space="preserve"> doseči, da bo </w:t>
      </w:r>
      <w:r>
        <w:rPr>
          <w:rFonts w:cs="Arial"/>
          <w:szCs w:val="20"/>
          <w:lang w:val="sl-SI" w:eastAsia="sl-SI"/>
        </w:rPr>
        <w:t>večina</w:t>
      </w:r>
      <w:r w:rsidRPr="005771BD">
        <w:rPr>
          <w:rFonts w:cs="Arial"/>
          <w:szCs w:val="20"/>
          <w:lang w:val="sl-SI" w:eastAsia="sl-SI"/>
        </w:rPr>
        <w:t xml:space="preserve"> ločeno zbranih reciklabilnih frakcij dejansko oddan</w:t>
      </w:r>
      <w:r>
        <w:rPr>
          <w:rFonts w:cs="Arial"/>
          <w:szCs w:val="20"/>
          <w:lang w:val="sl-SI" w:eastAsia="sl-SI"/>
        </w:rPr>
        <w:t>a</w:t>
      </w:r>
      <w:r w:rsidRPr="005771BD">
        <w:rPr>
          <w:rFonts w:cs="Arial"/>
          <w:szCs w:val="20"/>
          <w:lang w:val="sl-SI" w:eastAsia="sl-SI"/>
        </w:rPr>
        <w:t xml:space="preserve"> v postopke recikliranja, dodatne napore pa bo treb</w:t>
      </w:r>
      <w:r>
        <w:rPr>
          <w:rFonts w:cs="Arial"/>
          <w:szCs w:val="20"/>
          <w:lang w:val="sl-SI" w:eastAsia="sl-SI"/>
        </w:rPr>
        <w:t>a</w:t>
      </w:r>
      <w:r w:rsidRPr="005771BD">
        <w:rPr>
          <w:rFonts w:cs="Arial"/>
          <w:szCs w:val="20"/>
          <w:lang w:val="sl-SI" w:eastAsia="sl-SI"/>
        </w:rPr>
        <w:t xml:space="preserve"> vložiti v kompostiranje, saj bo treb</w:t>
      </w:r>
      <w:r>
        <w:rPr>
          <w:rFonts w:cs="Arial"/>
          <w:szCs w:val="20"/>
          <w:lang w:val="sl-SI" w:eastAsia="sl-SI"/>
        </w:rPr>
        <w:t>a</w:t>
      </w:r>
      <w:r w:rsidRPr="005771BD">
        <w:rPr>
          <w:rFonts w:cs="Arial"/>
          <w:szCs w:val="20"/>
          <w:lang w:val="sl-SI" w:eastAsia="sl-SI"/>
        </w:rPr>
        <w:t xml:space="preserve"> iz večjega dela ločeno zbranih bioloških komunalnih odpadkov proizvesti kompost I. kategorije in ga uporabiti na kmetijskih zemljiščih, sicer bo doseganje ciljev recikliranja do leta 2030 ogroženo. </w:t>
      </w:r>
    </w:p>
    <w:p w:rsidR="002F73CD" w:rsidRPr="005771BD" w:rsidRDefault="002F73CD" w:rsidP="002F73CD">
      <w:pPr>
        <w:spacing w:after="200" w:line="276" w:lineRule="auto"/>
        <w:jc w:val="both"/>
        <w:rPr>
          <w:rFonts w:eastAsiaTheme="minorHAnsi" w:cs="Arial"/>
          <w:bCs/>
          <w:szCs w:val="20"/>
          <w:lang w:val="sl-SI"/>
        </w:rPr>
      </w:pPr>
      <w:r w:rsidRPr="005771BD">
        <w:rPr>
          <w:rFonts w:eastAsiaTheme="minorHAnsi" w:cs="Arial"/>
          <w:bCs/>
          <w:szCs w:val="20"/>
          <w:lang w:val="sl-SI"/>
        </w:rPr>
        <w:t>Evropska komisija je v decembru 2015 predstavila nov ambiciozen sveženj ukrepov, med katerimi je večji del predlaganih sprememb na področju ravnanja z odpadki namenjen pomoči podjetjem in potrošnikom pri prehodu h krožnemu in s tem konkurenčnejšemu gospodarstvu, v katerem se viri uporabljajo bolj trajnostno. Ukrepi naj bi prispevali k »zaprtju zanke«  ciklov</w:t>
      </w:r>
      <w:r>
        <w:rPr>
          <w:rFonts w:eastAsiaTheme="minorHAnsi" w:cs="Arial"/>
          <w:bCs/>
          <w:szCs w:val="20"/>
          <w:lang w:val="sl-SI"/>
        </w:rPr>
        <w:t xml:space="preserve"> trajanja</w:t>
      </w:r>
      <w:r w:rsidRPr="005771BD">
        <w:rPr>
          <w:rFonts w:eastAsiaTheme="minorHAnsi" w:cs="Arial"/>
          <w:bCs/>
          <w:szCs w:val="20"/>
          <w:lang w:val="sl-SI"/>
        </w:rPr>
        <w:t xml:space="preserve"> proizvodov in prinesli koristi hkrati za okolje in gospodarstvo. </w:t>
      </w:r>
    </w:p>
    <w:p w:rsidR="002F73CD" w:rsidRPr="005771BD" w:rsidRDefault="002F73CD" w:rsidP="002F73CD">
      <w:pPr>
        <w:spacing w:after="200" w:line="276" w:lineRule="auto"/>
        <w:jc w:val="both"/>
        <w:rPr>
          <w:rFonts w:eastAsiaTheme="minorHAnsi" w:cs="Arial"/>
          <w:szCs w:val="20"/>
          <w:lang w:val="sl-SI"/>
        </w:rPr>
      </w:pPr>
      <w:r w:rsidRPr="005771BD">
        <w:rPr>
          <w:rFonts w:eastAsiaTheme="minorHAnsi" w:cs="Arial"/>
          <w:szCs w:val="20"/>
          <w:lang w:val="sl-SI"/>
        </w:rPr>
        <w:t>Sveženj prinaša tudi spremenjene zakonodajne predloge o odpadkih z ambicioznimi cilji: skupni cilj EU do leta 2030 je 65</w:t>
      </w:r>
      <w:r>
        <w:rPr>
          <w:rFonts w:eastAsiaTheme="minorHAnsi" w:cs="Arial"/>
          <w:szCs w:val="20"/>
          <w:lang w:val="sl-SI"/>
        </w:rPr>
        <w:t xml:space="preserve"> </w:t>
      </w:r>
      <w:r w:rsidRPr="005771BD">
        <w:rPr>
          <w:rFonts w:eastAsiaTheme="minorHAnsi" w:cs="Arial"/>
          <w:szCs w:val="20"/>
          <w:lang w:val="sl-SI"/>
        </w:rPr>
        <w:t>% recikliranja komunalnih odpadkov, 75</w:t>
      </w:r>
      <w:r>
        <w:rPr>
          <w:rFonts w:eastAsiaTheme="minorHAnsi" w:cs="Arial"/>
          <w:szCs w:val="20"/>
          <w:lang w:val="sl-SI"/>
        </w:rPr>
        <w:t xml:space="preserve"> </w:t>
      </w:r>
      <w:r w:rsidRPr="005771BD">
        <w:rPr>
          <w:rFonts w:eastAsiaTheme="minorHAnsi" w:cs="Arial"/>
          <w:szCs w:val="20"/>
          <w:lang w:val="sl-SI"/>
        </w:rPr>
        <w:t>% recikliranja odpadne embalaže in zavezujoč cilj zmanjšati količino odpadkov, ki končajo na odlagališčih, na največ 10</w:t>
      </w:r>
      <w:r>
        <w:rPr>
          <w:rFonts w:eastAsiaTheme="minorHAnsi" w:cs="Arial"/>
          <w:szCs w:val="20"/>
          <w:lang w:val="sl-SI"/>
        </w:rPr>
        <w:t xml:space="preserve"> </w:t>
      </w:r>
      <w:r w:rsidRPr="005771BD">
        <w:rPr>
          <w:rFonts w:eastAsiaTheme="minorHAnsi" w:cs="Arial"/>
          <w:szCs w:val="20"/>
          <w:lang w:val="sl-SI"/>
        </w:rPr>
        <w:t>% komunalnih odpadkov.</w:t>
      </w:r>
    </w:p>
    <w:p w:rsidR="002F73CD" w:rsidRPr="00CC0EE8" w:rsidRDefault="002F73CD" w:rsidP="002F73CD">
      <w:pPr>
        <w:spacing w:after="200" w:line="276" w:lineRule="auto"/>
        <w:jc w:val="both"/>
        <w:rPr>
          <w:rFonts w:cs="Arial"/>
          <w:szCs w:val="20"/>
          <w:lang w:val="sl-SI" w:eastAsia="sl-SI"/>
        </w:rPr>
      </w:pPr>
      <w:r w:rsidRPr="00CC0EE8">
        <w:rPr>
          <w:rFonts w:cs="Arial"/>
          <w:szCs w:val="20"/>
          <w:lang w:val="sl-SI" w:eastAsia="sl-SI"/>
        </w:rPr>
        <w:t>Za doseganje navedenih ciljev bo treb</w:t>
      </w:r>
      <w:r>
        <w:rPr>
          <w:rFonts w:cs="Arial"/>
          <w:szCs w:val="20"/>
          <w:lang w:val="sl-SI" w:eastAsia="sl-SI"/>
        </w:rPr>
        <w:t>a</w:t>
      </w:r>
      <w:r w:rsidRPr="00CC0EE8">
        <w:rPr>
          <w:rFonts w:cs="Arial"/>
          <w:szCs w:val="20"/>
          <w:lang w:val="sl-SI" w:eastAsia="sl-SI"/>
        </w:rPr>
        <w:t xml:space="preserve"> sprejeti več ukrepov ter zagotoviti </w:t>
      </w:r>
      <w:r w:rsidRPr="00CC0EE8">
        <w:rPr>
          <w:rFonts w:cs="Arial"/>
          <w:szCs w:val="20"/>
          <w:lang w:val="sl-SI"/>
        </w:rPr>
        <w:t xml:space="preserve">jasno in stabilno zakonodajno okolje, ustrezen zajem podatkov in njihovo analizo, poročanja, prenovo okoljskih dajatev, zagotoviti namenski finančni vir z </w:t>
      </w:r>
      <w:r w:rsidRPr="00CC0EE8">
        <w:rPr>
          <w:rFonts w:cs="Arial"/>
          <w:szCs w:val="20"/>
          <w:lang w:val="sl-SI" w:eastAsia="sl-SI"/>
        </w:rPr>
        <w:t>uveljavitvijo načela «onesnaževalec plača«, na novo opredeliti načelo razširjene odgovornosti proizvajalcev ter prevzeti pobudo o ozaveščanju</w:t>
      </w:r>
      <w:r>
        <w:rPr>
          <w:rFonts w:cs="Arial"/>
          <w:szCs w:val="20"/>
          <w:lang w:val="sl-SI" w:eastAsia="sl-SI"/>
        </w:rPr>
        <w:t xml:space="preserve"> glede</w:t>
      </w:r>
      <w:r w:rsidRPr="00CC0EE8">
        <w:rPr>
          <w:rFonts w:cs="Arial"/>
          <w:szCs w:val="20"/>
          <w:lang w:val="sl-SI" w:eastAsia="sl-SI"/>
        </w:rPr>
        <w:t xml:space="preserve"> preprečevanja odpadkov, ponovne uporabe izdelkov in prednosti recikliranja.</w:t>
      </w:r>
    </w:p>
    <w:p w:rsidR="002F73CD" w:rsidRPr="005771BD" w:rsidRDefault="002F73CD" w:rsidP="002F73CD">
      <w:pPr>
        <w:spacing w:line="276" w:lineRule="auto"/>
        <w:jc w:val="both"/>
        <w:rPr>
          <w:rFonts w:eastAsia="Calibri" w:cs="Arial"/>
          <w:szCs w:val="20"/>
          <w:lang w:val="sl-SI" w:eastAsia="sl-SI"/>
        </w:rPr>
      </w:pPr>
      <w:r w:rsidRPr="005771BD">
        <w:rPr>
          <w:rFonts w:eastAsia="Calibri" w:cs="Arial"/>
          <w:szCs w:val="20"/>
          <w:lang w:val="sl-SI" w:eastAsia="sl-SI"/>
        </w:rPr>
        <w:t>Za uresničitev recikliranja z visoko stopnjo učinkovitosti uporabe naravnih virov je treb</w:t>
      </w:r>
      <w:r>
        <w:rPr>
          <w:rFonts w:eastAsia="Calibri" w:cs="Arial"/>
          <w:szCs w:val="20"/>
          <w:lang w:val="sl-SI" w:eastAsia="sl-SI"/>
        </w:rPr>
        <w:t>a</w:t>
      </w:r>
      <w:r w:rsidRPr="005771BD">
        <w:rPr>
          <w:rFonts w:eastAsia="Calibri" w:cs="Arial"/>
          <w:szCs w:val="20"/>
          <w:lang w:val="sl-SI" w:eastAsia="sl-SI"/>
        </w:rPr>
        <w:t xml:space="preserve"> zagotoviti, da se za ravnanje z odpadki uporablja prednostni vrstni red preprečevanja nastajanja odpadkov in ravnanja z njimi v skladu s hierarhijo ravnanja z odpadki iz predpisa, ki ureja odpadke, predvsem pa:</w:t>
      </w:r>
    </w:p>
    <w:p w:rsidR="002F73CD" w:rsidRPr="005771BD" w:rsidRDefault="002F73CD" w:rsidP="002F73CD">
      <w:pPr>
        <w:numPr>
          <w:ilvl w:val="0"/>
          <w:numId w:val="13"/>
        </w:numPr>
        <w:spacing w:before="60" w:line="276" w:lineRule="auto"/>
        <w:ind w:left="357" w:hanging="357"/>
        <w:jc w:val="both"/>
        <w:rPr>
          <w:rFonts w:eastAsia="Calibri" w:cs="Arial"/>
          <w:szCs w:val="20"/>
          <w:lang w:val="sl-SI"/>
        </w:rPr>
      </w:pPr>
      <w:r w:rsidRPr="005771BD">
        <w:rPr>
          <w:rFonts w:eastAsia="Calibri" w:cs="Arial"/>
          <w:szCs w:val="20"/>
          <w:lang w:val="sl-SI"/>
        </w:rPr>
        <w:t>usmeriti zbrane odpadke v recikliranje,</w:t>
      </w:r>
    </w:p>
    <w:p w:rsidR="002F73CD" w:rsidRPr="005771BD" w:rsidRDefault="002F73CD" w:rsidP="002F73CD">
      <w:pPr>
        <w:numPr>
          <w:ilvl w:val="0"/>
          <w:numId w:val="13"/>
        </w:numPr>
        <w:spacing w:before="60" w:line="276" w:lineRule="auto"/>
        <w:ind w:left="357" w:hanging="357"/>
        <w:jc w:val="both"/>
        <w:rPr>
          <w:rFonts w:eastAsia="Calibri" w:cs="Arial"/>
          <w:szCs w:val="20"/>
          <w:lang w:val="sl-SI"/>
        </w:rPr>
      </w:pPr>
      <w:r w:rsidRPr="005771BD">
        <w:rPr>
          <w:rFonts w:eastAsia="Calibri" w:cs="Arial"/>
          <w:szCs w:val="20"/>
          <w:lang w:val="sl-SI"/>
        </w:rPr>
        <w:t>odpadke, ki jih ni mogoče reciklirati in presegajo predpisane zahteve za odložitev na odlagališč</w:t>
      </w:r>
      <w:r>
        <w:rPr>
          <w:rFonts w:eastAsia="Calibri" w:cs="Arial"/>
          <w:szCs w:val="20"/>
          <w:lang w:val="sl-SI"/>
        </w:rPr>
        <w:t>e</w:t>
      </w:r>
      <w:r w:rsidRPr="005771BD">
        <w:rPr>
          <w:rFonts w:eastAsia="Calibri" w:cs="Arial"/>
          <w:szCs w:val="20"/>
          <w:lang w:val="sl-SI"/>
        </w:rPr>
        <w:t>, usmeriti v predelavo v trdno gorivo ali v t</w:t>
      </w:r>
      <w:r>
        <w:rPr>
          <w:rFonts w:eastAsia="Calibri" w:cs="Arial"/>
          <w:szCs w:val="20"/>
          <w:lang w:val="sl-SI"/>
        </w:rPr>
        <w:t>oplotno</w:t>
      </w:r>
      <w:r w:rsidRPr="005771BD">
        <w:rPr>
          <w:rFonts w:eastAsia="Calibri" w:cs="Arial"/>
          <w:szCs w:val="20"/>
          <w:lang w:val="sl-SI"/>
        </w:rPr>
        <w:t xml:space="preserve"> obdelavo, prednostno z izrabo energije,</w:t>
      </w:r>
    </w:p>
    <w:p w:rsidR="002F73CD" w:rsidRPr="005771BD" w:rsidRDefault="002F73CD" w:rsidP="002F73CD">
      <w:pPr>
        <w:numPr>
          <w:ilvl w:val="0"/>
          <w:numId w:val="13"/>
        </w:numPr>
        <w:spacing w:before="60" w:line="276" w:lineRule="auto"/>
        <w:ind w:left="357" w:hanging="357"/>
        <w:jc w:val="both"/>
        <w:rPr>
          <w:rFonts w:eastAsia="Calibri" w:cs="Arial"/>
          <w:szCs w:val="20"/>
          <w:lang w:val="sl-SI"/>
        </w:rPr>
      </w:pPr>
      <w:r w:rsidRPr="005771BD">
        <w:rPr>
          <w:rFonts w:eastAsia="Calibri" w:cs="Arial"/>
          <w:szCs w:val="20"/>
          <w:lang w:val="sl-SI"/>
        </w:rPr>
        <w:t>prepovedati sežig neobdelanih mešanih komunalnih odpadkov,</w:t>
      </w:r>
    </w:p>
    <w:p w:rsidR="002F73CD" w:rsidRPr="005771BD" w:rsidRDefault="002F73CD" w:rsidP="002F73CD">
      <w:pPr>
        <w:numPr>
          <w:ilvl w:val="0"/>
          <w:numId w:val="13"/>
        </w:numPr>
        <w:spacing w:before="60" w:after="240" w:line="276" w:lineRule="auto"/>
        <w:ind w:left="357" w:hanging="357"/>
        <w:jc w:val="both"/>
        <w:rPr>
          <w:rFonts w:eastAsia="Calibri" w:cs="Arial"/>
          <w:szCs w:val="20"/>
          <w:lang w:val="sl-SI"/>
        </w:rPr>
      </w:pPr>
      <w:r w:rsidRPr="005771BD">
        <w:rPr>
          <w:rFonts w:eastAsia="Calibri" w:cs="Arial"/>
          <w:szCs w:val="20"/>
          <w:lang w:val="sl-SI"/>
        </w:rPr>
        <w:t>zmanjšati odlaganje odpadkov izključno na tiste, ki jih ni mogoče reciklirati ali predelati v trdno gorivo ali t</w:t>
      </w:r>
      <w:r>
        <w:rPr>
          <w:rFonts w:eastAsia="Calibri" w:cs="Arial"/>
          <w:szCs w:val="20"/>
          <w:lang w:val="sl-SI"/>
        </w:rPr>
        <w:t>oplotno</w:t>
      </w:r>
      <w:r w:rsidRPr="005771BD">
        <w:rPr>
          <w:rFonts w:eastAsia="Calibri" w:cs="Arial"/>
          <w:szCs w:val="20"/>
          <w:lang w:val="sl-SI"/>
        </w:rPr>
        <w:t xml:space="preserve"> obdelati.</w:t>
      </w:r>
    </w:p>
    <w:p w:rsidR="002F73CD" w:rsidRPr="005771BD" w:rsidRDefault="002F73CD" w:rsidP="002F73CD">
      <w:pPr>
        <w:spacing w:after="200" w:line="276" w:lineRule="auto"/>
        <w:jc w:val="both"/>
        <w:rPr>
          <w:rFonts w:eastAsia="Calibri" w:cs="Arial"/>
          <w:szCs w:val="20"/>
          <w:lang w:val="sl-SI"/>
        </w:rPr>
      </w:pPr>
      <w:r w:rsidRPr="005771BD">
        <w:rPr>
          <w:rFonts w:eastAsia="Calibri" w:cs="Arial"/>
          <w:szCs w:val="20"/>
          <w:lang w:val="sl-SI" w:eastAsia="sl-SI"/>
        </w:rPr>
        <w:t xml:space="preserve">Hkrati je treba zagotoviti ustrezno vodenje evidenc, poročil, sledenje in analiziranje podatkov o ravnanju z odpadki, pri čemer je potrebna </w:t>
      </w:r>
      <w:r w:rsidRPr="005771BD">
        <w:rPr>
          <w:rFonts w:eastAsia="Calibri" w:cs="Arial"/>
          <w:szCs w:val="20"/>
          <w:lang w:val="sl-SI"/>
        </w:rPr>
        <w:t>nadgradnja evidenc iz registra varstva okolja in informacijskega sistema o odpadkih (izdana potrdila in dovoljenja, poročanje o nastajanju, predelavi in odstranjevanju odpadkov), spremljanje, kontrola in analiza podatkov ter poročil zavezancev in nosilcev skupnih sistemov.</w:t>
      </w:r>
    </w:p>
    <w:p w:rsidR="002F73CD" w:rsidRPr="005771BD" w:rsidRDefault="002F73CD" w:rsidP="002F73CD">
      <w:pPr>
        <w:spacing w:after="200" w:line="276" w:lineRule="auto"/>
        <w:jc w:val="both"/>
        <w:rPr>
          <w:rFonts w:eastAsia="Calibri" w:cs="Arial"/>
          <w:szCs w:val="20"/>
          <w:lang w:val="sl-SI"/>
        </w:rPr>
      </w:pPr>
      <w:r w:rsidRPr="005771BD">
        <w:rPr>
          <w:rFonts w:eastAsia="Calibri" w:cs="Arial"/>
          <w:szCs w:val="20"/>
          <w:lang w:val="sl-SI"/>
        </w:rPr>
        <w:t>Pomemben del naporov bo treba nameniti ukrepom za preprečevanje odpadkov kot naj</w:t>
      </w:r>
      <w:r>
        <w:rPr>
          <w:rFonts w:eastAsia="Calibri" w:cs="Arial"/>
          <w:szCs w:val="20"/>
          <w:lang w:val="sl-SI"/>
        </w:rPr>
        <w:t>pomembnejši nalogi pri</w:t>
      </w:r>
      <w:r w:rsidRPr="005771BD">
        <w:rPr>
          <w:rFonts w:eastAsia="Calibri" w:cs="Arial"/>
          <w:szCs w:val="20"/>
          <w:lang w:val="sl-SI"/>
        </w:rPr>
        <w:t xml:space="preserve"> ravnanju z izdelki, še pred</w:t>
      </w:r>
      <w:r>
        <w:rPr>
          <w:rFonts w:eastAsia="Calibri" w:cs="Arial"/>
          <w:szCs w:val="20"/>
          <w:lang w:val="sl-SI"/>
        </w:rPr>
        <w:t>en</w:t>
      </w:r>
      <w:r w:rsidRPr="005771BD">
        <w:rPr>
          <w:rFonts w:eastAsia="Calibri" w:cs="Arial"/>
          <w:szCs w:val="20"/>
          <w:lang w:val="sl-SI"/>
        </w:rPr>
        <w:t xml:space="preserve"> postanejo odpadki. Ti ukrepi izhajajo iz ocen o scenarijih </w:t>
      </w:r>
      <w:r>
        <w:rPr>
          <w:rFonts w:eastAsia="Calibri" w:cs="Arial"/>
          <w:szCs w:val="20"/>
          <w:lang w:val="sl-SI"/>
        </w:rPr>
        <w:t>glede</w:t>
      </w:r>
      <w:r w:rsidRPr="005771BD">
        <w:rPr>
          <w:rFonts w:eastAsia="Calibri" w:cs="Arial"/>
          <w:szCs w:val="20"/>
          <w:lang w:val="sl-SI"/>
        </w:rPr>
        <w:t xml:space="preserve"> </w:t>
      </w:r>
      <w:r>
        <w:rPr>
          <w:rFonts w:eastAsia="Calibri" w:cs="Arial"/>
          <w:szCs w:val="20"/>
          <w:lang w:val="sl-SI"/>
        </w:rPr>
        <w:t xml:space="preserve">ravnanja s </w:t>
      </w:r>
      <w:r w:rsidRPr="005771BD">
        <w:rPr>
          <w:rFonts w:eastAsia="Calibri" w:cs="Arial"/>
          <w:szCs w:val="20"/>
          <w:lang w:val="sl-SI"/>
        </w:rPr>
        <w:t>pomembnejši</w:t>
      </w:r>
      <w:r>
        <w:rPr>
          <w:rFonts w:eastAsia="Calibri" w:cs="Arial"/>
          <w:szCs w:val="20"/>
          <w:lang w:val="sl-SI"/>
        </w:rPr>
        <w:t>mi</w:t>
      </w:r>
      <w:r w:rsidRPr="005771BD">
        <w:rPr>
          <w:rFonts w:eastAsia="Calibri" w:cs="Arial"/>
          <w:szCs w:val="20"/>
          <w:lang w:val="sl-SI"/>
        </w:rPr>
        <w:t xml:space="preserve"> </w:t>
      </w:r>
      <w:r>
        <w:rPr>
          <w:rFonts w:eastAsia="Calibri" w:cs="Arial"/>
          <w:szCs w:val="20"/>
          <w:lang w:val="sl-SI"/>
        </w:rPr>
        <w:t xml:space="preserve">vrstami </w:t>
      </w:r>
      <w:r w:rsidRPr="005771BD">
        <w:rPr>
          <w:rFonts w:eastAsia="Calibri" w:cs="Arial"/>
          <w:szCs w:val="20"/>
          <w:lang w:val="sl-SI"/>
        </w:rPr>
        <w:t>tokov odpadkov in cilji recikliranja</w:t>
      </w:r>
      <w:r>
        <w:rPr>
          <w:rFonts w:eastAsia="Calibri" w:cs="Arial"/>
          <w:szCs w:val="20"/>
          <w:lang w:val="sl-SI"/>
        </w:rPr>
        <w:t>, ki poudarjajo</w:t>
      </w:r>
      <w:r w:rsidRPr="005771BD">
        <w:rPr>
          <w:rFonts w:eastAsia="Calibri" w:cs="Arial"/>
          <w:szCs w:val="20"/>
          <w:lang w:val="sl-SI"/>
        </w:rPr>
        <w:t xml:space="preserve">  predvsem preprečevanje odpadkov v podjetjih, gospodinjstvih in javnem sektorju</w:t>
      </w:r>
      <w:r>
        <w:rPr>
          <w:rFonts w:eastAsia="Calibri" w:cs="Arial"/>
          <w:szCs w:val="20"/>
          <w:lang w:val="sl-SI"/>
        </w:rPr>
        <w:t>, zlasti</w:t>
      </w:r>
      <w:r w:rsidRPr="005771BD">
        <w:rPr>
          <w:rFonts w:eastAsia="Calibri" w:cs="Arial"/>
          <w:szCs w:val="20"/>
          <w:lang w:val="sl-SI"/>
        </w:rPr>
        <w:t xml:space="preserve"> odpadkov</w:t>
      </w:r>
      <w:r>
        <w:rPr>
          <w:rFonts w:eastAsia="Calibri" w:cs="Arial"/>
          <w:szCs w:val="20"/>
          <w:lang w:val="sl-SI"/>
        </w:rPr>
        <w:t>, kot so</w:t>
      </w:r>
      <w:r w:rsidRPr="005771BD">
        <w:rPr>
          <w:rFonts w:eastAsia="Calibri" w:cs="Arial"/>
          <w:szCs w:val="20"/>
          <w:lang w:val="sl-SI"/>
        </w:rPr>
        <w:t xml:space="preserve"> gradbeni odpadki, odpadne lahke nosilne plastične vrečke, kosovni odpadki, odpadna hrana, odpadni tekstil in oblačila. </w:t>
      </w:r>
    </w:p>
    <w:p w:rsidR="002F73CD" w:rsidRPr="005771BD" w:rsidRDefault="002F73CD" w:rsidP="002F73CD">
      <w:pPr>
        <w:spacing w:after="200" w:line="276" w:lineRule="auto"/>
        <w:jc w:val="both"/>
        <w:rPr>
          <w:rFonts w:eastAsia="Calibri" w:cs="Arial"/>
          <w:szCs w:val="20"/>
          <w:lang w:val="sl-SI"/>
        </w:rPr>
      </w:pPr>
      <w:r w:rsidRPr="005771BD">
        <w:rPr>
          <w:rFonts w:eastAsia="Calibri" w:cs="Arial"/>
          <w:szCs w:val="20"/>
          <w:lang w:val="sl-SI"/>
        </w:rPr>
        <w:t xml:space="preserve">Preprečevanje komunalnih odpadkov se mora osredotočiti predvsem na </w:t>
      </w:r>
      <w:r>
        <w:rPr>
          <w:rFonts w:eastAsia="Calibri" w:cs="Arial"/>
          <w:szCs w:val="20"/>
          <w:lang w:val="sl-SI"/>
        </w:rPr>
        <w:t>povečevanje</w:t>
      </w:r>
      <w:r w:rsidRPr="005771BD">
        <w:rPr>
          <w:rFonts w:eastAsia="Calibri" w:cs="Arial"/>
          <w:szCs w:val="20"/>
          <w:lang w:val="sl-SI"/>
        </w:rPr>
        <w:t xml:space="preserve"> okoljske zavesti ljudi</w:t>
      </w:r>
      <w:r>
        <w:rPr>
          <w:rFonts w:eastAsia="Calibri" w:cs="Arial"/>
          <w:szCs w:val="20"/>
          <w:lang w:val="sl-SI"/>
        </w:rPr>
        <w:t xml:space="preserve"> z </w:t>
      </w:r>
      <w:r w:rsidRPr="005771BD">
        <w:rPr>
          <w:rFonts w:eastAsia="Calibri" w:cs="Arial"/>
          <w:szCs w:val="20"/>
          <w:lang w:val="sl-SI"/>
        </w:rPr>
        <w:t>izobraževaln</w:t>
      </w:r>
      <w:r>
        <w:rPr>
          <w:rFonts w:eastAsia="Calibri" w:cs="Arial"/>
          <w:szCs w:val="20"/>
          <w:lang w:val="sl-SI"/>
        </w:rPr>
        <w:t>imi</w:t>
      </w:r>
      <w:r w:rsidRPr="005771BD">
        <w:rPr>
          <w:rFonts w:eastAsia="Calibri" w:cs="Arial"/>
          <w:szCs w:val="20"/>
          <w:lang w:val="sl-SI"/>
        </w:rPr>
        <w:t xml:space="preserve"> kampanj</w:t>
      </w:r>
      <w:r>
        <w:rPr>
          <w:rFonts w:eastAsia="Calibri" w:cs="Arial"/>
          <w:szCs w:val="20"/>
          <w:lang w:val="sl-SI"/>
        </w:rPr>
        <w:t xml:space="preserve">ami, </w:t>
      </w:r>
      <w:r w:rsidRPr="005771BD">
        <w:rPr>
          <w:rFonts w:eastAsia="Calibri" w:cs="Arial"/>
          <w:szCs w:val="20"/>
          <w:lang w:val="sl-SI"/>
        </w:rPr>
        <w:t>usposabljanje</w:t>
      </w:r>
      <w:r>
        <w:rPr>
          <w:rFonts w:eastAsia="Calibri" w:cs="Arial"/>
          <w:szCs w:val="20"/>
          <w:lang w:val="sl-SI"/>
        </w:rPr>
        <w:t>m</w:t>
      </w:r>
      <w:r w:rsidRPr="005771BD">
        <w:rPr>
          <w:rFonts w:eastAsia="Calibri" w:cs="Arial"/>
          <w:szCs w:val="20"/>
          <w:lang w:val="sl-SI"/>
        </w:rPr>
        <w:t>, zagotavljanje</w:t>
      </w:r>
      <w:r>
        <w:rPr>
          <w:rFonts w:eastAsia="Calibri" w:cs="Arial"/>
          <w:szCs w:val="20"/>
          <w:lang w:val="sl-SI"/>
        </w:rPr>
        <w:t>m</w:t>
      </w:r>
      <w:r w:rsidRPr="005771BD">
        <w:rPr>
          <w:rFonts w:eastAsia="Calibri" w:cs="Arial"/>
          <w:szCs w:val="20"/>
          <w:lang w:val="sl-SI"/>
        </w:rPr>
        <w:t xml:space="preserve"> informacij potrošnikom o vplivu proizvodov na okolje, z letaki, spletnimi portali, ki spodbujajo nekatere proizvode in navade. Kampanje ozaveščanja morajo biti preproste, vidne in ustrezno naslovljen</w:t>
      </w:r>
      <w:r>
        <w:rPr>
          <w:rFonts w:eastAsia="Calibri" w:cs="Arial"/>
          <w:szCs w:val="20"/>
          <w:lang w:val="sl-SI"/>
        </w:rPr>
        <w:t>e</w:t>
      </w:r>
      <w:r w:rsidRPr="005771BD">
        <w:rPr>
          <w:rFonts w:eastAsia="Calibri" w:cs="Arial"/>
          <w:szCs w:val="20"/>
          <w:lang w:val="sl-SI"/>
        </w:rPr>
        <w:t xml:space="preserve"> na vse družbene skupine. Predlaganje vedenjskih sprememb bi moralo biti prikazano enostavno in poučno. V programu smo se osredotočili na ukrepe preprečevanja odpadkov v gospodinjstvih na splošno</w:t>
      </w:r>
      <w:r>
        <w:rPr>
          <w:rFonts w:eastAsia="Calibri" w:cs="Arial"/>
          <w:szCs w:val="20"/>
          <w:lang w:val="sl-SI"/>
        </w:rPr>
        <w:t xml:space="preserve"> in na</w:t>
      </w:r>
      <w:r w:rsidRPr="005771BD">
        <w:rPr>
          <w:rFonts w:eastAsia="Calibri" w:cs="Arial"/>
          <w:szCs w:val="20"/>
          <w:lang w:val="sl-SI"/>
        </w:rPr>
        <w:t xml:space="preserve"> konkretne vrste </w:t>
      </w:r>
      <w:r>
        <w:rPr>
          <w:rFonts w:eastAsia="Calibri" w:cs="Arial"/>
          <w:szCs w:val="20"/>
          <w:lang w:val="sl-SI"/>
        </w:rPr>
        <w:t>možnih</w:t>
      </w:r>
      <w:r w:rsidRPr="005771BD">
        <w:rPr>
          <w:rFonts w:eastAsia="Calibri" w:cs="Arial"/>
          <w:szCs w:val="20"/>
          <w:lang w:val="sl-SI"/>
        </w:rPr>
        <w:t xml:space="preserve"> odpadkov, kot </w:t>
      </w:r>
      <w:r>
        <w:rPr>
          <w:rFonts w:eastAsia="Calibri" w:cs="Arial"/>
          <w:szCs w:val="20"/>
          <w:lang w:val="sl-SI"/>
        </w:rPr>
        <w:t>so</w:t>
      </w:r>
      <w:r w:rsidRPr="005771BD">
        <w:rPr>
          <w:rFonts w:eastAsia="Calibri" w:cs="Arial"/>
          <w:szCs w:val="20"/>
          <w:lang w:val="sl-SI"/>
        </w:rPr>
        <w:t xml:space="preserve"> zmanjševanje uporabe lahkih nosilnih plastičnih vrečk, ponovn</w:t>
      </w:r>
      <w:r>
        <w:rPr>
          <w:rFonts w:eastAsia="Calibri" w:cs="Arial"/>
          <w:szCs w:val="20"/>
          <w:lang w:val="sl-SI"/>
        </w:rPr>
        <w:t>a</w:t>
      </w:r>
      <w:r w:rsidRPr="005771BD">
        <w:rPr>
          <w:rFonts w:eastAsia="Calibri" w:cs="Arial"/>
          <w:szCs w:val="20"/>
          <w:lang w:val="sl-SI"/>
        </w:rPr>
        <w:t xml:space="preserve"> uporab</w:t>
      </w:r>
      <w:r>
        <w:rPr>
          <w:rFonts w:eastAsia="Calibri" w:cs="Arial"/>
          <w:szCs w:val="20"/>
          <w:lang w:val="sl-SI"/>
        </w:rPr>
        <w:t>a</w:t>
      </w:r>
      <w:r w:rsidRPr="005771BD">
        <w:rPr>
          <w:rFonts w:eastAsia="Calibri" w:cs="Arial"/>
          <w:szCs w:val="20"/>
          <w:lang w:val="sl-SI"/>
        </w:rPr>
        <w:t xml:space="preserve"> pohištva in tekstila ter preprečevanje odpadne hrane. </w:t>
      </w:r>
    </w:p>
    <w:p w:rsidR="002F73CD" w:rsidRPr="005771BD" w:rsidRDefault="002F73CD" w:rsidP="002F73CD">
      <w:pPr>
        <w:spacing w:after="200" w:line="276" w:lineRule="auto"/>
        <w:jc w:val="both"/>
        <w:rPr>
          <w:rFonts w:eastAsia="Calibri" w:cs="Arial"/>
          <w:szCs w:val="20"/>
          <w:lang w:val="sl-SI"/>
        </w:rPr>
      </w:pPr>
      <w:r w:rsidRPr="005771BD">
        <w:rPr>
          <w:rFonts w:eastAsia="Calibri" w:cs="Arial"/>
          <w:szCs w:val="20"/>
          <w:lang w:val="sl-SI"/>
        </w:rPr>
        <w:t>Javni sektor kot celota ima zaradi obsega naročil lahko velik vpliv na preprečevanj</w:t>
      </w:r>
      <w:r>
        <w:rPr>
          <w:rFonts w:eastAsia="Calibri" w:cs="Arial"/>
          <w:szCs w:val="20"/>
          <w:lang w:val="sl-SI"/>
        </w:rPr>
        <w:t>e</w:t>
      </w:r>
      <w:r w:rsidRPr="005771BD">
        <w:rPr>
          <w:rFonts w:eastAsia="Calibri" w:cs="Arial"/>
          <w:szCs w:val="20"/>
          <w:lang w:val="sl-SI"/>
        </w:rPr>
        <w:t xml:space="preserve"> nastajanja odpadkov, če ta vidik vključi v svoja javna naročila. V Sloveniji je sicer zeleno javno naročanje (kot zahteve in merila za izb</w:t>
      </w:r>
      <w:r>
        <w:rPr>
          <w:rFonts w:eastAsia="Calibri" w:cs="Arial"/>
          <w:szCs w:val="20"/>
          <w:lang w:val="sl-SI"/>
        </w:rPr>
        <w:t>iro</w:t>
      </w:r>
      <w:r w:rsidRPr="005771BD">
        <w:rPr>
          <w:rFonts w:eastAsia="Calibri" w:cs="Arial"/>
          <w:szCs w:val="20"/>
          <w:lang w:val="sl-SI"/>
        </w:rPr>
        <w:t xml:space="preserve"> s</w:t>
      </w:r>
      <w:r>
        <w:rPr>
          <w:rFonts w:eastAsia="Calibri" w:cs="Arial"/>
          <w:szCs w:val="20"/>
          <w:lang w:val="sl-SI"/>
        </w:rPr>
        <w:t>o v</w:t>
      </w:r>
      <w:r w:rsidRPr="005771BD">
        <w:rPr>
          <w:rFonts w:eastAsia="Calibri" w:cs="Arial"/>
          <w:szCs w:val="20"/>
          <w:lang w:val="sl-SI"/>
        </w:rPr>
        <w:t xml:space="preserve"> naročil</w:t>
      </w:r>
      <w:r>
        <w:rPr>
          <w:rFonts w:eastAsia="Calibri" w:cs="Arial"/>
          <w:szCs w:val="20"/>
          <w:lang w:val="sl-SI"/>
        </w:rPr>
        <w:t>a</w:t>
      </w:r>
      <w:r w:rsidRPr="005771BD">
        <w:rPr>
          <w:rFonts w:eastAsia="Calibri" w:cs="Arial"/>
          <w:szCs w:val="20"/>
          <w:lang w:val="sl-SI"/>
        </w:rPr>
        <w:t xml:space="preserve"> vključ</w:t>
      </w:r>
      <w:r>
        <w:rPr>
          <w:rFonts w:eastAsia="Calibri" w:cs="Arial"/>
          <w:szCs w:val="20"/>
          <w:lang w:val="sl-SI"/>
        </w:rPr>
        <w:t>ene</w:t>
      </w:r>
      <w:r w:rsidRPr="005771BD">
        <w:rPr>
          <w:rFonts w:eastAsia="Calibri" w:cs="Arial"/>
          <w:szCs w:val="20"/>
          <w:lang w:val="sl-SI"/>
        </w:rPr>
        <w:t xml:space="preserve"> okoljske </w:t>
      </w:r>
      <w:r>
        <w:rPr>
          <w:rFonts w:eastAsia="Calibri" w:cs="Arial"/>
          <w:szCs w:val="20"/>
          <w:lang w:val="sl-SI"/>
        </w:rPr>
        <w:t>zahteve glede</w:t>
      </w:r>
      <w:r w:rsidRPr="005771BD">
        <w:rPr>
          <w:rFonts w:eastAsia="Calibri" w:cs="Arial"/>
          <w:szCs w:val="20"/>
          <w:lang w:val="sl-SI"/>
        </w:rPr>
        <w:t xml:space="preserve"> izdelkov in storitev) obvezno za vse javne naročnike, vendar je treba </w:t>
      </w:r>
      <w:r>
        <w:rPr>
          <w:rFonts w:eastAsia="Calibri" w:cs="Arial"/>
          <w:szCs w:val="20"/>
          <w:lang w:val="sl-SI"/>
        </w:rPr>
        <w:t>zdajšnjo</w:t>
      </w:r>
      <w:r w:rsidRPr="005771BD">
        <w:rPr>
          <w:rFonts w:eastAsia="Calibri" w:cs="Arial"/>
          <w:szCs w:val="20"/>
          <w:lang w:val="sl-SI"/>
        </w:rPr>
        <w:t xml:space="preserve"> ureditev iz uredb in prilog z merili, ki se zaradi tehnološkega napredka ves čas spreminjajo, posodobiti, saj </w:t>
      </w:r>
      <w:r>
        <w:rPr>
          <w:rFonts w:eastAsia="Calibri" w:cs="Arial"/>
          <w:szCs w:val="20"/>
          <w:lang w:val="sl-SI"/>
        </w:rPr>
        <w:t>povsod</w:t>
      </w:r>
      <w:r w:rsidRPr="005771BD">
        <w:rPr>
          <w:rFonts w:eastAsia="Calibri" w:cs="Arial"/>
          <w:szCs w:val="20"/>
          <w:lang w:val="sl-SI"/>
        </w:rPr>
        <w:t xml:space="preserve"> ne uresničuje</w:t>
      </w:r>
      <w:r>
        <w:rPr>
          <w:rFonts w:eastAsia="Calibri" w:cs="Arial"/>
          <w:szCs w:val="20"/>
          <w:lang w:val="sl-SI"/>
        </w:rPr>
        <w:t>jo</w:t>
      </w:r>
      <w:r w:rsidRPr="005771BD">
        <w:rPr>
          <w:rFonts w:eastAsia="Calibri" w:cs="Arial"/>
          <w:szCs w:val="20"/>
          <w:lang w:val="sl-SI"/>
        </w:rPr>
        <w:t xml:space="preserve"> cilja, to je spodbujanje razvoja trga. Prenova ureditve </w:t>
      </w:r>
      <w:r>
        <w:rPr>
          <w:rFonts w:eastAsia="Calibri" w:cs="Arial"/>
          <w:szCs w:val="20"/>
          <w:lang w:val="sl-SI"/>
        </w:rPr>
        <w:t>poteka</w:t>
      </w:r>
      <w:r w:rsidRPr="005771BD">
        <w:rPr>
          <w:rFonts w:eastAsia="Calibri" w:cs="Arial"/>
          <w:szCs w:val="20"/>
          <w:lang w:val="sl-SI"/>
        </w:rPr>
        <w:t xml:space="preserve">. Prek zelenega javnega naročanja se vzpostavlja tudi spodbuda za širše povpraševanje za razvoj okolju prijaznejših proizvodov, storitev in tehnologij ter krepi vloga javnega sektorja kot zgleda in spodbujevalca </w:t>
      </w:r>
      <w:r>
        <w:rPr>
          <w:rFonts w:eastAsia="Calibri" w:cs="Arial"/>
          <w:szCs w:val="20"/>
          <w:lang w:val="sl-SI"/>
        </w:rPr>
        <w:t>nastanka</w:t>
      </w:r>
      <w:r w:rsidRPr="005771BD">
        <w:rPr>
          <w:rFonts w:eastAsia="Calibri" w:cs="Arial"/>
          <w:szCs w:val="20"/>
          <w:lang w:val="sl-SI"/>
        </w:rPr>
        <w:t xml:space="preserve"> novih trgov.</w:t>
      </w:r>
    </w:p>
    <w:p w:rsidR="002F73CD" w:rsidRPr="005771BD" w:rsidRDefault="002F73CD" w:rsidP="002F73CD">
      <w:pPr>
        <w:spacing w:after="200" w:line="276" w:lineRule="auto"/>
        <w:jc w:val="both"/>
        <w:rPr>
          <w:rFonts w:eastAsia="Calibri" w:cs="Arial"/>
          <w:szCs w:val="20"/>
          <w:lang w:val="sl-SI"/>
        </w:rPr>
      </w:pPr>
      <w:r w:rsidRPr="005771BD">
        <w:rPr>
          <w:rFonts w:eastAsia="Calibri" w:cs="Arial"/>
          <w:szCs w:val="20"/>
          <w:lang w:val="sl-SI"/>
        </w:rPr>
        <w:t>Poleg zelenega javnega naročanja lahko sektor javne uprave  z relativno enostavnimi ukrepi zmanjša odpadke, ki nastajajo pri njegovem delovanju</w:t>
      </w:r>
      <w:r>
        <w:rPr>
          <w:rFonts w:eastAsia="Calibri" w:cs="Arial"/>
          <w:szCs w:val="20"/>
          <w:lang w:val="sl-SI"/>
        </w:rPr>
        <w:t>, ki</w:t>
      </w:r>
      <w:r w:rsidRPr="005771BD">
        <w:rPr>
          <w:rFonts w:eastAsia="Calibri" w:cs="Arial"/>
          <w:szCs w:val="20"/>
          <w:lang w:val="sl-SI"/>
        </w:rPr>
        <w:t xml:space="preserve"> so predvsem: odpadni papir (po ocenah 75 %), kartuše, biološki odpadki, tonerji, baterije, akumulatorji, odpadna embalaža, OEEO, mešani komunalni odpadki, kosovni odpadki.</w:t>
      </w:r>
    </w:p>
    <w:p w:rsidR="002F73CD" w:rsidRPr="005771BD" w:rsidRDefault="002F73CD" w:rsidP="002F73CD">
      <w:pPr>
        <w:spacing w:line="276" w:lineRule="auto"/>
        <w:jc w:val="both"/>
        <w:rPr>
          <w:rFonts w:eastAsia="Calibri" w:cs="Arial"/>
          <w:szCs w:val="20"/>
          <w:lang w:val="sl-SI"/>
        </w:rPr>
      </w:pPr>
      <w:r w:rsidRPr="005771BD">
        <w:rPr>
          <w:rFonts w:eastAsia="Calibri" w:cs="Arial"/>
          <w:szCs w:val="20"/>
          <w:lang w:val="sl-SI"/>
        </w:rPr>
        <w:t>Ukrepi za zmanjšanje odpadkov v javni upravi so predvsem:</w:t>
      </w:r>
    </w:p>
    <w:p w:rsidR="002F73CD" w:rsidRPr="005771BD" w:rsidRDefault="002F73CD" w:rsidP="002F73CD">
      <w:pPr>
        <w:numPr>
          <w:ilvl w:val="0"/>
          <w:numId w:val="19"/>
        </w:numPr>
        <w:spacing w:line="276" w:lineRule="auto"/>
        <w:ind w:left="284" w:hanging="284"/>
        <w:jc w:val="both"/>
        <w:rPr>
          <w:rFonts w:eastAsia="Calibri" w:cs="Arial"/>
          <w:szCs w:val="20"/>
          <w:lang w:val="sl-SI"/>
        </w:rPr>
      </w:pPr>
      <w:r w:rsidRPr="005771BD">
        <w:rPr>
          <w:rFonts w:eastAsia="Calibri" w:cs="Arial"/>
          <w:szCs w:val="20"/>
          <w:lang w:val="sl-SI"/>
        </w:rPr>
        <w:t>evidentiranje nastalih odpadkov in sprejetje ukrepov za preprečevanje nastajanja odpadkov z informiranjem in ozaveščanjem;</w:t>
      </w:r>
    </w:p>
    <w:p w:rsidR="002F73CD" w:rsidRPr="005771BD" w:rsidRDefault="002F73CD" w:rsidP="002F73CD">
      <w:pPr>
        <w:numPr>
          <w:ilvl w:val="0"/>
          <w:numId w:val="19"/>
        </w:numPr>
        <w:spacing w:line="276" w:lineRule="auto"/>
        <w:ind w:left="284" w:hanging="284"/>
        <w:jc w:val="both"/>
        <w:rPr>
          <w:rFonts w:eastAsia="Calibri" w:cs="Arial"/>
          <w:szCs w:val="20"/>
          <w:lang w:val="sl-SI"/>
        </w:rPr>
      </w:pPr>
      <w:r w:rsidRPr="005771BD">
        <w:rPr>
          <w:rFonts w:eastAsia="Calibri" w:cs="Arial"/>
          <w:szCs w:val="20"/>
          <w:lang w:val="sl-SI"/>
        </w:rPr>
        <w:t>premislek in ocena, ali izdelke res potrebujemo za delovanje pisarn;</w:t>
      </w:r>
    </w:p>
    <w:p w:rsidR="002F73CD" w:rsidRPr="005771BD" w:rsidRDefault="002F73CD" w:rsidP="002F73CD">
      <w:pPr>
        <w:numPr>
          <w:ilvl w:val="0"/>
          <w:numId w:val="19"/>
        </w:numPr>
        <w:spacing w:line="276" w:lineRule="auto"/>
        <w:ind w:left="284" w:hanging="284"/>
        <w:jc w:val="both"/>
        <w:rPr>
          <w:rFonts w:eastAsia="Calibri" w:cs="Arial"/>
          <w:szCs w:val="20"/>
          <w:lang w:val="sl-SI"/>
        </w:rPr>
      </w:pPr>
      <w:r w:rsidRPr="005771BD">
        <w:rPr>
          <w:rFonts w:eastAsia="Calibri" w:cs="Arial"/>
          <w:szCs w:val="20"/>
          <w:lang w:val="sl-SI"/>
        </w:rPr>
        <w:t>načrtovanje daljše rabe izdelkov, k</w:t>
      </w:r>
      <w:r>
        <w:rPr>
          <w:rFonts w:eastAsia="Calibri" w:cs="Arial"/>
          <w:szCs w:val="20"/>
          <w:lang w:val="sl-SI"/>
        </w:rPr>
        <w:t>adar</w:t>
      </w:r>
      <w:r w:rsidRPr="005771BD">
        <w:rPr>
          <w:rFonts w:eastAsia="Calibri" w:cs="Arial"/>
          <w:szCs w:val="20"/>
          <w:lang w:val="sl-SI"/>
        </w:rPr>
        <w:t xml:space="preserve"> je to mogoče (npr. mobiteli, telefoni, tiskalniki, računalniki</w:t>
      </w:r>
      <w:r>
        <w:rPr>
          <w:rFonts w:eastAsia="Calibri" w:cs="Arial"/>
          <w:szCs w:val="20"/>
          <w:lang w:val="sl-SI"/>
        </w:rPr>
        <w:t xml:space="preserve"> ipd.</w:t>
      </w:r>
      <w:r w:rsidRPr="005771BD">
        <w:rPr>
          <w:rFonts w:eastAsia="Calibri" w:cs="Arial"/>
          <w:szCs w:val="20"/>
          <w:lang w:val="sl-SI"/>
        </w:rPr>
        <w:t>);</w:t>
      </w:r>
    </w:p>
    <w:p w:rsidR="002F73CD" w:rsidRPr="005771BD" w:rsidRDefault="002F73CD" w:rsidP="002F73CD">
      <w:pPr>
        <w:numPr>
          <w:ilvl w:val="0"/>
          <w:numId w:val="19"/>
        </w:numPr>
        <w:spacing w:line="276" w:lineRule="auto"/>
        <w:ind w:left="284" w:hanging="284"/>
        <w:jc w:val="both"/>
        <w:rPr>
          <w:rFonts w:eastAsia="Calibri" w:cs="Arial"/>
          <w:szCs w:val="20"/>
          <w:lang w:val="sl-SI"/>
        </w:rPr>
      </w:pPr>
      <w:r w:rsidRPr="005771BD">
        <w:rPr>
          <w:rFonts w:eastAsia="Calibri" w:cs="Arial"/>
          <w:szCs w:val="20"/>
          <w:lang w:val="sl-SI"/>
        </w:rPr>
        <w:t>obojestransko (ali celo več strani na list) tiskanje in spodbujanje čim manjše uporabe papirja;</w:t>
      </w:r>
    </w:p>
    <w:p w:rsidR="002F73CD" w:rsidRPr="005771BD" w:rsidRDefault="002F73CD" w:rsidP="002F73CD">
      <w:pPr>
        <w:numPr>
          <w:ilvl w:val="0"/>
          <w:numId w:val="19"/>
        </w:numPr>
        <w:spacing w:line="276" w:lineRule="auto"/>
        <w:ind w:left="284" w:hanging="284"/>
        <w:jc w:val="both"/>
        <w:rPr>
          <w:rFonts w:eastAsia="Calibri" w:cs="Arial"/>
          <w:szCs w:val="20"/>
          <w:lang w:val="sl-SI"/>
        </w:rPr>
      </w:pPr>
      <w:r w:rsidRPr="005771BD">
        <w:rPr>
          <w:rFonts w:eastAsia="Calibri" w:cs="Arial"/>
          <w:szCs w:val="20"/>
          <w:lang w:val="sl-SI"/>
        </w:rPr>
        <w:t>uveljavljanje elektronskega poslovanja brez tiskanih dokumentov;</w:t>
      </w:r>
    </w:p>
    <w:p w:rsidR="002F73CD" w:rsidRPr="005771BD" w:rsidRDefault="002F73CD" w:rsidP="002F73CD">
      <w:pPr>
        <w:numPr>
          <w:ilvl w:val="0"/>
          <w:numId w:val="19"/>
        </w:numPr>
        <w:spacing w:line="276" w:lineRule="auto"/>
        <w:ind w:left="284" w:hanging="284"/>
        <w:jc w:val="both"/>
        <w:rPr>
          <w:rFonts w:eastAsia="Calibri" w:cs="Arial"/>
          <w:szCs w:val="20"/>
          <w:lang w:val="sl-SI"/>
        </w:rPr>
      </w:pPr>
      <w:r w:rsidRPr="005771BD">
        <w:rPr>
          <w:rFonts w:eastAsia="Calibri" w:cs="Arial"/>
          <w:szCs w:val="20"/>
          <w:lang w:val="sl-SI"/>
        </w:rPr>
        <w:t>pohištvo in druga oprema iz okolju prijaznih materialov ter pohištvo in oprema iz trajn</w:t>
      </w:r>
      <w:r>
        <w:rPr>
          <w:rFonts w:eastAsia="Calibri" w:cs="Arial"/>
          <w:szCs w:val="20"/>
          <w:lang w:val="sl-SI"/>
        </w:rPr>
        <w:t>ejših</w:t>
      </w:r>
      <w:r w:rsidRPr="005771BD">
        <w:rPr>
          <w:rFonts w:eastAsia="Calibri" w:cs="Arial"/>
          <w:szCs w:val="20"/>
          <w:lang w:val="sl-SI"/>
        </w:rPr>
        <w:t xml:space="preserve"> materialov; </w:t>
      </w:r>
    </w:p>
    <w:p w:rsidR="002F73CD" w:rsidRPr="005771BD" w:rsidRDefault="002F73CD" w:rsidP="002F73CD">
      <w:pPr>
        <w:numPr>
          <w:ilvl w:val="0"/>
          <w:numId w:val="19"/>
        </w:numPr>
        <w:tabs>
          <w:tab w:val="center" w:pos="4536"/>
        </w:tabs>
        <w:spacing w:after="240" w:line="276" w:lineRule="auto"/>
        <w:ind w:left="284" w:hanging="284"/>
        <w:jc w:val="both"/>
        <w:rPr>
          <w:rFonts w:eastAsia="Calibri" w:cs="Arial"/>
          <w:szCs w:val="20"/>
          <w:lang w:val="sl-SI"/>
        </w:rPr>
      </w:pPr>
      <w:r w:rsidRPr="005771BD">
        <w:rPr>
          <w:rFonts w:eastAsia="Calibri" w:cs="Arial"/>
          <w:szCs w:val="20"/>
          <w:lang w:val="sl-SI"/>
        </w:rPr>
        <w:t>zelena javna naročila.</w:t>
      </w:r>
    </w:p>
    <w:p w:rsidR="002F73CD" w:rsidRPr="005771BD" w:rsidRDefault="002F73CD" w:rsidP="002F73CD">
      <w:pPr>
        <w:spacing w:after="200" w:line="276" w:lineRule="auto"/>
        <w:jc w:val="both"/>
        <w:rPr>
          <w:rFonts w:eastAsia="Calibri" w:cs="Arial"/>
          <w:szCs w:val="20"/>
          <w:lang w:val="sl-SI"/>
        </w:rPr>
      </w:pPr>
      <w:r w:rsidRPr="005771BD">
        <w:rPr>
          <w:rFonts w:eastAsia="Calibri" w:cs="Arial"/>
          <w:szCs w:val="20"/>
          <w:lang w:val="sl-SI"/>
        </w:rPr>
        <w:t xml:space="preserve">Posebej </w:t>
      </w:r>
      <w:r w:rsidR="001323F1">
        <w:rPr>
          <w:rFonts w:eastAsia="Calibri" w:cs="Arial"/>
          <w:szCs w:val="20"/>
          <w:lang w:val="sl-SI"/>
        </w:rPr>
        <w:t xml:space="preserve">je treba </w:t>
      </w:r>
      <w:r>
        <w:rPr>
          <w:rFonts w:eastAsia="Calibri" w:cs="Arial"/>
          <w:szCs w:val="20"/>
          <w:lang w:val="sl-SI"/>
        </w:rPr>
        <w:t>poudariti</w:t>
      </w:r>
      <w:r w:rsidRPr="005771BD">
        <w:rPr>
          <w:rFonts w:eastAsia="Calibri" w:cs="Arial"/>
          <w:szCs w:val="20"/>
          <w:lang w:val="sl-SI"/>
        </w:rPr>
        <w:t>, da bo v prihodnje treba najti povezavo med deklaratorno fazo prehoda v zeleno oz</w:t>
      </w:r>
      <w:r>
        <w:rPr>
          <w:rFonts w:eastAsia="Calibri" w:cs="Arial"/>
          <w:szCs w:val="20"/>
          <w:lang w:val="sl-SI"/>
        </w:rPr>
        <w:t>iroma</w:t>
      </w:r>
      <w:r w:rsidRPr="005771BD">
        <w:rPr>
          <w:rFonts w:eastAsia="Calibri" w:cs="Arial"/>
          <w:szCs w:val="20"/>
          <w:lang w:val="sl-SI"/>
        </w:rPr>
        <w:t xml:space="preserve"> krožno gospodarstvo (strategije in programi) in dejansko spremembo. V poglavju </w:t>
      </w:r>
      <w:r w:rsidR="001323F1">
        <w:rPr>
          <w:rFonts w:eastAsia="Calibri" w:cs="Arial"/>
          <w:szCs w:val="20"/>
          <w:lang w:val="sl-SI"/>
        </w:rPr>
        <w:t>9</w:t>
      </w:r>
      <w:r w:rsidRPr="005771BD">
        <w:rPr>
          <w:rFonts w:eastAsia="Calibri" w:cs="Arial"/>
          <w:szCs w:val="20"/>
          <w:lang w:val="sl-SI"/>
        </w:rPr>
        <w:t>.2 omenjeni raziskavi (</w:t>
      </w:r>
      <w:r w:rsidRPr="005771BD">
        <w:rPr>
          <w:rFonts w:eastAsia="Calibri" w:cs="Arial"/>
          <w:i/>
          <w:szCs w:val="20"/>
          <w:lang w:val="sl-SI"/>
        </w:rPr>
        <w:t xml:space="preserve">MSP, snovna učinkovitost in zeleni trgi) </w:t>
      </w:r>
      <w:r w:rsidRPr="005771BD">
        <w:rPr>
          <w:rFonts w:eastAsia="Calibri" w:cs="Arial"/>
          <w:szCs w:val="20"/>
          <w:lang w:val="sl-SI"/>
        </w:rPr>
        <w:t>so sodelujoča podjetja vprašali, kaj bi jim najbolj koristilo pri izboljšanju lastne rabe virov. Med najbolj zaželenimi ukrepi so: finančna podpora oz</w:t>
      </w:r>
      <w:r>
        <w:rPr>
          <w:rFonts w:eastAsia="Calibri" w:cs="Arial"/>
          <w:szCs w:val="20"/>
          <w:lang w:val="sl-SI"/>
        </w:rPr>
        <w:t>iroma</w:t>
      </w:r>
      <w:r w:rsidRPr="005771BD">
        <w:rPr>
          <w:rFonts w:eastAsia="Calibri" w:cs="Arial"/>
          <w:szCs w:val="20"/>
          <w:lang w:val="sl-SI"/>
        </w:rPr>
        <w:t xml:space="preserve"> subvencije, svetovanje o izboljšanju rabe virov, svetovanje in podatki o financiranju in načrtovanju investicij v učinkovito rabo virov, zmanjšanje </w:t>
      </w:r>
      <w:r>
        <w:rPr>
          <w:rFonts w:eastAsia="Calibri" w:cs="Arial"/>
          <w:szCs w:val="20"/>
          <w:lang w:val="sl-SI"/>
        </w:rPr>
        <w:t>upravnih</w:t>
      </w:r>
      <w:r w:rsidRPr="005771BD">
        <w:rPr>
          <w:rFonts w:eastAsia="Calibri" w:cs="Arial"/>
          <w:szCs w:val="20"/>
          <w:lang w:val="sl-SI"/>
        </w:rPr>
        <w:t xml:space="preserve"> in pravnih ovir za uporabo odpadkov in stranskih proizvodov ter boljše sodelovanje med podjetji iz različnih sektorjev pri </w:t>
      </w:r>
      <w:r>
        <w:rPr>
          <w:rFonts w:eastAsia="Calibri" w:cs="Arial"/>
          <w:szCs w:val="20"/>
          <w:lang w:val="sl-SI"/>
        </w:rPr>
        <w:t>vzpostavljanju</w:t>
      </w:r>
      <w:r w:rsidRPr="005771BD">
        <w:rPr>
          <w:rFonts w:eastAsia="Calibri" w:cs="Arial"/>
          <w:szCs w:val="20"/>
          <w:lang w:val="sl-SI"/>
        </w:rPr>
        <w:t xml:space="preserve"> novih procesov za ponovno uporabo odpadkov in stranskih proizvodov.</w:t>
      </w:r>
    </w:p>
    <w:p w:rsidR="002F73CD" w:rsidRPr="005771BD" w:rsidRDefault="002F73CD" w:rsidP="002F73CD">
      <w:pPr>
        <w:spacing w:after="200" w:line="276" w:lineRule="auto"/>
        <w:jc w:val="both"/>
        <w:rPr>
          <w:rFonts w:eastAsia="Calibri" w:cs="Arial"/>
          <w:szCs w:val="20"/>
          <w:lang w:val="sl-SI"/>
        </w:rPr>
      </w:pPr>
      <w:r w:rsidRPr="005771BD">
        <w:rPr>
          <w:rFonts w:eastAsia="Calibri" w:cs="Arial"/>
          <w:szCs w:val="20"/>
          <w:lang w:val="sl-SI"/>
        </w:rPr>
        <w:t xml:space="preserve">To pa so tudi ukrepi prednostnih področij Strategije pametne specializacije, na podlagi katere bodo za razvojne projekte lahko porabljena sredstva </w:t>
      </w:r>
      <w:r>
        <w:rPr>
          <w:rFonts w:eastAsia="Calibri" w:cs="Arial"/>
          <w:szCs w:val="20"/>
          <w:lang w:val="sl-SI"/>
        </w:rPr>
        <w:t>e</w:t>
      </w:r>
      <w:r w:rsidRPr="005771BD">
        <w:rPr>
          <w:rFonts w:eastAsia="Calibri" w:cs="Arial"/>
          <w:szCs w:val="20"/>
          <w:lang w:val="sl-SI"/>
        </w:rPr>
        <w:t>vropske kohezijske politike v finančn</w:t>
      </w:r>
      <w:r>
        <w:rPr>
          <w:rFonts w:eastAsia="Calibri" w:cs="Arial"/>
          <w:szCs w:val="20"/>
          <w:lang w:val="sl-SI"/>
        </w:rPr>
        <w:t>em</w:t>
      </w:r>
      <w:r w:rsidRPr="005771BD">
        <w:rPr>
          <w:rFonts w:eastAsia="Calibri" w:cs="Arial"/>
          <w:szCs w:val="20"/>
          <w:lang w:val="sl-SI"/>
        </w:rPr>
        <w:t xml:space="preserve"> </w:t>
      </w:r>
      <w:r>
        <w:rPr>
          <w:rFonts w:eastAsia="Calibri" w:cs="Arial"/>
          <w:szCs w:val="20"/>
          <w:lang w:val="sl-SI"/>
        </w:rPr>
        <w:t>obdobju</w:t>
      </w:r>
      <w:r w:rsidRPr="005771BD">
        <w:rPr>
          <w:rFonts w:eastAsia="Calibri" w:cs="Arial"/>
          <w:szCs w:val="20"/>
          <w:lang w:val="sl-SI"/>
        </w:rPr>
        <w:t xml:space="preserve"> EU 2014–2020. </w:t>
      </w:r>
    </w:p>
    <w:p w:rsidR="002F73CD" w:rsidRPr="005771BD" w:rsidRDefault="002F73CD" w:rsidP="002F73CD">
      <w:pPr>
        <w:spacing w:line="276" w:lineRule="auto"/>
        <w:jc w:val="both"/>
        <w:rPr>
          <w:rFonts w:eastAsia="Calibri" w:cs="Arial"/>
          <w:b/>
          <w:szCs w:val="20"/>
          <w:u w:val="single"/>
          <w:lang w:val="sl-SI"/>
        </w:rPr>
      </w:pPr>
    </w:p>
    <w:p w:rsidR="002F73CD" w:rsidRPr="00294BB1" w:rsidRDefault="00FF4C0C" w:rsidP="002F73CD">
      <w:pPr>
        <w:spacing w:after="200" w:line="276" w:lineRule="auto"/>
        <w:jc w:val="both"/>
        <w:rPr>
          <w:rFonts w:cs="Arial"/>
          <w:b/>
          <w:szCs w:val="20"/>
          <w:u w:val="single"/>
          <w:lang w:val="sl-SI" w:eastAsia="sl-SI"/>
        </w:rPr>
      </w:pPr>
      <w:r>
        <w:rPr>
          <w:rFonts w:cs="Arial"/>
          <w:b/>
          <w:szCs w:val="20"/>
          <w:u w:val="single"/>
          <w:lang w:val="sl-SI" w:eastAsia="sl-SI"/>
        </w:rPr>
        <w:t>9</w:t>
      </w:r>
      <w:r w:rsidR="002F73CD" w:rsidRPr="00294BB1">
        <w:rPr>
          <w:rFonts w:cs="Arial"/>
          <w:b/>
          <w:szCs w:val="20"/>
          <w:u w:val="single"/>
          <w:lang w:val="sl-SI" w:eastAsia="sl-SI"/>
        </w:rPr>
        <w:t>.</w:t>
      </w:r>
      <w:r w:rsidR="002F73CD">
        <w:rPr>
          <w:rFonts w:cs="Arial"/>
          <w:b/>
          <w:szCs w:val="20"/>
          <w:u w:val="single"/>
          <w:lang w:val="sl-SI" w:eastAsia="sl-SI"/>
        </w:rPr>
        <w:t>5</w:t>
      </w:r>
      <w:r w:rsidR="002F73CD" w:rsidRPr="00294BB1">
        <w:rPr>
          <w:rFonts w:cs="Arial"/>
          <w:b/>
          <w:szCs w:val="20"/>
          <w:u w:val="single"/>
          <w:lang w:val="sl-SI" w:eastAsia="sl-SI"/>
        </w:rPr>
        <w:t xml:space="preserve"> Viri in literatura</w:t>
      </w:r>
    </w:p>
    <w:p w:rsidR="002F73CD" w:rsidRPr="00294BB1" w:rsidRDefault="002F73CD" w:rsidP="002F73CD">
      <w:pPr>
        <w:spacing w:before="120" w:line="276" w:lineRule="auto"/>
        <w:rPr>
          <w:rFonts w:eastAsia="Calibri" w:cs="Arial"/>
          <w:szCs w:val="20"/>
          <w:lang w:val="sl-SI"/>
        </w:rPr>
      </w:pPr>
      <w:r w:rsidRPr="00294BB1">
        <w:rPr>
          <w:lang w:val="sl-SI"/>
        </w:rPr>
        <w:t xml:space="preserve">Ellen Macarthur Foundation, 2015. A circular Economy Vision for Competitive Europe (dostopno na: </w:t>
      </w:r>
      <w:hyperlink r:id="rId171" w:history="1">
        <w:r w:rsidRPr="00294BB1">
          <w:rPr>
            <w:rFonts w:eastAsia="Calibri" w:cs="Arial"/>
            <w:color w:val="0000FF"/>
            <w:szCs w:val="20"/>
            <w:u w:val="single"/>
            <w:lang w:val="sl-SI"/>
          </w:rPr>
          <w:t>www.ellenmacarthurfoundation.org/assets/downloads/publications/EllenMacArthurFoundation_Growth-Within_July15.pdf</w:t>
        </w:r>
      </w:hyperlink>
    </w:p>
    <w:p w:rsidR="002F73CD" w:rsidRPr="005771BD" w:rsidRDefault="002F73CD" w:rsidP="002F73CD">
      <w:pPr>
        <w:spacing w:before="120" w:line="276" w:lineRule="auto"/>
        <w:jc w:val="both"/>
        <w:rPr>
          <w:rFonts w:cs="Arial"/>
          <w:szCs w:val="20"/>
          <w:lang w:val="sl-SI" w:eastAsia="sl-SI"/>
        </w:rPr>
      </w:pPr>
      <w:r w:rsidRPr="005771BD">
        <w:rPr>
          <w:rFonts w:cs="Arial"/>
          <w:szCs w:val="20"/>
          <w:lang w:val="sl-SI" w:eastAsia="sl-SI"/>
        </w:rPr>
        <w:t xml:space="preserve">Slovenska strategija pametne specializacije, dostopno na: </w:t>
      </w:r>
      <w:hyperlink r:id="rId172" w:history="1">
        <w:r w:rsidRPr="005771BD">
          <w:rPr>
            <w:rStyle w:val="Hiperpovezava"/>
            <w:rFonts w:cs="Arial"/>
            <w:szCs w:val="20"/>
            <w:lang w:val="sl-SI" w:eastAsia="sl-SI"/>
          </w:rPr>
          <w:t>http://www.svrk.gov.si/fileadmin/svrk.gov.si/pageuploads/Dokumenti_za_objavo_na_vstopni_strani/S4_dokument_potrjeno_na_VRS_150920.pdf</w:t>
        </w:r>
      </w:hyperlink>
    </w:p>
    <w:p w:rsidR="002F73CD" w:rsidRPr="00294BB1" w:rsidRDefault="002F73CD" w:rsidP="002F73CD">
      <w:pPr>
        <w:spacing w:before="120" w:line="276" w:lineRule="auto"/>
        <w:jc w:val="both"/>
        <w:rPr>
          <w:rFonts w:eastAsia="Calibri" w:cs="Arial"/>
          <w:szCs w:val="20"/>
          <w:lang w:val="sl-SI"/>
        </w:rPr>
      </w:pPr>
      <w:r w:rsidRPr="00294BB1">
        <w:rPr>
          <w:rFonts w:eastAsia="Calibri" w:cs="Arial"/>
          <w:szCs w:val="20"/>
          <w:lang w:val="sl-SI"/>
        </w:rPr>
        <w:t xml:space="preserve">Zaključki posveta Učinkovita raba virov </w:t>
      </w:r>
      <w:r>
        <w:rPr>
          <w:rFonts w:eastAsia="Calibri" w:cs="Arial"/>
          <w:szCs w:val="20"/>
          <w:lang w:val="sl-SI"/>
        </w:rPr>
        <w:t>–</w:t>
      </w:r>
      <w:r w:rsidRPr="00294BB1">
        <w:rPr>
          <w:rFonts w:eastAsia="Calibri" w:cs="Arial"/>
          <w:szCs w:val="20"/>
          <w:lang w:val="sl-SI"/>
        </w:rPr>
        <w:t xml:space="preserve"> </w:t>
      </w:r>
      <w:r>
        <w:rPr>
          <w:rFonts w:eastAsia="Calibri" w:cs="Arial"/>
          <w:szCs w:val="20"/>
          <w:lang w:val="sl-SI"/>
        </w:rPr>
        <w:t>z</w:t>
      </w:r>
      <w:r w:rsidRPr="00294BB1">
        <w:rPr>
          <w:rFonts w:eastAsia="Calibri" w:cs="Arial"/>
          <w:szCs w:val="20"/>
          <w:lang w:val="sl-SI"/>
        </w:rPr>
        <w:t>elena strategija ravnanja z odpadki kot viri, Celje, 2015, dostopno na: http://www.zelenaslovenija.si/posvet/zelena-strategija-ravnanja-z-odpadki-kot-viri</w:t>
      </w:r>
    </w:p>
    <w:p w:rsidR="002F73CD" w:rsidRPr="00294BB1" w:rsidRDefault="002F73CD" w:rsidP="002F73CD">
      <w:pPr>
        <w:spacing w:before="120" w:line="276" w:lineRule="auto"/>
        <w:jc w:val="both"/>
        <w:rPr>
          <w:rFonts w:eastAsia="Calibri" w:cs="Arial"/>
          <w:szCs w:val="20"/>
          <w:lang w:val="sl-SI"/>
        </w:rPr>
      </w:pPr>
      <w:r w:rsidRPr="00294BB1">
        <w:rPr>
          <w:rFonts w:eastAsia="Calibri" w:cs="Arial"/>
          <w:szCs w:val="20"/>
          <w:lang w:val="sl-SI"/>
        </w:rPr>
        <w:t>MOP. Okvirni program za prehod v zeleno gospodarstvo, dostopno na: http://www.vlada.si/fileadmin/dokumenti/si/projekti/2016/zeleno/opzg_akcijski_nacrt_in_nacrt_aktivnosti.pdf</w:t>
      </w:r>
    </w:p>
    <w:p w:rsidR="002F73CD" w:rsidRPr="00294BB1" w:rsidRDefault="002F73CD" w:rsidP="002F73CD">
      <w:pPr>
        <w:spacing w:before="120" w:line="276" w:lineRule="auto"/>
        <w:jc w:val="both"/>
        <w:rPr>
          <w:rFonts w:eastAsia="Calibri" w:cs="Arial"/>
          <w:szCs w:val="20"/>
          <w:lang w:val="sl-SI"/>
        </w:rPr>
      </w:pPr>
      <w:r w:rsidRPr="00294BB1">
        <w:rPr>
          <w:rFonts w:eastAsia="Calibri" w:cs="Arial"/>
          <w:szCs w:val="20"/>
          <w:lang w:val="sl-SI"/>
        </w:rPr>
        <w:t>Vlada RS. Zelena rast gospodarstva, dostopno na: http://www.vlada.si/teme_in_projekti/prehod_v_zeleno_gospodarstvo/ukrepi/zelena_rast_gospodarstva/</w:t>
      </w:r>
    </w:p>
    <w:p w:rsidR="002F73CD" w:rsidRPr="00294BB1" w:rsidRDefault="002F73CD" w:rsidP="002F73CD">
      <w:pPr>
        <w:spacing w:before="120" w:line="276" w:lineRule="auto"/>
        <w:jc w:val="both"/>
        <w:rPr>
          <w:rFonts w:cs="Arial"/>
          <w:szCs w:val="20"/>
          <w:lang w:val="sl-SI"/>
        </w:rPr>
      </w:pPr>
      <w:r w:rsidRPr="00294BB1">
        <w:rPr>
          <w:rFonts w:cs="Arial"/>
          <w:szCs w:val="20"/>
          <w:lang w:val="sl-SI"/>
        </w:rPr>
        <w:t>MOP, 2016, Program ravnanja z odpadki in program preprečevanja odpadkov, dostopno na: http://www.mop.gov.si/fileadmin/mop.gov.si/pageuploads/zakonodaja/varstvo_okolja/operativni_programi/op_odpadki.pdf</w:t>
      </w:r>
    </w:p>
    <w:p w:rsidR="002F73CD" w:rsidRPr="00294BB1" w:rsidRDefault="002F73CD" w:rsidP="002F73CD">
      <w:pPr>
        <w:spacing w:before="120" w:line="276" w:lineRule="auto"/>
        <w:jc w:val="both"/>
        <w:rPr>
          <w:rFonts w:cs="Arial"/>
          <w:szCs w:val="20"/>
          <w:lang w:val="sl-SI"/>
        </w:rPr>
      </w:pPr>
      <w:r w:rsidRPr="00294BB1">
        <w:rPr>
          <w:lang w:val="sl-SI"/>
        </w:rPr>
        <w:t xml:space="preserve">Statistični urad RS. STATOPIS – Statistični pregled Slovenije 2015, dostopno na: </w:t>
      </w:r>
      <w:hyperlink r:id="rId173" w:history="1">
        <w:r w:rsidRPr="00294BB1">
          <w:rPr>
            <w:rFonts w:cs="Arial"/>
            <w:color w:val="0000FF"/>
            <w:szCs w:val="20"/>
            <w:u w:val="single"/>
            <w:lang w:val="sl-SI"/>
          </w:rPr>
          <w:t>http://www.stat.si/StatWeb/Common/PrikaziDokument.ashx?IdDatoteke=8732</w:t>
        </w:r>
      </w:hyperlink>
    </w:p>
    <w:p w:rsidR="00072419" w:rsidRPr="00294BB1" w:rsidRDefault="002F73CD" w:rsidP="00FF4C0C">
      <w:pPr>
        <w:spacing w:after="360" w:line="276" w:lineRule="auto"/>
        <w:rPr>
          <w:rFonts w:eastAsia="Calibri" w:cs="Arial"/>
          <w:b/>
          <w:sz w:val="22"/>
          <w:szCs w:val="22"/>
          <w:lang w:val="sl-SI"/>
        </w:rPr>
      </w:pPr>
      <w:r>
        <w:rPr>
          <w:rFonts w:eastAsia="Calibri" w:cs="Arial"/>
          <w:b/>
          <w:sz w:val="22"/>
          <w:szCs w:val="22"/>
          <w:lang w:val="en-GB"/>
        </w:rPr>
        <w:br w:type="column"/>
      </w:r>
      <w:r w:rsidR="00FF4C0C">
        <w:rPr>
          <w:rFonts w:eastAsia="Calibri" w:cs="Arial"/>
          <w:b/>
          <w:sz w:val="22"/>
          <w:szCs w:val="22"/>
          <w:lang w:val="en-GB"/>
        </w:rPr>
        <w:t>10</w:t>
      </w:r>
      <w:r w:rsidR="00072419" w:rsidRPr="00294BB1">
        <w:rPr>
          <w:rFonts w:eastAsia="Calibri" w:cs="Arial"/>
          <w:b/>
          <w:sz w:val="22"/>
          <w:szCs w:val="22"/>
          <w:lang w:val="sl-SI"/>
        </w:rPr>
        <w:t xml:space="preserve"> PODNEBNE SPREMEMBE</w:t>
      </w:r>
    </w:p>
    <w:p w:rsidR="00072419" w:rsidRPr="005771BD" w:rsidRDefault="00FF4C0C" w:rsidP="00072419">
      <w:pPr>
        <w:spacing w:after="200" w:line="276" w:lineRule="auto"/>
        <w:jc w:val="both"/>
        <w:rPr>
          <w:rFonts w:cs="Arial"/>
          <w:b/>
          <w:szCs w:val="20"/>
          <w:u w:val="single"/>
          <w:lang w:val="sl-SI" w:eastAsia="sl-SI"/>
        </w:rPr>
      </w:pPr>
      <w:r>
        <w:rPr>
          <w:rFonts w:cs="Arial"/>
          <w:b/>
          <w:szCs w:val="20"/>
          <w:u w:val="single"/>
          <w:lang w:val="sl-SI" w:eastAsia="sl-SI"/>
        </w:rPr>
        <w:t>10</w:t>
      </w:r>
      <w:r w:rsidR="00072419" w:rsidRPr="005771BD">
        <w:rPr>
          <w:rFonts w:cs="Arial"/>
          <w:b/>
          <w:szCs w:val="20"/>
          <w:u w:val="single"/>
          <w:lang w:val="sl-SI" w:eastAsia="sl-SI"/>
        </w:rPr>
        <w:t>.1 Povzetek</w:t>
      </w:r>
    </w:p>
    <w:p w:rsidR="00072419" w:rsidRPr="005771BD" w:rsidRDefault="00072419" w:rsidP="00072419">
      <w:pPr>
        <w:autoSpaceDE w:val="0"/>
        <w:autoSpaceDN w:val="0"/>
        <w:adjustRightInd w:val="0"/>
        <w:spacing w:after="200" w:line="276" w:lineRule="auto"/>
        <w:jc w:val="both"/>
        <w:rPr>
          <w:rFonts w:cs="Arial"/>
          <w:szCs w:val="20"/>
          <w:lang w:val="sl-SI" w:eastAsia="sl-SI"/>
        </w:rPr>
      </w:pPr>
      <w:r w:rsidRPr="005771BD">
        <w:rPr>
          <w:rFonts w:cs="Arial"/>
          <w:szCs w:val="20"/>
          <w:lang w:val="sl-SI" w:eastAsia="sl-SI"/>
        </w:rPr>
        <w:t xml:space="preserve">Podnebje se spreminja in prinaša okoljske, družbene in gospodarske izzive, s katerimi se sooča sodobna družba. Ne samo večja pogostost skrajnih </w:t>
      </w:r>
      <w:r>
        <w:rPr>
          <w:rFonts w:cs="Arial"/>
          <w:szCs w:val="20"/>
          <w:lang w:val="sl-SI" w:eastAsia="sl-SI"/>
        </w:rPr>
        <w:t>dogodkov</w:t>
      </w:r>
      <w:r w:rsidRPr="005771BD">
        <w:rPr>
          <w:rFonts w:cs="Arial"/>
          <w:szCs w:val="20"/>
          <w:lang w:val="sl-SI" w:eastAsia="sl-SI"/>
        </w:rPr>
        <w:t xml:space="preserve">, tudi sodoben način življenja in nepremišljeni posegi v okolje pripomorejo k vse večji škodi, ki jo takšni </w:t>
      </w:r>
      <w:r>
        <w:rPr>
          <w:rFonts w:cs="Arial"/>
          <w:szCs w:val="20"/>
          <w:lang w:val="sl-SI" w:eastAsia="sl-SI"/>
        </w:rPr>
        <w:t>dogodki</w:t>
      </w:r>
      <w:r w:rsidRPr="005771BD">
        <w:rPr>
          <w:rFonts w:cs="Arial"/>
          <w:szCs w:val="20"/>
          <w:lang w:val="sl-SI" w:eastAsia="sl-SI"/>
        </w:rPr>
        <w:t xml:space="preserve"> povzročajo. Zaradi človekovih dejavnosti, povezanih z zgorevanjem fosilnih goriv in krčenjem gozdov, naraščajo koncentracije toplogrednih plinov v ozračju veliko hitreje kot po naravni poti. </w:t>
      </w:r>
    </w:p>
    <w:p w:rsidR="00072419" w:rsidRPr="005771BD" w:rsidRDefault="00072419" w:rsidP="00072419">
      <w:pPr>
        <w:autoSpaceDE w:val="0"/>
        <w:autoSpaceDN w:val="0"/>
        <w:adjustRightInd w:val="0"/>
        <w:spacing w:after="200" w:line="276" w:lineRule="auto"/>
        <w:jc w:val="both"/>
        <w:rPr>
          <w:rFonts w:cs="Arial"/>
          <w:szCs w:val="20"/>
          <w:lang w:val="sl-SI" w:eastAsia="sl-SI"/>
        </w:rPr>
      </w:pPr>
      <w:r w:rsidRPr="005771BD">
        <w:rPr>
          <w:rFonts w:cs="Arial"/>
          <w:szCs w:val="20"/>
          <w:lang w:val="sl-SI" w:eastAsia="sl-SI"/>
        </w:rPr>
        <w:t>Proces zmanjševanja emisij toplogrednih plinov zahteva korenite posege v način proizvodnje in porabe ter predvsem spremembo življenjskega sloga. Da bi ublažili podnebne spremembe</w:t>
      </w:r>
      <w:r>
        <w:rPr>
          <w:rFonts w:cs="Arial"/>
          <w:szCs w:val="20"/>
          <w:lang w:val="sl-SI" w:eastAsia="sl-SI"/>
        </w:rPr>
        <w:t>,</w:t>
      </w:r>
      <w:r w:rsidRPr="005771BD">
        <w:rPr>
          <w:rFonts w:cs="Arial"/>
          <w:szCs w:val="20"/>
          <w:lang w:val="sl-SI" w:eastAsia="sl-SI"/>
        </w:rPr>
        <w:t xml:space="preserve"> je treb</w:t>
      </w:r>
      <w:r>
        <w:rPr>
          <w:rFonts w:cs="Arial"/>
          <w:szCs w:val="20"/>
          <w:lang w:val="sl-SI" w:eastAsia="sl-SI"/>
        </w:rPr>
        <w:t>a</w:t>
      </w:r>
      <w:r w:rsidRPr="005771BD">
        <w:rPr>
          <w:rFonts w:cs="Arial"/>
          <w:szCs w:val="20"/>
          <w:lang w:val="sl-SI" w:eastAsia="sl-SI"/>
        </w:rPr>
        <w:t xml:space="preserve"> drugače naravnati nekatere gospodarske mehanizme, hkrati pa povečati ozaveščenost in obveščenost, da se bodo sprejemale, izvajale in pospeševale potrebne spremembe za obvladovanje podnebnih sprememb. Zmanjševanje emisij toplogrednih plinov je mogoče z zamenjavo tehnologij, goriv in surovin ter zmanjšanjem obsega ali opustitvijo nekaterih dejavnosti. Razmeroma poceni fosilna goriva (premog, nafta, zemeljski plin) so v preteklosti omogočala gospodarski razvoj, ki je bil usmerjen k večanju količinske proizvodnje brez učinkovitega izkoriščanja virov. Poleg emisij zaradi zgorevanja goriv se toplogredni plini sproščajo tudi iz nekaterih industrijskih procesov, v kmetijstvu in pri ravnanju z odpadki ter v prometu, kar dodatno povečuje kompleksnost problematike. Značilna je torej velika razpršenost virov neposrednih in posrednih emisij, tako da je njihovo zmanjševanje v nekaterih primerih tudi odvisno od odločitev posameznih porabnikov.</w:t>
      </w:r>
    </w:p>
    <w:p w:rsidR="00072419" w:rsidRPr="005771BD" w:rsidRDefault="00072419" w:rsidP="002B6ED6">
      <w:pPr>
        <w:autoSpaceDE w:val="0"/>
        <w:autoSpaceDN w:val="0"/>
        <w:adjustRightInd w:val="0"/>
        <w:spacing w:after="360" w:line="276" w:lineRule="auto"/>
        <w:jc w:val="both"/>
        <w:rPr>
          <w:rFonts w:cs="Arial"/>
          <w:szCs w:val="20"/>
          <w:lang w:val="sl-SI" w:eastAsia="sl-SI"/>
        </w:rPr>
      </w:pPr>
      <w:r w:rsidRPr="005771BD">
        <w:rPr>
          <w:rFonts w:cs="Arial"/>
          <w:szCs w:val="20"/>
          <w:lang w:val="sl-SI" w:eastAsia="sl-SI"/>
        </w:rPr>
        <w:t xml:space="preserve">Zmanjševanje emisij je tesno povezano s smerjo gospodarskega razvoja, ki določa način oskrbe z energijo ter njeno porabo v industriji in storitvenem sektorju, ter na drugi strani z načinom zadovoljevanja življenjskih potreb, ki je močno odvisen tudi od sistema vrednot. Pomembno je, da družbeni razvoj ustrezno in pravočasno usmerimo k bolj kakovostnemu, trajnostnemu gospodarjenju, ki je </w:t>
      </w:r>
      <w:r>
        <w:rPr>
          <w:rFonts w:cs="Arial"/>
          <w:szCs w:val="20"/>
          <w:lang w:val="sl-SI" w:eastAsia="sl-SI"/>
        </w:rPr>
        <w:t xml:space="preserve">v </w:t>
      </w:r>
      <w:r w:rsidRPr="005771BD">
        <w:rPr>
          <w:rFonts w:cs="Arial"/>
          <w:szCs w:val="20"/>
          <w:lang w:val="sl-SI" w:eastAsia="sl-SI"/>
        </w:rPr>
        <w:t>sklad</w:t>
      </w:r>
      <w:r>
        <w:rPr>
          <w:rFonts w:cs="Arial"/>
          <w:szCs w:val="20"/>
          <w:lang w:val="sl-SI" w:eastAsia="sl-SI"/>
        </w:rPr>
        <w:t>u</w:t>
      </w:r>
      <w:r w:rsidRPr="005771BD">
        <w:rPr>
          <w:rFonts w:cs="Arial"/>
          <w:szCs w:val="20"/>
          <w:lang w:val="sl-SI" w:eastAsia="sl-SI"/>
        </w:rPr>
        <w:t xml:space="preserve"> z zahtevami za zmanjševanje emisij toplogrednih plinov in preprečevanjem degradacije okolja. V Sloveniji je že </w:t>
      </w:r>
      <w:r>
        <w:rPr>
          <w:rFonts w:cs="Arial"/>
          <w:szCs w:val="20"/>
          <w:lang w:val="sl-SI" w:eastAsia="sl-SI"/>
        </w:rPr>
        <w:t>vzpos</w:t>
      </w:r>
      <w:r w:rsidRPr="005771BD">
        <w:rPr>
          <w:rFonts w:cs="Arial"/>
          <w:szCs w:val="20"/>
          <w:lang w:val="sl-SI" w:eastAsia="sl-SI"/>
        </w:rPr>
        <w:t xml:space="preserve">tavljenih nekaj instrumentov, ki so usmerjeni v preprečevanje podnebnih sprememb, k njihovemu zmanjševanju in blaženju </w:t>
      </w:r>
      <w:r>
        <w:rPr>
          <w:rFonts w:cs="Arial"/>
          <w:szCs w:val="20"/>
          <w:lang w:val="sl-SI" w:eastAsia="sl-SI"/>
        </w:rPr>
        <w:t>ter</w:t>
      </w:r>
      <w:r w:rsidRPr="005771BD">
        <w:rPr>
          <w:rFonts w:cs="Arial"/>
          <w:szCs w:val="20"/>
          <w:lang w:val="sl-SI" w:eastAsia="sl-SI"/>
        </w:rPr>
        <w:t xml:space="preserve"> vključujejo tudi prilagajanje nanje.</w:t>
      </w:r>
    </w:p>
    <w:p w:rsidR="00072419" w:rsidRPr="005771BD" w:rsidRDefault="00FF4C0C" w:rsidP="00072419">
      <w:pPr>
        <w:autoSpaceDE w:val="0"/>
        <w:autoSpaceDN w:val="0"/>
        <w:adjustRightInd w:val="0"/>
        <w:spacing w:after="200" w:line="276" w:lineRule="auto"/>
        <w:jc w:val="both"/>
        <w:rPr>
          <w:rFonts w:cs="Arial"/>
          <w:b/>
          <w:szCs w:val="20"/>
          <w:u w:val="single"/>
          <w:lang w:val="sl-SI" w:eastAsia="sl-SI"/>
        </w:rPr>
      </w:pPr>
      <w:r>
        <w:rPr>
          <w:rFonts w:cs="Arial"/>
          <w:b/>
          <w:szCs w:val="20"/>
          <w:u w:val="single"/>
          <w:lang w:val="sl-SI" w:eastAsia="sl-SI"/>
        </w:rPr>
        <w:t>10</w:t>
      </w:r>
      <w:r w:rsidR="00072419" w:rsidRPr="005771BD">
        <w:rPr>
          <w:rFonts w:cs="Arial"/>
          <w:b/>
          <w:szCs w:val="20"/>
          <w:u w:val="single"/>
          <w:lang w:val="sl-SI" w:eastAsia="sl-SI"/>
        </w:rPr>
        <w:t>. 2 Obremenitve in stanje</w:t>
      </w:r>
    </w:p>
    <w:p w:rsidR="00072419" w:rsidRPr="005771BD" w:rsidRDefault="00072419" w:rsidP="00072419">
      <w:pPr>
        <w:autoSpaceDE w:val="0"/>
        <w:autoSpaceDN w:val="0"/>
        <w:adjustRightInd w:val="0"/>
        <w:spacing w:after="200" w:line="276" w:lineRule="auto"/>
        <w:jc w:val="both"/>
        <w:rPr>
          <w:rFonts w:cs="Arial"/>
          <w:szCs w:val="20"/>
          <w:lang w:val="sl-SI" w:eastAsia="sl-SI"/>
        </w:rPr>
      </w:pPr>
      <w:r w:rsidRPr="005771BD">
        <w:rPr>
          <w:rFonts w:cs="Arial"/>
          <w:szCs w:val="20"/>
          <w:lang w:val="sl-SI" w:eastAsia="sl-SI"/>
        </w:rPr>
        <w:t>Emisijske evidence toplogrednih plinov</w:t>
      </w:r>
      <w:r w:rsidRPr="005771BD">
        <w:rPr>
          <w:rFonts w:cs="Arial"/>
          <w:szCs w:val="20"/>
          <w:vertAlign w:val="superscript"/>
          <w:lang w:val="sl-SI" w:eastAsia="sl-SI"/>
        </w:rPr>
        <w:footnoteReference w:id="24"/>
      </w:r>
      <w:r w:rsidRPr="005771BD">
        <w:rPr>
          <w:rFonts w:cs="Arial"/>
          <w:szCs w:val="20"/>
          <w:lang w:val="sl-SI" w:eastAsia="sl-SI"/>
        </w:rPr>
        <w:t>(TGP) so pokazatelj obremenitve na področju podnebnih sprememb. Med TGP, ki jih v okviru emisijskih evidenc spremljamo,</w:t>
      </w:r>
      <w:r>
        <w:rPr>
          <w:rFonts w:cs="Arial"/>
          <w:szCs w:val="20"/>
          <w:lang w:val="sl-SI" w:eastAsia="sl-SI"/>
        </w:rPr>
        <w:t xml:space="preserve"> </w:t>
      </w:r>
      <w:r w:rsidRPr="005771BD">
        <w:rPr>
          <w:rFonts w:cs="Arial"/>
          <w:szCs w:val="20"/>
          <w:lang w:val="sl-SI" w:eastAsia="sl-SI"/>
        </w:rPr>
        <w:t>so ogljikov dioksid (CO</w:t>
      </w:r>
      <w:r w:rsidRPr="005771BD">
        <w:rPr>
          <w:rFonts w:cs="Arial"/>
          <w:szCs w:val="20"/>
          <w:vertAlign w:val="subscript"/>
          <w:lang w:val="sl-SI" w:eastAsia="sl-SI"/>
        </w:rPr>
        <w:t>2</w:t>
      </w:r>
      <w:r w:rsidRPr="005771BD">
        <w:rPr>
          <w:rFonts w:cs="Arial"/>
          <w:szCs w:val="20"/>
          <w:lang w:val="sl-SI" w:eastAsia="sl-SI"/>
        </w:rPr>
        <w:t>), metan (CH</w:t>
      </w:r>
      <w:r w:rsidRPr="005771BD">
        <w:rPr>
          <w:rFonts w:cs="Arial"/>
          <w:szCs w:val="20"/>
          <w:vertAlign w:val="subscript"/>
          <w:lang w:val="sl-SI" w:eastAsia="sl-SI"/>
        </w:rPr>
        <w:t>4</w:t>
      </w:r>
      <w:r w:rsidRPr="005771BD">
        <w:rPr>
          <w:rFonts w:cs="Arial"/>
          <w:szCs w:val="20"/>
          <w:lang w:val="sl-SI" w:eastAsia="sl-SI"/>
        </w:rPr>
        <w:t>), di-dušikov oksid (N</w:t>
      </w:r>
      <w:r w:rsidRPr="005771BD">
        <w:rPr>
          <w:rFonts w:cs="Arial"/>
          <w:szCs w:val="20"/>
          <w:vertAlign w:val="subscript"/>
          <w:lang w:val="sl-SI" w:eastAsia="sl-SI"/>
        </w:rPr>
        <w:t>2</w:t>
      </w:r>
      <w:r w:rsidRPr="005771BD">
        <w:rPr>
          <w:rFonts w:cs="Arial"/>
          <w:szCs w:val="20"/>
          <w:lang w:val="sl-SI" w:eastAsia="sl-SI"/>
        </w:rPr>
        <w:t>O) in F-plin</w:t>
      </w:r>
      <w:r>
        <w:rPr>
          <w:rFonts w:cs="Arial"/>
          <w:szCs w:val="20"/>
          <w:lang w:val="sl-SI" w:eastAsia="sl-SI"/>
        </w:rPr>
        <w:t>i</w:t>
      </w:r>
      <w:r w:rsidRPr="005771BD">
        <w:rPr>
          <w:rFonts w:cs="Arial"/>
          <w:szCs w:val="20"/>
          <w:lang w:val="sl-SI" w:eastAsia="sl-SI"/>
        </w:rPr>
        <w:t>, kot so delno fluorirani ogljikovodiki (HFC), popolno fluorirani ogljikovodiki (PFC) in žveplov heksafluorid (SF6). Emisije TGP izračunavamo v skladu z metodologijo</w:t>
      </w:r>
      <w:r>
        <w:rPr>
          <w:rFonts w:cs="Arial"/>
          <w:szCs w:val="20"/>
          <w:lang w:val="sl-SI" w:eastAsia="sl-SI"/>
        </w:rPr>
        <w:t xml:space="preserve"> IPCC</w:t>
      </w:r>
      <w:r w:rsidRPr="005771BD">
        <w:rPr>
          <w:rFonts w:cs="Arial"/>
          <w:szCs w:val="20"/>
          <w:vertAlign w:val="superscript"/>
          <w:lang w:val="sl-SI" w:eastAsia="sl-SI"/>
        </w:rPr>
        <w:footnoteReference w:id="25"/>
      </w:r>
      <w:r w:rsidRPr="005771BD">
        <w:rPr>
          <w:rFonts w:cs="Arial"/>
          <w:szCs w:val="20"/>
          <w:lang w:val="sl-SI" w:eastAsia="sl-SI"/>
        </w:rPr>
        <w:t>, kar omogoča mednarodno primerljivost podatkov. Da lahko emisije različnih TGP med sabo primerjamo in seštevamo, jih moramo prej pomnožiti z njihovim toplogrednim potencialom, ki se izraža v razmerju glede na toplogredni učinek CO</w:t>
      </w:r>
      <w:r w:rsidRPr="005771BD">
        <w:rPr>
          <w:rFonts w:cs="Arial"/>
          <w:szCs w:val="20"/>
          <w:vertAlign w:val="subscript"/>
          <w:lang w:val="sl-SI" w:eastAsia="sl-SI"/>
        </w:rPr>
        <w:t>2</w:t>
      </w:r>
      <w:r w:rsidRPr="005771BD">
        <w:rPr>
          <w:rFonts w:cs="Arial"/>
          <w:szCs w:val="20"/>
          <w:lang w:val="sl-SI" w:eastAsia="sl-SI"/>
        </w:rPr>
        <w:t>, ki je po dogovoru 1. Toplogredni potencial CH</w:t>
      </w:r>
      <w:r w:rsidRPr="005771BD">
        <w:rPr>
          <w:rFonts w:cs="Arial"/>
          <w:szCs w:val="20"/>
          <w:vertAlign w:val="subscript"/>
          <w:lang w:val="sl-SI" w:eastAsia="sl-SI"/>
        </w:rPr>
        <w:t>4</w:t>
      </w:r>
      <w:r w:rsidRPr="005771BD">
        <w:rPr>
          <w:rFonts w:cs="Arial"/>
          <w:szCs w:val="20"/>
          <w:lang w:val="sl-SI" w:eastAsia="sl-SI"/>
        </w:rPr>
        <w:t xml:space="preserve"> je 25, N</w:t>
      </w:r>
      <w:r w:rsidRPr="005771BD">
        <w:rPr>
          <w:rFonts w:cs="Arial"/>
          <w:szCs w:val="20"/>
          <w:vertAlign w:val="subscript"/>
          <w:lang w:val="sl-SI" w:eastAsia="sl-SI"/>
        </w:rPr>
        <w:t>2</w:t>
      </w:r>
      <w:r w:rsidRPr="005771BD">
        <w:rPr>
          <w:rFonts w:cs="Arial"/>
          <w:szCs w:val="20"/>
          <w:lang w:val="sl-SI" w:eastAsia="sl-SI"/>
        </w:rPr>
        <w:t>O 298 in F plinov od 124 do 22.800. Skupne emisije TGP se izražajo v kilotonah CO</w:t>
      </w:r>
      <w:r w:rsidRPr="005771BD">
        <w:rPr>
          <w:rFonts w:cs="Arial"/>
          <w:szCs w:val="20"/>
          <w:vertAlign w:val="subscript"/>
          <w:lang w:val="sl-SI" w:eastAsia="sl-SI"/>
        </w:rPr>
        <w:t>2</w:t>
      </w:r>
      <w:r w:rsidRPr="005771BD">
        <w:rPr>
          <w:rFonts w:cs="Arial"/>
          <w:szCs w:val="20"/>
          <w:lang w:val="sl-SI" w:eastAsia="sl-SI"/>
        </w:rPr>
        <w:t xml:space="preserve"> ekvivalenta (kt CO</w:t>
      </w:r>
      <w:r w:rsidRPr="005771BD">
        <w:rPr>
          <w:rFonts w:cs="Arial"/>
          <w:szCs w:val="20"/>
          <w:vertAlign w:val="subscript"/>
          <w:lang w:val="sl-SI" w:eastAsia="sl-SI"/>
        </w:rPr>
        <w:t>2</w:t>
      </w:r>
      <w:r w:rsidRPr="005771BD">
        <w:rPr>
          <w:rFonts w:cs="Arial"/>
          <w:szCs w:val="20"/>
          <w:lang w:val="sl-SI" w:eastAsia="sl-SI"/>
        </w:rPr>
        <w:t xml:space="preserve"> ekv.) in so vsota emisij posameznega TGP, pomnoženega s pripadajočim toplogrednim potencialom. Z evidencami emisij spremljamo emisije iz sektorjev energetike, prometa, industrijskih procesov, rabe goriv v industriji</w:t>
      </w:r>
      <w:r>
        <w:rPr>
          <w:rFonts w:cs="Arial"/>
          <w:szCs w:val="20"/>
          <w:lang w:val="sl-SI" w:eastAsia="sl-SI"/>
        </w:rPr>
        <w:t xml:space="preserve"> </w:t>
      </w:r>
      <w:r w:rsidRPr="005771BD">
        <w:rPr>
          <w:rFonts w:cs="Arial"/>
          <w:szCs w:val="20"/>
          <w:lang w:val="sl-SI" w:eastAsia="sl-SI"/>
        </w:rPr>
        <w:t xml:space="preserve"> široki rabi, kmetijstva in odpadkov. Posebn</w:t>
      </w:r>
      <w:r>
        <w:rPr>
          <w:rFonts w:cs="Arial"/>
          <w:szCs w:val="20"/>
          <w:lang w:val="sl-SI" w:eastAsia="sl-SI"/>
        </w:rPr>
        <w:t>a skupina so</w:t>
      </w:r>
      <w:r w:rsidRPr="005771BD">
        <w:rPr>
          <w:rFonts w:cs="Arial"/>
          <w:szCs w:val="20"/>
          <w:lang w:val="sl-SI" w:eastAsia="sl-SI"/>
        </w:rPr>
        <w:t xml:space="preserve"> raba tal in spremembe rabe tal </w:t>
      </w:r>
      <w:r>
        <w:rPr>
          <w:rFonts w:cs="Arial"/>
          <w:szCs w:val="20"/>
          <w:lang w:val="sl-SI" w:eastAsia="sl-SI"/>
        </w:rPr>
        <w:t>ter</w:t>
      </w:r>
      <w:r w:rsidRPr="005771BD">
        <w:rPr>
          <w:rFonts w:cs="Arial"/>
          <w:szCs w:val="20"/>
          <w:lang w:val="sl-SI" w:eastAsia="sl-SI"/>
        </w:rPr>
        <w:t xml:space="preserve"> gozdarstvo.</w:t>
      </w:r>
    </w:p>
    <w:p w:rsidR="00072419" w:rsidRPr="005771BD" w:rsidRDefault="00072419" w:rsidP="00072419">
      <w:pPr>
        <w:autoSpaceDE w:val="0"/>
        <w:autoSpaceDN w:val="0"/>
        <w:adjustRightInd w:val="0"/>
        <w:spacing w:after="200" w:line="276" w:lineRule="auto"/>
        <w:jc w:val="both"/>
        <w:rPr>
          <w:rFonts w:cs="Arial"/>
          <w:szCs w:val="20"/>
          <w:lang w:val="sl-SI" w:eastAsia="sl-SI"/>
        </w:rPr>
      </w:pPr>
      <w:r w:rsidRPr="005771BD">
        <w:rPr>
          <w:rFonts w:cs="Arial"/>
          <w:szCs w:val="20"/>
          <w:lang w:val="sl-SI" w:eastAsia="sl-SI"/>
        </w:rPr>
        <w:t>Emisije CO</w:t>
      </w:r>
      <w:r w:rsidRPr="005771BD">
        <w:rPr>
          <w:rFonts w:cs="Arial"/>
          <w:szCs w:val="20"/>
          <w:vertAlign w:val="subscript"/>
          <w:lang w:val="sl-SI" w:eastAsia="sl-SI"/>
        </w:rPr>
        <w:t>2</w:t>
      </w:r>
      <w:r w:rsidRPr="005771BD">
        <w:rPr>
          <w:rFonts w:cs="Arial"/>
          <w:szCs w:val="20"/>
          <w:lang w:val="sl-SI" w:eastAsia="sl-SI"/>
        </w:rPr>
        <w:t xml:space="preserve"> nastajajo pri sežiganju fosilnih goriv in karbonatov v industrijskih procesih, emisije CH</w:t>
      </w:r>
      <w:r w:rsidRPr="005771BD">
        <w:rPr>
          <w:rFonts w:cs="Arial"/>
          <w:szCs w:val="20"/>
          <w:vertAlign w:val="subscript"/>
          <w:lang w:val="sl-SI" w:eastAsia="sl-SI"/>
        </w:rPr>
        <w:t>4</w:t>
      </w:r>
      <w:r w:rsidRPr="005771BD">
        <w:rPr>
          <w:rFonts w:cs="Arial"/>
          <w:szCs w:val="20"/>
          <w:lang w:val="sl-SI" w:eastAsia="sl-SI"/>
        </w:rPr>
        <w:t xml:space="preserve"> nastajajo pri živinoreji in ravnanju z odpadki, emisije N</w:t>
      </w:r>
      <w:r w:rsidRPr="005771BD">
        <w:rPr>
          <w:rFonts w:cs="Arial"/>
          <w:szCs w:val="20"/>
          <w:vertAlign w:val="subscript"/>
          <w:lang w:val="sl-SI" w:eastAsia="sl-SI"/>
        </w:rPr>
        <w:t>2</w:t>
      </w:r>
      <w:r w:rsidRPr="005771BD">
        <w:rPr>
          <w:rFonts w:cs="Arial"/>
          <w:szCs w:val="20"/>
          <w:lang w:val="sl-SI" w:eastAsia="sl-SI"/>
        </w:rPr>
        <w:t xml:space="preserve">O nastajajo pri uporabi umetnih gnojil na osnovi dušika, </w:t>
      </w:r>
      <w:r>
        <w:rPr>
          <w:rFonts w:cs="Arial"/>
          <w:szCs w:val="20"/>
          <w:lang w:val="sl-SI" w:eastAsia="sl-SI"/>
        </w:rPr>
        <w:t xml:space="preserve">pri </w:t>
      </w:r>
      <w:r w:rsidRPr="005771BD">
        <w:rPr>
          <w:rFonts w:cs="Arial"/>
          <w:szCs w:val="20"/>
          <w:lang w:val="sl-SI" w:eastAsia="sl-SI"/>
        </w:rPr>
        <w:t xml:space="preserve">izgorevanju fosilnih goriv in industrijski proizvodnji kemikalij z uporabo dušika, emisije F-plinov ne </w:t>
      </w:r>
      <w:r>
        <w:rPr>
          <w:rFonts w:cs="Arial"/>
          <w:szCs w:val="20"/>
          <w:lang w:val="sl-SI" w:eastAsia="sl-SI"/>
        </w:rPr>
        <w:t>nastajajo</w:t>
      </w:r>
      <w:r w:rsidRPr="005771BD">
        <w:rPr>
          <w:rFonts w:cs="Arial"/>
          <w:szCs w:val="20"/>
          <w:lang w:val="sl-SI" w:eastAsia="sl-SI"/>
        </w:rPr>
        <w:t xml:space="preserve"> v naravni obliki, </w:t>
      </w:r>
      <w:r>
        <w:rPr>
          <w:rFonts w:cs="Arial"/>
          <w:szCs w:val="20"/>
          <w:lang w:val="sl-SI" w:eastAsia="sl-SI"/>
        </w:rPr>
        <w:t xml:space="preserve">ampak jih je povzročil </w:t>
      </w:r>
      <w:r w:rsidRPr="005771BD">
        <w:rPr>
          <w:rFonts w:cs="Arial"/>
          <w:szCs w:val="20"/>
          <w:lang w:val="sl-SI" w:eastAsia="sl-SI"/>
        </w:rPr>
        <w:t>človek za potrebe industrije.</w:t>
      </w:r>
    </w:p>
    <w:p w:rsidR="00072419" w:rsidRPr="005771BD" w:rsidRDefault="00072419" w:rsidP="00072419">
      <w:pPr>
        <w:autoSpaceDE w:val="0"/>
        <w:autoSpaceDN w:val="0"/>
        <w:adjustRightInd w:val="0"/>
        <w:spacing w:after="200" w:line="276" w:lineRule="auto"/>
        <w:jc w:val="both"/>
        <w:rPr>
          <w:rFonts w:cs="Arial"/>
          <w:szCs w:val="20"/>
          <w:lang w:val="sl-SI" w:eastAsia="sl-SI"/>
        </w:rPr>
      </w:pPr>
      <w:r w:rsidRPr="005771BD">
        <w:rPr>
          <w:rFonts w:cs="Arial"/>
          <w:szCs w:val="20"/>
          <w:lang w:val="sl-SI" w:eastAsia="sl-SI"/>
        </w:rPr>
        <w:t>V skupnem deležu emisij TGP ima</w:t>
      </w:r>
      <w:r>
        <w:rPr>
          <w:rFonts w:cs="Arial"/>
          <w:szCs w:val="20"/>
          <w:lang w:val="sl-SI" w:eastAsia="sl-SI"/>
        </w:rPr>
        <w:t>jo</w:t>
      </w:r>
      <w:r w:rsidRPr="005771BD">
        <w:rPr>
          <w:rFonts w:cs="Arial"/>
          <w:szCs w:val="20"/>
          <w:lang w:val="sl-SI" w:eastAsia="sl-SI"/>
        </w:rPr>
        <w:t xml:space="preserve"> največji prispevek CO</w:t>
      </w:r>
      <w:r w:rsidRPr="005771BD">
        <w:rPr>
          <w:rFonts w:cs="Arial"/>
          <w:szCs w:val="20"/>
          <w:vertAlign w:val="subscript"/>
          <w:lang w:val="sl-SI" w:eastAsia="sl-SI"/>
        </w:rPr>
        <w:t>2</w:t>
      </w:r>
      <w:r w:rsidRPr="005771BD">
        <w:rPr>
          <w:rFonts w:cs="Arial"/>
          <w:szCs w:val="20"/>
          <w:lang w:val="sl-SI" w:eastAsia="sl-SI"/>
        </w:rPr>
        <w:t xml:space="preserve"> (v letu 2014 kar 81,4 %), CH</w:t>
      </w:r>
      <w:r w:rsidRPr="005771BD">
        <w:rPr>
          <w:rFonts w:cs="Arial"/>
          <w:szCs w:val="20"/>
          <w:vertAlign w:val="subscript"/>
          <w:lang w:val="sl-SI" w:eastAsia="sl-SI"/>
        </w:rPr>
        <w:t>4</w:t>
      </w:r>
      <w:r w:rsidRPr="005771BD">
        <w:rPr>
          <w:rFonts w:cs="Arial"/>
          <w:szCs w:val="20"/>
          <w:lang w:val="sl-SI" w:eastAsia="sl-SI"/>
        </w:rPr>
        <w:t xml:space="preserve"> (11,9 %) </w:t>
      </w:r>
      <w:r>
        <w:rPr>
          <w:rFonts w:cs="Arial"/>
          <w:szCs w:val="20"/>
          <w:lang w:val="sl-SI" w:eastAsia="sl-SI"/>
        </w:rPr>
        <w:t>in</w:t>
      </w:r>
      <w:r w:rsidRPr="005771BD">
        <w:rPr>
          <w:rFonts w:cs="Arial"/>
          <w:szCs w:val="20"/>
          <w:lang w:val="sl-SI" w:eastAsia="sl-SI"/>
        </w:rPr>
        <w:t xml:space="preserve"> N</w:t>
      </w:r>
      <w:r w:rsidRPr="005771BD">
        <w:rPr>
          <w:rFonts w:cs="Arial"/>
          <w:szCs w:val="20"/>
          <w:vertAlign w:val="subscript"/>
          <w:lang w:val="sl-SI" w:eastAsia="sl-SI"/>
        </w:rPr>
        <w:t>2</w:t>
      </w:r>
      <w:r w:rsidRPr="005771BD">
        <w:rPr>
          <w:rFonts w:cs="Arial"/>
          <w:szCs w:val="20"/>
          <w:lang w:val="sl-SI" w:eastAsia="sl-SI"/>
        </w:rPr>
        <w:t>O (4,6 %). Delež emisij F-plinov je majhen (2,1 %), vendar zaradi visokega toplogrednega potenciala njihov prispevek k segrevanju ozračja ni zanemarljiv.</w:t>
      </w:r>
    </w:p>
    <w:p w:rsidR="00072419" w:rsidRPr="005771BD" w:rsidRDefault="00072419" w:rsidP="00072419">
      <w:pPr>
        <w:spacing w:after="200" w:line="276" w:lineRule="auto"/>
        <w:jc w:val="center"/>
        <w:rPr>
          <w:rFonts w:eastAsia="MyriadPro-LightSemiCn" w:cs="Arial"/>
          <w:szCs w:val="20"/>
          <w:lang w:val="sl-SI" w:eastAsia="sl-SI"/>
        </w:rPr>
      </w:pPr>
      <w:r w:rsidRPr="007F272F">
        <w:rPr>
          <w:rFonts w:eastAsia="MyriadPro-LightSemiCn" w:cs="Arial"/>
          <w:noProof/>
          <w:szCs w:val="20"/>
          <w:lang w:val="sl-SI" w:eastAsia="sl-SI"/>
        </w:rPr>
        <w:drawing>
          <wp:inline distT="0" distB="0" distL="0" distR="0" wp14:anchorId="5210DB20" wp14:editId="6BB32CF8">
            <wp:extent cx="4619625" cy="2231670"/>
            <wp:effectExtent l="0" t="0" r="0" b="0"/>
            <wp:docPr id="261" name="Slika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617945" cy="2230858"/>
                    </a:xfrm>
                    <a:prstGeom prst="rect">
                      <a:avLst/>
                    </a:prstGeom>
                    <a:noFill/>
                  </pic:spPr>
                </pic:pic>
              </a:graphicData>
            </a:graphic>
          </wp:inline>
        </w:drawing>
      </w:r>
    </w:p>
    <w:p w:rsidR="00072419" w:rsidRPr="005771BD" w:rsidRDefault="00072419" w:rsidP="00072419">
      <w:pPr>
        <w:spacing w:line="276" w:lineRule="auto"/>
        <w:jc w:val="both"/>
        <w:rPr>
          <w:rFonts w:eastAsia="MyriadPro-LightSemiCn" w:cs="Arial"/>
          <w:i/>
          <w:szCs w:val="20"/>
          <w:lang w:val="sl-SI" w:eastAsia="sl-SI"/>
        </w:rPr>
      </w:pPr>
      <w:r w:rsidRPr="005771BD">
        <w:rPr>
          <w:rFonts w:eastAsia="MyriadPro-LightSemiCn" w:cs="Arial"/>
          <w:i/>
          <w:szCs w:val="20"/>
          <w:lang w:val="sl-SI" w:eastAsia="sl-SI"/>
        </w:rPr>
        <w:t xml:space="preserve">Slika </w:t>
      </w:r>
      <w:r w:rsidR="00FF4C0C">
        <w:rPr>
          <w:rFonts w:eastAsia="MyriadPro-LightSemiCn" w:cs="Arial"/>
          <w:i/>
          <w:szCs w:val="20"/>
          <w:lang w:val="sl-SI" w:eastAsia="sl-SI"/>
        </w:rPr>
        <w:t>10</w:t>
      </w:r>
      <w:r w:rsidRPr="005771BD">
        <w:rPr>
          <w:rFonts w:eastAsia="MyriadPro-LightSemiCn" w:cs="Arial"/>
          <w:i/>
          <w:szCs w:val="20"/>
          <w:lang w:val="sl-SI" w:eastAsia="sl-SI"/>
        </w:rPr>
        <w:t>. 1: Delež posameznih TGP v skupnem deležu emisij TGP v letu 2014</w:t>
      </w:r>
    </w:p>
    <w:p w:rsidR="00072419" w:rsidRPr="005771BD" w:rsidRDefault="00072419" w:rsidP="00072419">
      <w:pPr>
        <w:spacing w:after="200" w:line="276" w:lineRule="auto"/>
        <w:jc w:val="both"/>
        <w:rPr>
          <w:rFonts w:eastAsia="MyriadPro-LightSemiCn" w:cs="Arial"/>
          <w:i/>
          <w:sz w:val="18"/>
          <w:szCs w:val="18"/>
          <w:lang w:val="sl-SI" w:eastAsia="sl-SI"/>
        </w:rPr>
      </w:pPr>
      <w:r w:rsidRPr="005771BD">
        <w:rPr>
          <w:rFonts w:eastAsia="MyriadPro-LightSemiCn" w:cs="Arial"/>
          <w:i/>
          <w:sz w:val="18"/>
          <w:szCs w:val="18"/>
          <w:lang w:val="sl-SI" w:eastAsia="sl-SI"/>
        </w:rPr>
        <w:t>Vir: Arhiv TGP, Agencija RS za okolje, 2016</w:t>
      </w:r>
    </w:p>
    <w:p w:rsidR="00072419" w:rsidRPr="005771BD" w:rsidRDefault="00072419" w:rsidP="00072419">
      <w:pPr>
        <w:spacing w:after="200" w:line="276" w:lineRule="auto"/>
        <w:jc w:val="both"/>
        <w:rPr>
          <w:rFonts w:eastAsia="MyriadPro-LightSemiCn" w:cs="Arial"/>
          <w:szCs w:val="20"/>
          <w:lang w:val="sl-SI" w:eastAsia="sl-SI"/>
        </w:rPr>
      </w:pPr>
      <w:r w:rsidRPr="005771BD">
        <w:rPr>
          <w:rFonts w:eastAsia="MyriadPro-LightSemiCn" w:cs="Arial"/>
          <w:szCs w:val="20"/>
          <w:lang w:val="sl-SI" w:eastAsia="sl-SI"/>
        </w:rPr>
        <w:t xml:space="preserve">V Sloveniji se podnebne razmere zaradi razgibanega površja opazno spreminjajo že na razmeroma kratkih razdaljah. Za spremljanje </w:t>
      </w:r>
      <w:r w:rsidRPr="005771BD">
        <w:rPr>
          <w:rFonts w:eastAsia="MyriadPro-LightSemiCn" w:cs="Arial"/>
          <w:b/>
          <w:szCs w:val="20"/>
          <w:lang w:val="sl-SI" w:eastAsia="sl-SI"/>
        </w:rPr>
        <w:t>stanja</w:t>
      </w:r>
      <w:r w:rsidRPr="005771BD">
        <w:rPr>
          <w:rFonts w:eastAsia="MyriadPro-LightSemiCn" w:cs="Arial"/>
          <w:szCs w:val="20"/>
          <w:lang w:val="sl-SI" w:eastAsia="sl-SI"/>
        </w:rPr>
        <w:t xml:space="preserve"> podnebnih razmer vzdržujemo mrežo merilnih postaj ter tako zagotavljamo natančne in zanesljive meritve na merilnih mestih. </w:t>
      </w:r>
    </w:p>
    <w:p w:rsidR="00072419" w:rsidRPr="005771BD" w:rsidRDefault="00072419" w:rsidP="00072419">
      <w:pPr>
        <w:spacing w:after="200" w:line="276" w:lineRule="auto"/>
        <w:jc w:val="center"/>
        <w:rPr>
          <w:rFonts w:eastAsia="MyriadPro-LightSemiCn" w:cs="Arial"/>
          <w:szCs w:val="20"/>
          <w:lang w:val="sl-SI" w:eastAsia="sl-SI"/>
        </w:rPr>
      </w:pPr>
      <w:r w:rsidRPr="007F272F">
        <w:rPr>
          <w:rFonts w:eastAsia="MyriadPro-LightSemiCn" w:cs="Arial"/>
          <w:noProof/>
          <w:szCs w:val="20"/>
          <w:lang w:val="sl-SI" w:eastAsia="sl-SI"/>
        </w:rPr>
        <w:drawing>
          <wp:inline distT="0" distB="0" distL="0" distR="0" wp14:anchorId="53D117D6" wp14:editId="178C3C3E">
            <wp:extent cx="3609975" cy="2470916"/>
            <wp:effectExtent l="0" t="0" r="0" b="5715"/>
            <wp:docPr id="26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cstate="print"/>
                    <a:srcRect l="16703" t="14707" r="17593" b="5249"/>
                    <a:stretch>
                      <a:fillRect/>
                    </a:stretch>
                  </pic:blipFill>
                  <pic:spPr bwMode="auto">
                    <a:xfrm>
                      <a:off x="0" y="0"/>
                      <a:ext cx="3608249" cy="2469735"/>
                    </a:xfrm>
                    <a:prstGeom prst="rect">
                      <a:avLst/>
                    </a:prstGeom>
                    <a:noFill/>
                    <a:ln w="9525">
                      <a:noFill/>
                      <a:miter lim="800000"/>
                      <a:headEnd/>
                      <a:tailEnd/>
                    </a:ln>
                    <a:effectLst>
                      <a:softEdge rad="63500"/>
                    </a:effectLst>
                  </pic:spPr>
                </pic:pic>
              </a:graphicData>
            </a:graphic>
          </wp:inline>
        </w:drawing>
      </w:r>
    </w:p>
    <w:p w:rsidR="00072419" w:rsidRPr="005771BD" w:rsidRDefault="00072419" w:rsidP="00072419">
      <w:pPr>
        <w:spacing w:line="276" w:lineRule="auto"/>
        <w:jc w:val="both"/>
        <w:rPr>
          <w:rFonts w:eastAsia="MyriadPro-LightSemiCn" w:cs="Arial"/>
          <w:i/>
          <w:szCs w:val="20"/>
          <w:lang w:val="sl-SI" w:eastAsia="sl-SI"/>
        </w:rPr>
      </w:pPr>
      <w:r w:rsidRPr="005771BD">
        <w:rPr>
          <w:rFonts w:eastAsia="MyriadPro-LightSemiCn" w:cs="Arial"/>
          <w:i/>
          <w:szCs w:val="20"/>
          <w:lang w:val="sl-SI" w:eastAsia="sl-SI"/>
        </w:rPr>
        <w:t xml:space="preserve">Slika </w:t>
      </w:r>
      <w:r w:rsidR="00FF4C0C">
        <w:rPr>
          <w:rFonts w:eastAsia="MyriadPro-LightSemiCn" w:cs="Arial"/>
          <w:i/>
          <w:szCs w:val="20"/>
          <w:lang w:val="sl-SI" w:eastAsia="sl-SI"/>
        </w:rPr>
        <w:t>10</w:t>
      </w:r>
      <w:r w:rsidRPr="005771BD">
        <w:rPr>
          <w:rFonts w:eastAsia="MyriadPro-LightSemiCn" w:cs="Arial"/>
          <w:i/>
          <w:szCs w:val="20"/>
          <w:lang w:val="sl-SI" w:eastAsia="sl-SI"/>
        </w:rPr>
        <w:t xml:space="preserve">. 2: Prostorski prikaz meteoroloških postaj </w:t>
      </w:r>
    </w:p>
    <w:p w:rsidR="00072419" w:rsidRPr="005771BD" w:rsidRDefault="00072419" w:rsidP="00072419">
      <w:pPr>
        <w:spacing w:after="200" w:line="276" w:lineRule="auto"/>
        <w:jc w:val="both"/>
        <w:rPr>
          <w:rFonts w:eastAsia="MyriadPro-LightSemiCn" w:cs="Arial"/>
          <w:i/>
          <w:szCs w:val="20"/>
          <w:lang w:val="sl-SI" w:eastAsia="sl-SI"/>
        </w:rPr>
      </w:pPr>
      <w:r w:rsidRPr="005771BD">
        <w:rPr>
          <w:rFonts w:eastAsia="MyriadPro-LightSemiCn" w:cs="Arial"/>
          <w:i/>
          <w:szCs w:val="20"/>
          <w:lang w:val="sl-SI" w:eastAsia="sl-SI"/>
        </w:rPr>
        <w:t>Vir: Atlas okolja, Agencija RS za okolje, 2016</w:t>
      </w:r>
    </w:p>
    <w:p w:rsidR="002B6ED6" w:rsidRDefault="002B6ED6" w:rsidP="00072419">
      <w:pPr>
        <w:spacing w:after="200" w:line="276" w:lineRule="auto"/>
        <w:jc w:val="both"/>
        <w:rPr>
          <w:rFonts w:cs="Arial"/>
          <w:b/>
          <w:szCs w:val="20"/>
          <w:lang w:val="sl-SI" w:eastAsia="sl-SI"/>
        </w:rPr>
      </w:pPr>
    </w:p>
    <w:p w:rsidR="002B6ED6" w:rsidRDefault="002B6ED6" w:rsidP="00072419">
      <w:pPr>
        <w:spacing w:after="200" w:line="276" w:lineRule="auto"/>
        <w:jc w:val="both"/>
        <w:rPr>
          <w:rFonts w:cs="Arial"/>
          <w:b/>
          <w:szCs w:val="20"/>
          <w:lang w:val="sl-SI" w:eastAsia="sl-SI"/>
        </w:rPr>
      </w:pPr>
    </w:p>
    <w:p w:rsidR="00072419" w:rsidRPr="005771BD" w:rsidRDefault="00FF4C0C" w:rsidP="00072419">
      <w:pPr>
        <w:spacing w:after="200" w:line="276" w:lineRule="auto"/>
        <w:jc w:val="both"/>
        <w:rPr>
          <w:rFonts w:eastAsia="MyriadPro-LightSemiCn" w:cs="Arial"/>
          <w:b/>
          <w:szCs w:val="20"/>
          <w:lang w:val="sl-SI" w:eastAsia="sl-SI"/>
        </w:rPr>
      </w:pPr>
      <w:r>
        <w:rPr>
          <w:rFonts w:cs="Arial"/>
          <w:b/>
          <w:szCs w:val="20"/>
          <w:lang w:val="sl-SI" w:eastAsia="sl-SI"/>
        </w:rPr>
        <w:t>10</w:t>
      </w:r>
      <w:r w:rsidR="00072419" w:rsidRPr="005771BD">
        <w:rPr>
          <w:rFonts w:cs="Arial"/>
          <w:b/>
          <w:szCs w:val="20"/>
          <w:lang w:val="sl-SI" w:eastAsia="sl-SI"/>
        </w:rPr>
        <w:t>.2.</w:t>
      </w:r>
      <w:r>
        <w:rPr>
          <w:rFonts w:cs="Arial"/>
          <w:b/>
          <w:szCs w:val="20"/>
          <w:lang w:val="sl-SI" w:eastAsia="sl-SI"/>
        </w:rPr>
        <w:t xml:space="preserve">1 </w:t>
      </w:r>
      <w:r w:rsidR="00072419" w:rsidRPr="005771BD">
        <w:rPr>
          <w:rFonts w:cs="Arial"/>
          <w:b/>
          <w:szCs w:val="20"/>
          <w:lang w:val="sl-SI" w:eastAsia="sl-SI"/>
        </w:rPr>
        <w:t>Emisije toplogrednih plinov</w:t>
      </w:r>
    </w:p>
    <w:p w:rsidR="00072419" w:rsidRPr="005771BD" w:rsidRDefault="00072419" w:rsidP="00072419">
      <w:pPr>
        <w:spacing w:after="200" w:line="276" w:lineRule="auto"/>
        <w:jc w:val="both"/>
        <w:rPr>
          <w:rFonts w:cs="Arial"/>
          <w:szCs w:val="20"/>
          <w:lang w:val="sl-SI" w:eastAsia="sl-SI"/>
        </w:rPr>
      </w:pPr>
      <w:r w:rsidRPr="005771BD">
        <w:rPr>
          <w:rFonts w:cs="Arial"/>
          <w:szCs w:val="20"/>
          <w:lang w:val="sl-SI" w:eastAsia="sl-SI"/>
        </w:rPr>
        <w:t xml:space="preserve">Skupne emisije TGP so leta 2014 v Sloveniji znašale 16.582 </w:t>
      </w:r>
      <w:r w:rsidRPr="005771BD">
        <w:rPr>
          <w:rFonts w:eastAsia="MyriadPro-LightSemiCn" w:cs="Arial"/>
          <w:szCs w:val="20"/>
          <w:lang w:val="sl-SI" w:eastAsia="sl-SI"/>
        </w:rPr>
        <w:t>kt CO</w:t>
      </w:r>
      <w:r w:rsidRPr="005771BD">
        <w:rPr>
          <w:rFonts w:eastAsia="MyriadPro-LightSemiCn" w:cs="Arial"/>
          <w:szCs w:val="20"/>
          <w:vertAlign w:val="subscript"/>
          <w:lang w:val="sl-SI" w:eastAsia="sl-SI"/>
        </w:rPr>
        <w:t>2</w:t>
      </w:r>
      <w:r w:rsidRPr="005771BD">
        <w:rPr>
          <w:rFonts w:eastAsia="MyriadPro-LightSemiCn" w:cs="Arial"/>
          <w:szCs w:val="20"/>
          <w:lang w:val="sl-SI" w:eastAsia="sl-SI"/>
        </w:rPr>
        <w:t xml:space="preserve"> ekv.</w:t>
      </w:r>
      <w:r w:rsidRPr="005771BD">
        <w:rPr>
          <w:rFonts w:cs="Arial"/>
          <w:szCs w:val="20"/>
          <w:lang w:val="sl-SI" w:eastAsia="sl-SI"/>
        </w:rPr>
        <w:t>, kar pomeni 19,2 % zmanjšanje v primerjavi z letom 2005.</w:t>
      </w:r>
    </w:p>
    <w:p w:rsidR="00072419" w:rsidRPr="005771BD" w:rsidRDefault="00072419" w:rsidP="00072419">
      <w:pPr>
        <w:spacing w:after="200" w:line="276" w:lineRule="auto"/>
        <w:jc w:val="center"/>
        <w:rPr>
          <w:rFonts w:eastAsia="MyriadPro-LightSemiCn" w:cs="Arial"/>
          <w:szCs w:val="20"/>
          <w:lang w:val="sl-SI" w:eastAsia="sl-SI"/>
        </w:rPr>
      </w:pPr>
      <w:r w:rsidRPr="007F272F">
        <w:rPr>
          <w:rFonts w:eastAsia="MyriadPro-LightSemiCn" w:cs="Arial"/>
          <w:noProof/>
          <w:szCs w:val="20"/>
          <w:lang w:val="sl-SI" w:eastAsia="sl-SI"/>
        </w:rPr>
        <w:drawing>
          <wp:inline distT="0" distB="0" distL="0" distR="0" wp14:anchorId="79EFE5A5" wp14:editId="0349E3F4">
            <wp:extent cx="4599932" cy="2224585"/>
            <wp:effectExtent l="0" t="0" r="0" b="4445"/>
            <wp:docPr id="263" name="Slika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605554" cy="2227304"/>
                    </a:xfrm>
                    <a:prstGeom prst="rect">
                      <a:avLst/>
                    </a:prstGeom>
                    <a:noFill/>
                  </pic:spPr>
                </pic:pic>
              </a:graphicData>
            </a:graphic>
          </wp:inline>
        </w:drawing>
      </w:r>
    </w:p>
    <w:p w:rsidR="00072419" w:rsidRPr="005771BD" w:rsidRDefault="00072419" w:rsidP="00072419">
      <w:pPr>
        <w:spacing w:line="276" w:lineRule="auto"/>
        <w:rPr>
          <w:rFonts w:cs="Arial"/>
          <w:i/>
          <w:iCs/>
          <w:szCs w:val="20"/>
          <w:u w:val="single"/>
          <w:lang w:val="sl-SI" w:eastAsia="sl-SI"/>
        </w:rPr>
      </w:pPr>
      <w:r w:rsidRPr="005771BD">
        <w:rPr>
          <w:rFonts w:cs="Arial"/>
          <w:i/>
          <w:szCs w:val="20"/>
          <w:lang w:val="sl-SI" w:eastAsia="sl-SI"/>
        </w:rPr>
        <w:t xml:space="preserve">Slika </w:t>
      </w:r>
      <w:r w:rsidR="00FF4C0C">
        <w:rPr>
          <w:rFonts w:cs="Arial"/>
          <w:i/>
          <w:szCs w:val="20"/>
          <w:lang w:val="sl-SI" w:eastAsia="sl-SI"/>
        </w:rPr>
        <w:t>10</w:t>
      </w:r>
      <w:r w:rsidRPr="005771BD">
        <w:rPr>
          <w:rFonts w:cs="Arial"/>
          <w:i/>
          <w:szCs w:val="20"/>
          <w:lang w:val="sl-SI" w:eastAsia="sl-SI"/>
        </w:rPr>
        <w:t>. 3: Skupne emisije TGP po sektorjih v obdobju 2005</w:t>
      </w:r>
      <w:r>
        <w:rPr>
          <w:rFonts w:cs="Arial"/>
          <w:i/>
          <w:szCs w:val="20"/>
          <w:lang w:val="sl-SI" w:eastAsia="sl-SI"/>
        </w:rPr>
        <w:t>–</w:t>
      </w:r>
      <w:r w:rsidRPr="005771BD">
        <w:rPr>
          <w:rFonts w:cs="Arial"/>
          <w:i/>
          <w:szCs w:val="20"/>
          <w:lang w:val="sl-SI" w:eastAsia="sl-SI"/>
        </w:rPr>
        <w:t xml:space="preserve">2014 </w:t>
      </w:r>
      <w:r w:rsidRPr="005771BD">
        <w:rPr>
          <w:rFonts w:cs="Arial"/>
          <w:i/>
          <w:iCs/>
          <w:szCs w:val="20"/>
          <w:lang w:val="sl-SI" w:eastAsia="sl-SI"/>
        </w:rPr>
        <w:t>(podatki ne vklju</w:t>
      </w:r>
      <w:r w:rsidRPr="005771BD">
        <w:rPr>
          <w:rFonts w:cs="Arial"/>
          <w:i/>
          <w:szCs w:val="20"/>
          <w:lang w:val="sl-SI" w:eastAsia="sl-SI"/>
        </w:rPr>
        <w:t>č</w:t>
      </w:r>
      <w:r w:rsidRPr="005771BD">
        <w:rPr>
          <w:rFonts w:cs="Arial"/>
          <w:i/>
          <w:iCs/>
          <w:szCs w:val="20"/>
          <w:lang w:val="sl-SI" w:eastAsia="sl-SI"/>
        </w:rPr>
        <w:t xml:space="preserve">ujejo rabe </w:t>
      </w:r>
      <w:r w:rsidRPr="005771BD">
        <w:rPr>
          <w:rFonts w:cs="Arial"/>
          <w:i/>
          <w:iCs/>
          <w:szCs w:val="20"/>
          <w:u w:val="single"/>
          <w:lang w:val="sl-SI" w:eastAsia="sl-SI"/>
        </w:rPr>
        <w:t>tal, spremembe rabe tal</w:t>
      </w:r>
      <w:r w:rsidRPr="005771BD">
        <w:rPr>
          <w:rFonts w:cs="Arial"/>
          <w:i/>
          <w:szCs w:val="20"/>
          <w:u w:val="single"/>
          <w:lang w:val="sl-SI" w:eastAsia="sl-SI"/>
        </w:rPr>
        <w:t xml:space="preserve"> </w:t>
      </w:r>
      <w:r w:rsidRPr="005771BD">
        <w:rPr>
          <w:rFonts w:cs="Arial"/>
          <w:i/>
          <w:iCs/>
          <w:szCs w:val="20"/>
          <w:u w:val="single"/>
          <w:lang w:val="sl-SI" w:eastAsia="sl-SI"/>
        </w:rPr>
        <w:t xml:space="preserve">in gozdarstva) </w:t>
      </w:r>
    </w:p>
    <w:p w:rsidR="00072419" w:rsidRPr="005771BD" w:rsidRDefault="00072419" w:rsidP="00072419">
      <w:pPr>
        <w:spacing w:after="360" w:line="276" w:lineRule="auto"/>
        <w:rPr>
          <w:rFonts w:cs="Arial"/>
          <w:i/>
          <w:sz w:val="18"/>
          <w:szCs w:val="18"/>
          <w:lang w:val="sl-SI" w:eastAsia="sl-SI"/>
        </w:rPr>
      </w:pPr>
      <w:r w:rsidRPr="005771BD">
        <w:rPr>
          <w:rFonts w:cs="Arial"/>
          <w:i/>
          <w:iCs/>
          <w:sz w:val="18"/>
          <w:szCs w:val="18"/>
          <w:lang w:val="sl-SI" w:eastAsia="sl-SI"/>
        </w:rPr>
        <w:t>V</w:t>
      </w:r>
      <w:r w:rsidRPr="005771BD">
        <w:rPr>
          <w:rFonts w:cs="Arial"/>
          <w:i/>
          <w:sz w:val="18"/>
          <w:szCs w:val="18"/>
          <w:lang w:val="sl-SI" w:eastAsia="sl-SI"/>
        </w:rPr>
        <w:t>ir: GHG Data Viewer, Evropska agencija za okolje, 2016</w:t>
      </w:r>
    </w:p>
    <w:p w:rsidR="00072419" w:rsidRPr="005771BD" w:rsidRDefault="00072419" w:rsidP="00072419">
      <w:pPr>
        <w:spacing w:after="200" w:line="276" w:lineRule="auto"/>
        <w:jc w:val="both"/>
        <w:rPr>
          <w:rFonts w:cs="Arial"/>
          <w:szCs w:val="20"/>
          <w:lang w:val="sl-SI" w:eastAsia="sl-SI"/>
        </w:rPr>
      </w:pPr>
      <w:r w:rsidRPr="005771BD">
        <w:rPr>
          <w:rFonts w:cs="Arial"/>
          <w:szCs w:val="20"/>
          <w:lang w:val="sl-SI" w:eastAsia="sl-SI"/>
        </w:rPr>
        <w:t xml:space="preserve">Od leta 2005 so se povečale le emisije iz sektorja prometa (za 21,6 % v 2014). Zaradi emisij tega sektorja so se skupne emisije TGP v letu 2008 povečale za 3,3 % in v letu 2009 zmanjšale za 9,0 %. V </w:t>
      </w:r>
      <w:r>
        <w:rPr>
          <w:rFonts w:cs="Arial"/>
          <w:szCs w:val="20"/>
          <w:lang w:val="sl-SI" w:eastAsia="sl-SI"/>
        </w:rPr>
        <w:t>drugih</w:t>
      </w:r>
      <w:r w:rsidRPr="005771BD">
        <w:rPr>
          <w:rFonts w:cs="Arial"/>
          <w:szCs w:val="20"/>
          <w:lang w:val="sl-SI" w:eastAsia="sl-SI"/>
        </w:rPr>
        <w:t xml:space="preserve"> sektorjih so bile v letu 2014 emisije nižje kot v letu 2005. Najbolj izrazito zmanjšanje emisij, kar za 46,3 %, je bilo opaženo v sektorju rabe goriv v široki rabi. Precej so se zmanjšale tudi emisije iz rabe goriv v industriji </w:t>
      </w:r>
      <w:r>
        <w:rPr>
          <w:rFonts w:cs="Arial"/>
          <w:szCs w:val="20"/>
          <w:lang w:val="sl-SI" w:eastAsia="sl-SI"/>
        </w:rPr>
        <w:t xml:space="preserve">in </w:t>
      </w:r>
      <w:r w:rsidRPr="005771BD">
        <w:rPr>
          <w:rFonts w:cs="Arial"/>
          <w:szCs w:val="20"/>
          <w:lang w:val="sl-SI" w:eastAsia="sl-SI"/>
        </w:rPr>
        <w:t>energetiki. Glede na leto 2005 so se emisije zaradi ravnanja z odpadki zmanjšale za 38,1 %.</w:t>
      </w:r>
    </w:p>
    <w:p w:rsidR="00072419" w:rsidRPr="005771BD" w:rsidRDefault="00072419" w:rsidP="00072419">
      <w:pPr>
        <w:spacing w:after="200" w:line="276" w:lineRule="auto"/>
        <w:jc w:val="center"/>
        <w:rPr>
          <w:rFonts w:cs="Arial"/>
          <w:szCs w:val="20"/>
          <w:lang w:val="sl-SI" w:eastAsia="sl-SI"/>
        </w:rPr>
      </w:pPr>
      <w:r w:rsidRPr="007F272F">
        <w:rPr>
          <w:rFonts w:cs="Arial"/>
          <w:noProof/>
          <w:szCs w:val="20"/>
          <w:lang w:val="sl-SI" w:eastAsia="sl-SI"/>
        </w:rPr>
        <w:drawing>
          <wp:inline distT="0" distB="0" distL="0" distR="0" wp14:anchorId="44BAC89A" wp14:editId="4CAEA84B">
            <wp:extent cx="4735773" cy="2290279"/>
            <wp:effectExtent l="0" t="0" r="8255" b="0"/>
            <wp:docPr id="264" name="Slika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743080" cy="2293813"/>
                    </a:xfrm>
                    <a:prstGeom prst="rect">
                      <a:avLst/>
                    </a:prstGeom>
                    <a:noFill/>
                  </pic:spPr>
                </pic:pic>
              </a:graphicData>
            </a:graphic>
          </wp:inline>
        </w:drawing>
      </w:r>
    </w:p>
    <w:p w:rsidR="00072419" w:rsidRPr="005771BD" w:rsidRDefault="00072419" w:rsidP="00072419">
      <w:pPr>
        <w:spacing w:line="276" w:lineRule="auto"/>
        <w:jc w:val="both"/>
        <w:rPr>
          <w:rFonts w:cs="Arial"/>
          <w:i/>
          <w:iCs/>
          <w:szCs w:val="20"/>
          <w:lang w:val="sl-SI" w:eastAsia="sl-SI"/>
        </w:rPr>
      </w:pPr>
      <w:r w:rsidRPr="005771BD">
        <w:rPr>
          <w:rFonts w:cs="Arial"/>
          <w:i/>
          <w:szCs w:val="20"/>
          <w:lang w:val="sl-SI" w:eastAsia="sl-SI"/>
        </w:rPr>
        <w:t xml:space="preserve">Slika </w:t>
      </w:r>
      <w:r w:rsidR="00FF4C0C">
        <w:rPr>
          <w:rFonts w:cs="Arial"/>
          <w:i/>
          <w:szCs w:val="20"/>
          <w:lang w:val="sl-SI" w:eastAsia="sl-SI"/>
        </w:rPr>
        <w:t>10</w:t>
      </w:r>
      <w:r w:rsidRPr="005771BD">
        <w:rPr>
          <w:rFonts w:cs="Arial"/>
          <w:i/>
          <w:szCs w:val="20"/>
          <w:lang w:val="sl-SI" w:eastAsia="sl-SI"/>
        </w:rPr>
        <w:t>.4: Sprememba emisij TGP po sektorjih v obdobju 2005</w:t>
      </w:r>
      <w:r>
        <w:rPr>
          <w:rFonts w:cs="Arial"/>
          <w:i/>
          <w:szCs w:val="20"/>
          <w:lang w:val="sl-SI" w:eastAsia="sl-SI"/>
        </w:rPr>
        <w:t>–</w:t>
      </w:r>
      <w:r w:rsidRPr="005771BD">
        <w:rPr>
          <w:rFonts w:cs="Arial"/>
          <w:i/>
          <w:szCs w:val="20"/>
          <w:lang w:val="sl-SI" w:eastAsia="sl-SI"/>
        </w:rPr>
        <w:t xml:space="preserve">2014 </w:t>
      </w:r>
      <w:r w:rsidRPr="005771BD">
        <w:rPr>
          <w:rFonts w:cs="Arial"/>
          <w:i/>
          <w:iCs/>
          <w:szCs w:val="20"/>
          <w:lang w:val="sl-SI" w:eastAsia="sl-SI"/>
        </w:rPr>
        <w:t>(podatki ne vklju</w:t>
      </w:r>
      <w:r w:rsidRPr="005771BD">
        <w:rPr>
          <w:rFonts w:cs="Arial"/>
          <w:i/>
          <w:szCs w:val="20"/>
          <w:lang w:val="sl-SI" w:eastAsia="sl-SI"/>
        </w:rPr>
        <w:t>č</w:t>
      </w:r>
      <w:r w:rsidRPr="005771BD">
        <w:rPr>
          <w:rFonts w:cs="Arial"/>
          <w:i/>
          <w:iCs/>
          <w:szCs w:val="20"/>
          <w:lang w:val="sl-SI" w:eastAsia="sl-SI"/>
        </w:rPr>
        <w:t>ujejo rabe tal, spremembe rabe tal</w:t>
      </w:r>
      <w:r w:rsidRPr="005771BD">
        <w:rPr>
          <w:rFonts w:cs="Arial"/>
          <w:i/>
          <w:szCs w:val="20"/>
          <w:lang w:val="sl-SI" w:eastAsia="sl-SI"/>
        </w:rPr>
        <w:t xml:space="preserve"> </w:t>
      </w:r>
      <w:r w:rsidRPr="005771BD">
        <w:rPr>
          <w:rFonts w:cs="Arial"/>
          <w:i/>
          <w:iCs/>
          <w:szCs w:val="20"/>
          <w:lang w:val="sl-SI" w:eastAsia="sl-SI"/>
        </w:rPr>
        <w:t xml:space="preserve">in gozdarstva) </w:t>
      </w:r>
    </w:p>
    <w:p w:rsidR="00072419" w:rsidRPr="005771BD" w:rsidRDefault="00072419" w:rsidP="00072419">
      <w:pPr>
        <w:spacing w:after="200" w:line="276" w:lineRule="auto"/>
        <w:jc w:val="both"/>
        <w:rPr>
          <w:rFonts w:cs="Arial"/>
          <w:i/>
          <w:sz w:val="18"/>
          <w:szCs w:val="18"/>
          <w:lang w:val="sl-SI" w:eastAsia="sl-SI"/>
        </w:rPr>
      </w:pPr>
      <w:r w:rsidRPr="005771BD">
        <w:rPr>
          <w:rFonts w:cs="Arial"/>
          <w:i/>
          <w:iCs/>
          <w:sz w:val="18"/>
          <w:szCs w:val="18"/>
          <w:lang w:val="sl-SI" w:eastAsia="sl-SI"/>
        </w:rPr>
        <w:t>V</w:t>
      </w:r>
      <w:r w:rsidRPr="005771BD">
        <w:rPr>
          <w:rFonts w:cs="Arial"/>
          <w:i/>
          <w:sz w:val="18"/>
          <w:szCs w:val="18"/>
          <w:lang w:val="sl-SI" w:eastAsia="sl-SI"/>
        </w:rPr>
        <w:t>ir: GHG Data Viewer, Evropska agencija za okolje, 2016</w:t>
      </w:r>
    </w:p>
    <w:p w:rsidR="00072419" w:rsidRPr="005771BD" w:rsidRDefault="00072419" w:rsidP="00072419">
      <w:pPr>
        <w:spacing w:after="200" w:line="276" w:lineRule="auto"/>
        <w:jc w:val="both"/>
        <w:rPr>
          <w:rFonts w:cs="Arial"/>
          <w:szCs w:val="20"/>
          <w:lang w:val="sl-SI" w:eastAsia="sl-SI"/>
        </w:rPr>
      </w:pPr>
      <w:r w:rsidRPr="005771BD">
        <w:rPr>
          <w:rFonts w:cs="Arial"/>
          <w:szCs w:val="20"/>
          <w:lang w:val="sl-SI" w:eastAsia="sl-SI"/>
        </w:rPr>
        <w:t>Kljub temu, da so se skupne emisije TGP v letu 2014 v primerjavi z letom 2005 zmanjšale, pa je ostala njihova porazdelitev po sektorjih približno enaka z izjemo prometa, ki je svoj delež povečal na 33 % skupnih emisij TGP in energetike, ki je svoj delež zmanjšala na 27 %.</w:t>
      </w:r>
    </w:p>
    <w:p w:rsidR="00072419" w:rsidRPr="005771BD" w:rsidRDefault="00072419" w:rsidP="00072419">
      <w:pPr>
        <w:spacing w:after="200" w:line="276" w:lineRule="auto"/>
        <w:jc w:val="center"/>
        <w:rPr>
          <w:rFonts w:cs="Arial"/>
          <w:szCs w:val="20"/>
          <w:lang w:val="sl-SI" w:eastAsia="sl-SI"/>
        </w:rPr>
      </w:pPr>
      <w:r w:rsidRPr="007F272F">
        <w:rPr>
          <w:rFonts w:cs="Arial"/>
          <w:noProof/>
          <w:szCs w:val="20"/>
          <w:lang w:val="sl-SI" w:eastAsia="sl-SI"/>
        </w:rPr>
        <w:drawing>
          <wp:inline distT="0" distB="0" distL="0" distR="0" wp14:anchorId="637B28C0" wp14:editId="06D72FFC">
            <wp:extent cx="3381375" cy="1842334"/>
            <wp:effectExtent l="0" t="0" r="0" b="5715"/>
            <wp:docPr id="265" name="Slika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385524" cy="1844595"/>
                    </a:xfrm>
                    <a:prstGeom prst="rect">
                      <a:avLst/>
                    </a:prstGeom>
                    <a:noFill/>
                  </pic:spPr>
                </pic:pic>
              </a:graphicData>
            </a:graphic>
          </wp:inline>
        </w:drawing>
      </w:r>
      <w:r w:rsidRPr="009F7BAE">
        <w:rPr>
          <w:rFonts w:cs="Arial"/>
          <w:noProof/>
          <w:szCs w:val="20"/>
          <w:lang w:val="sl-SI" w:eastAsia="sl-SI"/>
        </w:rPr>
        <w:drawing>
          <wp:inline distT="0" distB="0" distL="0" distR="0" wp14:anchorId="08588F0C" wp14:editId="48747130">
            <wp:extent cx="3381375" cy="1865639"/>
            <wp:effectExtent l="0" t="0" r="0" b="1270"/>
            <wp:docPr id="266" name="Slika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381375" cy="1865639"/>
                    </a:xfrm>
                    <a:prstGeom prst="rect">
                      <a:avLst/>
                    </a:prstGeom>
                    <a:noFill/>
                  </pic:spPr>
                </pic:pic>
              </a:graphicData>
            </a:graphic>
          </wp:inline>
        </w:drawing>
      </w:r>
    </w:p>
    <w:p w:rsidR="00072419" w:rsidRPr="005771BD" w:rsidRDefault="00072419" w:rsidP="00072419">
      <w:pPr>
        <w:spacing w:line="276" w:lineRule="auto"/>
        <w:jc w:val="both"/>
        <w:rPr>
          <w:rFonts w:cs="Arial"/>
          <w:i/>
          <w:szCs w:val="20"/>
          <w:lang w:val="sl-SI" w:eastAsia="sl-SI"/>
        </w:rPr>
      </w:pPr>
      <w:r w:rsidRPr="005771BD">
        <w:rPr>
          <w:rFonts w:cs="Arial"/>
          <w:i/>
          <w:szCs w:val="20"/>
          <w:lang w:val="sl-SI" w:eastAsia="sl-SI"/>
        </w:rPr>
        <w:t xml:space="preserve">Slika </w:t>
      </w:r>
      <w:r w:rsidR="00FF4C0C">
        <w:rPr>
          <w:rFonts w:cs="Arial"/>
          <w:i/>
          <w:szCs w:val="20"/>
          <w:lang w:val="sl-SI" w:eastAsia="sl-SI"/>
        </w:rPr>
        <w:t>10</w:t>
      </w:r>
      <w:r w:rsidRPr="005771BD">
        <w:rPr>
          <w:rFonts w:cs="Arial"/>
          <w:i/>
          <w:szCs w:val="20"/>
          <w:lang w:val="sl-SI" w:eastAsia="sl-SI"/>
        </w:rPr>
        <w:t>.5: Delež skupnih emisij TGP po sektorjih leta 2005 in 2014</w:t>
      </w:r>
    </w:p>
    <w:p w:rsidR="00072419" w:rsidRPr="005771BD" w:rsidRDefault="00072419" w:rsidP="00072419">
      <w:pPr>
        <w:spacing w:after="360" w:line="276" w:lineRule="auto"/>
        <w:jc w:val="both"/>
        <w:rPr>
          <w:rFonts w:cs="Arial"/>
          <w:i/>
          <w:sz w:val="18"/>
          <w:szCs w:val="18"/>
          <w:lang w:val="sl-SI" w:eastAsia="sl-SI"/>
        </w:rPr>
      </w:pPr>
      <w:r w:rsidRPr="005771BD">
        <w:rPr>
          <w:rFonts w:cs="Arial"/>
          <w:i/>
          <w:sz w:val="18"/>
          <w:szCs w:val="18"/>
          <w:lang w:val="sl-SI" w:eastAsia="sl-SI"/>
        </w:rPr>
        <w:t>Vir: GHG Data Viewer, Evropska agencija za okolje, 2016</w:t>
      </w:r>
    </w:p>
    <w:p w:rsidR="00072419" w:rsidRPr="005771BD" w:rsidRDefault="00072419" w:rsidP="00072419">
      <w:pPr>
        <w:spacing w:after="200" w:line="276" w:lineRule="auto"/>
        <w:jc w:val="both"/>
        <w:rPr>
          <w:rFonts w:cs="Arial"/>
          <w:szCs w:val="20"/>
          <w:lang w:val="sl-SI" w:eastAsia="sl-SI"/>
        </w:rPr>
      </w:pPr>
      <w:r w:rsidRPr="005771BD">
        <w:rPr>
          <w:rFonts w:cs="Arial"/>
          <w:szCs w:val="20"/>
          <w:lang w:val="sl-SI" w:eastAsia="sl-SI"/>
        </w:rPr>
        <w:t>Skupne emisije TGP so se leta 2014 v primerjavi z letom 2005 v Evropski uniji zmanjšale za 17,9 %. Italija, Portugalska, Grčija, Romunija in Španija so svoje emisije v povprečju zmanjšale za več kot 25 %, Estonija in Islandija pa sta jih povečali za več kot 15 %.</w:t>
      </w:r>
    </w:p>
    <w:p w:rsidR="00072419" w:rsidRPr="005771BD" w:rsidRDefault="00072419" w:rsidP="00072419">
      <w:pPr>
        <w:spacing w:after="200" w:line="276" w:lineRule="auto"/>
        <w:jc w:val="center"/>
        <w:rPr>
          <w:rFonts w:cs="Arial"/>
          <w:szCs w:val="20"/>
          <w:lang w:val="sl-SI" w:eastAsia="sl-SI"/>
        </w:rPr>
      </w:pPr>
      <w:r w:rsidRPr="007F272F">
        <w:rPr>
          <w:rFonts w:cs="Arial"/>
          <w:noProof/>
          <w:szCs w:val="20"/>
          <w:lang w:val="sl-SI" w:eastAsia="sl-SI"/>
        </w:rPr>
        <w:drawing>
          <wp:inline distT="0" distB="0" distL="0" distR="0" wp14:anchorId="36271043" wp14:editId="13A79B4E">
            <wp:extent cx="5285740" cy="2658110"/>
            <wp:effectExtent l="0" t="0" r="0" b="8890"/>
            <wp:docPr id="267" name="Slika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285740" cy="2658110"/>
                    </a:xfrm>
                    <a:prstGeom prst="rect">
                      <a:avLst/>
                    </a:prstGeom>
                    <a:noFill/>
                  </pic:spPr>
                </pic:pic>
              </a:graphicData>
            </a:graphic>
          </wp:inline>
        </w:drawing>
      </w:r>
    </w:p>
    <w:p w:rsidR="00072419" w:rsidRPr="005771BD" w:rsidRDefault="00072419" w:rsidP="00072419">
      <w:pPr>
        <w:spacing w:line="276" w:lineRule="auto"/>
        <w:jc w:val="both"/>
        <w:rPr>
          <w:rFonts w:cs="Arial"/>
          <w:szCs w:val="20"/>
          <w:lang w:val="sl-SI" w:eastAsia="sl-SI"/>
        </w:rPr>
      </w:pPr>
      <w:r w:rsidRPr="005771BD">
        <w:rPr>
          <w:rFonts w:cs="Arial"/>
          <w:szCs w:val="20"/>
          <w:lang w:val="sl-SI" w:eastAsia="sl-SI"/>
        </w:rPr>
        <w:t xml:space="preserve">Slika </w:t>
      </w:r>
      <w:r w:rsidR="00FF4C0C">
        <w:rPr>
          <w:rFonts w:cs="Arial"/>
          <w:szCs w:val="20"/>
          <w:lang w:val="sl-SI" w:eastAsia="sl-SI"/>
        </w:rPr>
        <w:t>10</w:t>
      </w:r>
      <w:r w:rsidRPr="005771BD">
        <w:rPr>
          <w:rFonts w:cs="Arial"/>
          <w:szCs w:val="20"/>
          <w:lang w:val="sl-SI" w:eastAsia="sl-SI"/>
        </w:rPr>
        <w:t>. 6: Skupne emisije TGP držav članic EU leta 2005 in 2014</w:t>
      </w:r>
    </w:p>
    <w:p w:rsidR="00072419" w:rsidRPr="005771BD" w:rsidRDefault="00072419" w:rsidP="00072419">
      <w:pPr>
        <w:spacing w:after="360" w:line="276" w:lineRule="auto"/>
        <w:jc w:val="both"/>
        <w:rPr>
          <w:rFonts w:cs="Arial"/>
          <w:i/>
          <w:sz w:val="18"/>
          <w:szCs w:val="18"/>
          <w:lang w:val="sl-SI" w:eastAsia="sl-SI"/>
        </w:rPr>
      </w:pPr>
      <w:r w:rsidRPr="005771BD">
        <w:rPr>
          <w:rFonts w:cs="Arial"/>
          <w:sz w:val="18"/>
          <w:szCs w:val="18"/>
          <w:lang w:val="sl-SI" w:eastAsia="sl-SI"/>
        </w:rPr>
        <w:t>Vir: GHG Data Viewer, Evropska</w:t>
      </w:r>
      <w:r w:rsidRPr="005771BD">
        <w:rPr>
          <w:rFonts w:cs="Arial"/>
          <w:i/>
          <w:sz w:val="18"/>
          <w:szCs w:val="18"/>
          <w:lang w:val="sl-SI" w:eastAsia="sl-SI"/>
        </w:rPr>
        <w:t xml:space="preserve"> agencija za okolje, 2016</w:t>
      </w:r>
    </w:p>
    <w:p w:rsidR="00072419" w:rsidRPr="005771BD" w:rsidRDefault="00072419" w:rsidP="00072419">
      <w:pPr>
        <w:spacing w:after="200" w:line="276" w:lineRule="auto"/>
        <w:jc w:val="both"/>
        <w:rPr>
          <w:rFonts w:cs="Arial"/>
          <w:szCs w:val="20"/>
          <w:lang w:val="sl-SI" w:eastAsia="sl-SI"/>
        </w:rPr>
      </w:pPr>
      <w:r w:rsidRPr="005771BD">
        <w:rPr>
          <w:rFonts w:cs="Arial"/>
          <w:szCs w:val="20"/>
          <w:lang w:val="sl-SI" w:eastAsia="sl-SI"/>
        </w:rPr>
        <w:t>Največje zmanjšanje emisij v Evropski uniji je</w:t>
      </w:r>
      <w:r>
        <w:rPr>
          <w:rFonts w:cs="Arial"/>
          <w:szCs w:val="20"/>
          <w:lang w:val="sl-SI" w:eastAsia="sl-SI"/>
        </w:rPr>
        <w:t xml:space="preserve"> bilo</w:t>
      </w:r>
      <w:r w:rsidRPr="005771BD">
        <w:rPr>
          <w:rFonts w:cs="Arial"/>
          <w:szCs w:val="20"/>
          <w:lang w:val="sl-SI" w:eastAsia="sl-SI"/>
        </w:rPr>
        <w:t xml:space="preserve"> v letu 2014 glede na leto 2005 v sektorju odpadkov</w:t>
      </w:r>
      <w:r>
        <w:rPr>
          <w:rFonts w:cs="Arial"/>
          <w:szCs w:val="20"/>
          <w:lang w:val="sl-SI" w:eastAsia="sl-SI"/>
        </w:rPr>
        <w:t>,</w:t>
      </w:r>
      <w:r w:rsidRPr="005771BD">
        <w:rPr>
          <w:rFonts w:cs="Arial"/>
          <w:szCs w:val="20"/>
          <w:lang w:val="sl-SI" w:eastAsia="sl-SI"/>
        </w:rPr>
        <w:t xml:space="preserve"> in sicer za 29,4 %, sektorj</w:t>
      </w:r>
      <w:r>
        <w:rPr>
          <w:rFonts w:cs="Arial"/>
          <w:szCs w:val="20"/>
          <w:lang w:val="sl-SI" w:eastAsia="sl-SI"/>
        </w:rPr>
        <w:t>u</w:t>
      </w:r>
      <w:r w:rsidRPr="005771BD">
        <w:rPr>
          <w:rFonts w:cs="Arial"/>
          <w:szCs w:val="20"/>
          <w:lang w:val="sl-SI" w:eastAsia="sl-SI"/>
        </w:rPr>
        <w:t xml:space="preserve"> rabe goriv v industriji z</w:t>
      </w:r>
      <w:r>
        <w:rPr>
          <w:rFonts w:cs="Arial"/>
          <w:szCs w:val="20"/>
          <w:lang w:val="sl-SI" w:eastAsia="sl-SI"/>
        </w:rPr>
        <w:t>a</w:t>
      </w:r>
      <w:r w:rsidRPr="005771BD">
        <w:rPr>
          <w:rFonts w:cs="Arial"/>
          <w:szCs w:val="20"/>
          <w:lang w:val="sl-SI" w:eastAsia="sl-SI"/>
        </w:rPr>
        <w:t xml:space="preserve"> 23,3 %, rabe goriv v široki rabi z</w:t>
      </w:r>
      <w:r>
        <w:rPr>
          <w:rFonts w:cs="Arial"/>
          <w:szCs w:val="20"/>
          <w:lang w:val="sl-SI" w:eastAsia="sl-SI"/>
        </w:rPr>
        <w:t>a</w:t>
      </w:r>
      <w:r w:rsidRPr="005771BD">
        <w:rPr>
          <w:rFonts w:cs="Arial"/>
          <w:szCs w:val="20"/>
          <w:lang w:val="sl-SI" w:eastAsia="sl-SI"/>
        </w:rPr>
        <w:t xml:space="preserve"> 22,5 %, </w:t>
      </w:r>
      <w:r>
        <w:rPr>
          <w:rFonts w:cs="Arial"/>
          <w:szCs w:val="20"/>
          <w:lang w:val="sl-SI" w:eastAsia="sl-SI"/>
        </w:rPr>
        <w:t xml:space="preserve">v </w:t>
      </w:r>
      <w:r w:rsidRPr="005771BD">
        <w:rPr>
          <w:rFonts w:cs="Arial"/>
          <w:szCs w:val="20"/>
          <w:lang w:val="sl-SI" w:eastAsia="sl-SI"/>
        </w:rPr>
        <w:t>energetik</w:t>
      </w:r>
      <w:r>
        <w:rPr>
          <w:rFonts w:cs="Arial"/>
          <w:szCs w:val="20"/>
          <w:lang w:val="sl-SI" w:eastAsia="sl-SI"/>
        </w:rPr>
        <w:t>i za</w:t>
      </w:r>
      <w:r w:rsidRPr="005771BD">
        <w:rPr>
          <w:rFonts w:cs="Arial"/>
          <w:szCs w:val="20"/>
          <w:lang w:val="sl-SI" w:eastAsia="sl-SI"/>
        </w:rPr>
        <w:t xml:space="preserve"> 22,0 %, </w:t>
      </w:r>
      <w:r>
        <w:rPr>
          <w:rFonts w:cs="Arial"/>
          <w:szCs w:val="20"/>
          <w:lang w:val="sl-SI" w:eastAsia="sl-SI"/>
        </w:rPr>
        <w:t xml:space="preserve">pri </w:t>
      </w:r>
      <w:r w:rsidRPr="005771BD">
        <w:rPr>
          <w:rFonts w:cs="Arial"/>
          <w:szCs w:val="20"/>
          <w:lang w:val="sl-SI" w:eastAsia="sl-SI"/>
        </w:rPr>
        <w:t>industrijski</w:t>
      </w:r>
      <w:r>
        <w:rPr>
          <w:rFonts w:cs="Arial"/>
          <w:szCs w:val="20"/>
          <w:lang w:val="sl-SI" w:eastAsia="sl-SI"/>
        </w:rPr>
        <w:t>h</w:t>
      </w:r>
      <w:r w:rsidRPr="005771BD">
        <w:rPr>
          <w:rFonts w:cs="Arial"/>
          <w:szCs w:val="20"/>
          <w:lang w:val="sl-SI" w:eastAsia="sl-SI"/>
        </w:rPr>
        <w:t xml:space="preserve"> procesi</w:t>
      </w:r>
      <w:r>
        <w:rPr>
          <w:rFonts w:cs="Arial"/>
          <w:szCs w:val="20"/>
          <w:lang w:val="sl-SI" w:eastAsia="sl-SI"/>
        </w:rPr>
        <w:t>h</w:t>
      </w:r>
      <w:r w:rsidRPr="005771BD">
        <w:rPr>
          <w:rFonts w:cs="Arial"/>
          <w:szCs w:val="20"/>
          <w:lang w:val="sl-SI" w:eastAsia="sl-SI"/>
        </w:rPr>
        <w:t xml:space="preserve"> z</w:t>
      </w:r>
      <w:r>
        <w:rPr>
          <w:rFonts w:cs="Arial"/>
          <w:szCs w:val="20"/>
          <w:lang w:val="sl-SI" w:eastAsia="sl-SI"/>
        </w:rPr>
        <w:t>a</w:t>
      </w:r>
      <w:r w:rsidRPr="005771BD">
        <w:rPr>
          <w:rFonts w:cs="Arial"/>
          <w:szCs w:val="20"/>
          <w:lang w:val="sl-SI" w:eastAsia="sl-SI"/>
        </w:rPr>
        <w:t xml:space="preserve"> 17,6 %, </w:t>
      </w:r>
      <w:r>
        <w:rPr>
          <w:rFonts w:cs="Arial"/>
          <w:szCs w:val="20"/>
          <w:lang w:val="sl-SI" w:eastAsia="sl-SI"/>
        </w:rPr>
        <w:t xml:space="preserve">v </w:t>
      </w:r>
      <w:r w:rsidRPr="005771BD">
        <w:rPr>
          <w:rFonts w:cs="Arial"/>
          <w:szCs w:val="20"/>
          <w:lang w:val="sl-SI" w:eastAsia="sl-SI"/>
        </w:rPr>
        <w:t>promet</w:t>
      </w:r>
      <w:r>
        <w:rPr>
          <w:rFonts w:cs="Arial"/>
          <w:szCs w:val="20"/>
          <w:lang w:val="sl-SI" w:eastAsia="sl-SI"/>
        </w:rPr>
        <w:t>u</w:t>
      </w:r>
      <w:r w:rsidRPr="005771BD">
        <w:rPr>
          <w:rFonts w:cs="Arial"/>
          <w:szCs w:val="20"/>
          <w:lang w:val="sl-SI" w:eastAsia="sl-SI"/>
        </w:rPr>
        <w:t xml:space="preserve"> z</w:t>
      </w:r>
      <w:r>
        <w:rPr>
          <w:rFonts w:cs="Arial"/>
          <w:szCs w:val="20"/>
          <w:lang w:val="sl-SI" w:eastAsia="sl-SI"/>
        </w:rPr>
        <w:t>a</w:t>
      </w:r>
      <w:r w:rsidRPr="005771BD">
        <w:rPr>
          <w:rFonts w:cs="Arial"/>
          <w:szCs w:val="20"/>
          <w:lang w:val="sl-SI" w:eastAsia="sl-SI"/>
        </w:rPr>
        <w:t xml:space="preserve"> 8,5 % in </w:t>
      </w:r>
      <w:r>
        <w:rPr>
          <w:rFonts w:cs="Arial"/>
          <w:szCs w:val="20"/>
          <w:lang w:val="sl-SI" w:eastAsia="sl-SI"/>
        </w:rPr>
        <w:t xml:space="preserve">v </w:t>
      </w:r>
      <w:r w:rsidRPr="005771BD">
        <w:rPr>
          <w:rFonts w:cs="Arial"/>
          <w:szCs w:val="20"/>
          <w:lang w:val="sl-SI" w:eastAsia="sl-SI"/>
        </w:rPr>
        <w:t>sektor</w:t>
      </w:r>
      <w:r>
        <w:rPr>
          <w:rFonts w:cs="Arial"/>
          <w:szCs w:val="20"/>
          <w:lang w:val="sl-SI" w:eastAsia="sl-SI"/>
        </w:rPr>
        <w:t>ju</w:t>
      </w:r>
      <w:r w:rsidRPr="005771BD">
        <w:rPr>
          <w:rFonts w:cs="Arial"/>
          <w:szCs w:val="20"/>
          <w:lang w:val="sl-SI" w:eastAsia="sl-SI"/>
        </w:rPr>
        <w:t xml:space="preserve"> kmetijstva z</w:t>
      </w:r>
      <w:r>
        <w:rPr>
          <w:rFonts w:cs="Arial"/>
          <w:szCs w:val="20"/>
          <w:lang w:val="sl-SI" w:eastAsia="sl-SI"/>
        </w:rPr>
        <w:t>a</w:t>
      </w:r>
      <w:r w:rsidRPr="005771BD">
        <w:rPr>
          <w:rFonts w:cs="Arial"/>
          <w:szCs w:val="20"/>
          <w:lang w:val="sl-SI" w:eastAsia="sl-SI"/>
        </w:rPr>
        <w:t xml:space="preserve"> 0,8 %.</w:t>
      </w:r>
    </w:p>
    <w:p w:rsidR="00072419" w:rsidRPr="005771BD" w:rsidRDefault="00072419" w:rsidP="00072419">
      <w:pPr>
        <w:spacing w:after="200" w:line="276" w:lineRule="auto"/>
        <w:jc w:val="center"/>
        <w:rPr>
          <w:rFonts w:cs="Arial"/>
          <w:szCs w:val="20"/>
          <w:lang w:val="sl-SI" w:eastAsia="sl-SI"/>
        </w:rPr>
      </w:pPr>
      <w:r w:rsidRPr="007F272F">
        <w:rPr>
          <w:rFonts w:cs="Arial"/>
          <w:noProof/>
          <w:szCs w:val="20"/>
          <w:lang w:val="sl-SI" w:eastAsia="sl-SI"/>
        </w:rPr>
        <w:drawing>
          <wp:inline distT="0" distB="0" distL="0" distR="0" wp14:anchorId="1FFDC552" wp14:editId="6587A74A">
            <wp:extent cx="4360762" cy="2292823"/>
            <wp:effectExtent l="0" t="0" r="1905" b="0"/>
            <wp:docPr id="269" name="Slika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365432" cy="2295278"/>
                    </a:xfrm>
                    <a:prstGeom prst="rect">
                      <a:avLst/>
                    </a:prstGeom>
                    <a:noFill/>
                  </pic:spPr>
                </pic:pic>
              </a:graphicData>
            </a:graphic>
          </wp:inline>
        </w:drawing>
      </w:r>
    </w:p>
    <w:p w:rsidR="00072419" w:rsidRPr="005771BD" w:rsidRDefault="00072419" w:rsidP="00072419">
      <w:pPr>
        <w:spacing w:line="276" w:lineRule="auto"/>
        <w:jc w:val="both"/>
        <w:rPr>
          <w:rFonts w:cs="Arial"/>
          <w:i/>
          <w:szCs w:val="20"/>
          <w:lang w:val="sl-SI" w:eastAsia="sl-SI"/>
        </w:rPr>
      </w:pPr>
      <w:r w:rsidRPr="005771BD">
        <w:rPr>
          <w:rFonts w:cs="Arial"/>
          <w:i/>
          <w:szCs w:val="20"/>
          <w:lang w:val="sl-SI" w:eastAsia="sl-SI"/>
        </w:rPr>
        <w:t xml:space="preserve">Slika </w:t>
      </w:r>
      <w:r w:rsidR="00FF4C0C">
        <w:rPr>
          <w:rFonts w:cs="Arial"/>
          <w:i/>
          <w:szCs w:val="20"/>
          <w:lang w:val="sl-SI" w:eastAsia="sl-SI"/>
        </w:rPr>
        <w:t>10</w:t>
      </w:r>
      <w:r w:rsidRPr="005771BD">
        <w:rPr>
          <w:rFonts w:cs="Arial"/>
          <w:i/>
          <w:szCs w:val="20"/>
          <w:lang w:val="sl-SI" w:eastAsia="sl-SI"/>
        </w:rPr>
        <w:t>.7: Primerjava emisij TGP po sektorjih držav članic EU leta 2005 in 2014</w:t>
      </w:r>
    </w:p>
    <w:p w:rsidR="00072419" w:rsidRPr="005771BD" w:rsidRDefault="00072419" w:rsidP="00072419">
      <w:pPr>
        <w:spacing w:after="360" w:line="276" w:lineRule="auto"/>
        <w:jc w:val="both"/>
        <w:rPr>
          <w:rFonts w:cs="Arial"/>
          <w:i/>
          <w:sz w:val="18"/>
          <w:szCs w:val="18"/>
          <w:lang w:val="sl-SI" w:eastAsia="sl-SI"/>
        </w:rPr>
      </w:pPr>
      <w:r w:rsidRPr="005771BD">
        <w:rPr>
          <w:rFonts w:cs="Arial"/>
          <w:i/>
          <w:sz w:val="18"/>
          <w:szCs w:val="18"/>
          <w:lang w:val="sl-SI" w:eastAsia="sl-SI"/>
        </w:rPr>
        <w:t>Vir: GHG Data Viewer, Evropska agencija za okolje, 2016</w:t>
      </w:r>
    </w:p>
    <w:p w:rsidR="00072419" w:rsidRPr="005771BD" w:rsidRDefault="00072419" w:rsidP="00072419">
      <w:pPr>
        <w:spacing w:after="200" w:line="276" w:lineRule="auto"/>
        <w:jc w:val="both"/>
        <w:rPr>
          <w:rFonts w:cs="Arial"/>
          <w:szCs w:val="20"/>
          <w:lang w:val="sl-SI" w:eastAsia="sl-SI"/>
        </w:rPr>
      </w:pPr>
      <w:r w:rsidRPr="005771BD">
        <w:rPr>
          <w:rFonts w:cs="Arial"/>
          <w:szCs w:val="20"/>
          <w:lang w:val="sl-SI" w:eastAsia="sl-SI"/>
        </w:rPr>
        <w:t>Za analizo emisij TGP je pomembno podrobno analizirati energetske vire emisij, pri čemer gre za emisije, ki so posledica zgorevanja goriv. Pri tem gre za t. i. emisije TGP iz rabe energije, ki vključujejo emisije iz zgorevanja goriv v proizvodnji električne energije in toplote (transformacije), v industriji in gradbeništvu, prometu in drugih sektorjih, ki vključujejo gospodinjstva, storitveni sektor ter kmetijstvo in gozdarstvo. Poleg teh emisij so upoštevane tudi emisije, ki ne nastajajo neposredno zaradi zgorevanja goriv, so pa z energijo povezane, in sicer t.</w:t>
      </w:r>
      <w:r>
        <w:rPr>
          <w:rFonts w:cs="Arial"/>
          <w:szCs w:val="20"/>
          <w:lang w:val="sl-SI" w:eastAsia="sl-SI"/>
        </w:rPr>
        <w:t xml:space="preserve"> </w:t>
      </w:r>
      <w:r w:rsidRPr="005771BD">
        <w:rPr>
          <w:rFonts w:cs="Arial"/>
          <w:szCs w:val="20"/>
          <w:lang w:val="sl-SI" w:eastAsia="sl-SI"/>
        </w:rPr>
        <w:t xml:space="preserve">i. ubežne emisije, ki nastajajo pri pridobivanju premoga (premogovniki), transportu in distribuciji zemeljskega plina ter razžveplanju v termoelektrarnah. </w:t>
      </w:r>
    </w:p>
    <w:p w:rsidR="00072419" w:rsidRPr="005771BD" w:rsidRDefault="00072419" w:rsidP="00072419">
      <w:pPr>
        <w:spacing w:after="200" w:line="276" w:lineRule="auto"/>
        <w:jc w:val="both"/>
        <w:rPr>
          <w:rFonts w:cs="Arial"/>
          <w:szCs w:val="20"/>
          <w:lang w:val="sl-SI" w:eastAsia="sl-SI"/>
        </w:rPr>
      </w:pPr>
      <w:r w:rsidRPr="005771BD">
        <w:rPr>
          <w:rFonts w:cs="Arial"/>
          <w:szCs w:val="20"/>
          <w:lang w:val="sl-SI" w:eastAsia="sl-SI"/>
        </w:rPr>
        <w:t>Skupne emisije TGP iz sektorja rabe energije so leta 2014 znašale 13.254 kt CO</w:t>
      </w:r>
      <w:r w:rsidRPr="005771BD">
        <w:rPr>
          <w:rFonts w:cs="Arial"/>
          <w:szCs w:val="20"/>
          <w:vertAlign w:val="subscript"/>
          <w:lang w:val="sl-SI" w:eastAsia="sl-SI"/>
        </w:rPr>
        <w:t>2</w:t>
      </w:r>
      <w:r w:rsidRPr="005771BD">
        <w:rPr>
          <w:rFonts w:cs="Arial"/>
          <w:szCs w:val="20"/>
          <w:lang w:val="sl-SI" w:eastAsia="sl-SI"/>
        </w:rPr>
        <w:t xml:space="preserve"> ekv., kar pomeni 79,9 % skupnih emisij in v primerjavi z letom 2005 zmanjša</w:t>
      </w:r>
      <w:r>
        <w:rPr>
          <w:rFonts w:cs="Arial"/>
          <w:szCs w:val="20"/>
          <w:lang w:val="sl-SI" w:eastAsia="sl-SI"/>
        </w:rPr>
        <w:t>nje</w:t>
      </w:r>
      <w:r w:rsidRPr="005771BD">
        <w:rPr>
          <w:rFonts w:cs="Arial"/>
          <w:szCs w:val="20"/>
          <w:lang w:val="sl-SI" w:eastAsia="sl-SI"/>
        </w:rPr>
        <w:t xml:space="preserve"> za 19,8 %. </w:t>
      </w:r>
    </w:p>
    <w:p w:rsidR="00072419" w:rsidRPr="005771BD" w:rsidRDefault="00072419" w:rsidP="00072419">
      <w:pPr>
        <w:spacing w:after="200" w:line="276" w:lineRule="auto"/>
        <w:jc w:val="center"/>
        <w:rPr>
          <w:rFonts w:cs="Arial"/>
          <w:szCs w:val="20"/>
          <w:lang w:val="sl-SI" w:eastAsia="sl-SI"/>
        </w:rPr>
      </w:pPr>
      <w:r w:rsidRPr="007F272F">
        <w:rPr>
          <w:rFonts w:cs="Arial"/>
          <w:noProof/>
          <w:szCs w:val="20"/>
          <w:lang w:val="sl-SI" w:eastAsia="sl-SI"/>
        </w:rPr>
        <w:drawing>
          <wp:inline distT="0" distB="0" distL="0" distR="0" wp14:anchorId="2029AD2F" wp14:editId="79E59BBE">
            <wp:extent cx="4339988" cy="2224002"/>
            <wp:effectExtent l="0" t="0" r="3810" b="5080"/>
            <wp:docPr id="270" name="Slika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332979" cy="2220410"/>
                    </a:xfrm>
                    <a:prstGeom prst="rect">
                      <a:avLst/>
                    </a:prstGeom>
                    <a:noFill/>
                  </pic:spPr>
                </pic:pic>
              </a:graphicData>
            </a:graphic>
          </wp:inline>
        </w:drawing>
      </w:r>
    </w:p>
    <w:p w:rsidR="00072419" w:rsidRPr="005771BD" w:rsidRDefault="00072419" w:rsidP="00072419">
      <w:pPr>
        <w:spacing w:line="276" w:lineRule="auto"/>
        <w:jc w:val="both"/>
        <w:rPr>
          <w:rFonts w:cs="Arial"/>
          <w:bCs/>
          <w:i/>
          <w:szCs w:val="20"/>
          <w:lang w:val="sl-SI" w:eastAsia="sl-SI"/>
        </w:rPr>
      </w:pPr>
      <w:r w:rsidRPr="005771BD">
        <w:rPr>
          <w:rFonts w:cs="Arial"/>
          <w:i/>
          <w:szCs w:val="20"/>
          <w:lang w:val="sl-SI" w:eastAsia="sl-SI"/>
        </w:rPr>
        <w:t xml:space="preserve">Slika </w:t>
      </w:r>
      <w:r w:rsidR="00FF4C0C">
        <w:rPr>
          <w:rFonts w:cs="Arial"/>
          <w:i/>
          <w:szCs w:val="20"/>
          <w:lang w:val="sl-SI" w:eastAsia="sl-SI"/>
        </w:rPr>
        <w:t>10</w:t>
      </w:r>
      <w:r w:rsidRPr="005771BD">
        <w:rPr>
          <w:rFonts w:cs="Arial"/>
          <w:i/>
          <w:szCs w:val="20"/>
          <w:lang w:val="sl-SI" w:eastAsia="sl-SI"/>
        </w:rPr>
        <w:t xml:space="preserve">.8: Porazdelitev </w:t>
      </w:r>
      <w:r w:rsidRPr="005771BD">
        <w:rPr>
          <w:rFonts w:cs="Arial"/>
          <w:bCs/>
          <w:i/>
          <w:szCs w:val="20"/>
          <w:lang w:val="sl-SI" w:eastAsia="sl-SI"/>
        </w:rPr>
        <w:t>emisij TGP iz rabe energije v obdobju 2005</w:t>
      </w:r>
      <w:r>
        <w:rPr>
          <w:rFonts w:cs="Arial"/>
          <w:bCs/>
          <w:i/>
          <w:szCs w:val="20"/>
          <w:lang w:val="sl-SI" w:eastAsia="sl-SI"/>
        </w:rPr>
        <w:t>–</w:t>
      </w:r>
      <w:r w:rsidRPr="005771BD">
        <w:rPr>
          <w:rFonts w:cs="Arial"/>
          <w:bCs/>
          <w:i/>
          <w:szCs w:val="20"/>
          <w:lang w:val="sl-SI" w:eastAsia="sl-SI"/>
        </w:rPr>
        <w:t>2014</w:t>
      </w:r>
    </w:p>
    <w:p w:rsidR="00072419" w:rsidRPr="005771BD" w:rsidRDefault="00072419" w:rsidP="00072419">
      <w:pPr>
        <w:spacing w:after="200" w:line="276" w:lineRule="auto"/>
        <w:jc w:val="both"/>
        <w:rPr>
          <w:rFonts w:cs="Arial"/>
          <w:i/>
          <w:szCs w:val="20"/>
          <w:lang w:val="sl-SI" w:eastAsia="sl-SI"/>
        </w:rPr>
      </w:pPr>
      <w:r w:rsidRPr="005771BD">
        <w:rPr>
          <w:rFonts w:cs="Arial"/>
          <w:i/>
          <w:szCs w:val="20"/>
          <w:lang w:val="sl-SI" w:eastAsia="sl-SI"/>
        </w:rPr>
        <w:t>Vir: Agencija Republike Slovenije za okolje, 2014</w:t>
      </w:r>
    </w:p>
    <w:p w:rsidR="00072419" w:rsidRPr="005771BD" w:rsidRDefault="00072419" w:rsidP="00072419">
      <w:pPr>
        <w:spacing w:after="200" w:line="276" w:lineRule="auto"/>
        <w:jc w:val="both"/>
        <w:rPr>
          <w:rFonts w:eastAsia="MyriadPro-LightSemiCn" w:cs="Arial"/>
          <w:szCs w:val="20"/>
          <w:lang w:val="sl-SI" w:eastAsia="sl-SI"/>
        </w:rPr>
      </w:pPr>
      <w:r w:rsidRPr="005771BD">
        <w:rPr>
          <w:rFonts w:eastAsia="MyriadPro-LightSemiCn" w:cs="Arial"/>
          <w:szCs w:val="20"/>
          <w:lang w:val="sl-SI" w:eastAsia="sl-SI"/>
        </w:rPr>
        <w:t xml:space="preserve">Največ emisij TGP iz rabe energije je </w:t>
      </w:r>
      <w:r>
        <w:rPr>
          <w:rFonts w:eastAsia="MyriadPro-LightSemiCn" w:cs="Arial"/>
          <w:szCs w:val="20"/>
          <w:lang w:val="sl-SI" w:eastAsia="sl-SI"/>
        </w:rPr>
        <w:t xml:space="preserve">bilo </w:t>
      </w:r>
      <w:r w:rsidRPr="005771BD">
        <w:rPr>
          <w:rFonts w:eastAsia="MyriadPro-LightSemiCn" w:cs="Arial"/>
          <w:szCs w:val="20"/>
          <w:lang w:val="sl-SI" w:eastAsia="sl-SI"/>
        </w:rPr>
        <w:t xml:space="preserve">leta 2014 </w:t>
      </w:r>
      <w:r>
        <w:rPr>
          <w:rFonts w:eastAsia="MyriadPro-LightSemiCn" w:cs="Arial"/>
          <w:szCs w:val="20"/>
          <w:lang w:val="sl-SI" w:eastAsia="sl-SI"/>
        </w:rPr>
        <w:t>v sektorju</w:t>
      </w:r>
      <w:r w:rsidRPr="005771BD">
        <w:rPr>
          <w:rFonts w:eastAsia="MyriadPro-LightSemiCn" w:cs="Arial"/>
          <w:szCs w:val="20"/>
          <w:lang w:val="sl-SI" w:eastAsia="sl-SI"/>
        </w:rPr>
        <w:t xml:space="preserve"> promet </w:t>
      </w:r>
      <w:r>
        <w:rPr>
          <w:rFonts w:eastAsia="MyriadPro-LightSemiCn" w:cs="Arial"/>
          <w:szCs w:val="20"/>
          <w:lang w:val="sl-SI" w:eastAsia="sl-SI"/>
        </w:rPr>
        <w:t>(</w:t>
      </w:r>
      <w:r w:rsidRPr="005771BD">
        <w:rPr>
          <w:rFonts w:eastAsia="MyriadPro-LightSemiCn" w:cs="Arial"/>
          <w:szCs w:val="20"/>
          <w:lang w:val="sl-SI" w:eastAsia="sl-SI"/>
        </w:rPr>
        <w:t>40,6 %</w:t>
      </w:r>
      <w:r>
        <w:rPr>
          <w:rFonts w:eastAsia="MyriadPro-LightSemiCn" w:cs="Arial"/>
          <w:szCs w:val="20"/>
          <w:lang w:val="sl-SI" w:eastAsia="sl-SI"/>
        </w:rPr>
        <w:t>)</w:t>
      </w:r>
      <w:r w:rsidRPr="005771BD">
        <w:rPr>
          <w:rFonts w:eastAsia="MyriadPro-LightSemiCn" w:cs="Arial"/>
          <w:szCs w:val="20"/>
          <w:lang w:val="sl-SI" w:eastAsia="sl-SI"/>
        </w:rPr>
        <w:t>, proizvodnj</w:t>
      </w:r>
      <w:r>
        <w:rPr>
          <w:rFonts w:eastAsia="MyriadPro-LightSemiCn" w:cs="Arial"/>
          <w:szCs w:val="20"/>
          <w:lang w:val="sl-SI" w:eastAsia="sl-SI"/>
        </w:rPr>
        <w:t>a</w:t>
      </w:r>
      <w:r w:rsidRPr="005771BD">
        <w:rPr>
          <w:rFonts w:eastAsia="MyriadPro-LightSemiCn" w:cs="Arial"/>
          <w:szCs w:val="20"/>
          <w:lang w:val="sl-SI" w:eastAsia="sl-SI"/>
        </w:rPr>
        <w:t xml:space="preserve"> električne energije in toplote </w:t>
      </w:r>
      <w:r>
        <w:rPr>
          <w:rFonts w:eastAsia="MyriadPro-LightSemiCn" w:cs="Arial"/>
          <w:szCs w:val="20"/>
          <w:lang w:val="sl-SI" w:eastAsia="sl-SI"/>
        </w:rPr>
        <w:t>(</w:t>
      </w:r>
      <w:r w:rsidRPr="005771BD">
        <w:rPr>
          <w:rFonts w:eastAsia="MyriadPro-LightSemiCn" w:cs="Arial"/>
          <w:szCs w:val="20"/>
          <w:lang w:val="sl-SI" w:eastAsia="sl-SI"/>
        </w:rPr>
        <w:t>33,6 %</w:t>
      </w:r>
      <w:r>
        <w:rPr>
          <w:rFonts w:eastAsia="MyriadPro-LightSemiCn" w:cs="Arial"/>
          <w:szCs w:val="20"/>
          <w:lang w:val="sl-SI" w:eastAsia="sl-SI"/>
        </w:rPr>
        <w:t>)</w:t>
      </w:r>
      <w:r w:rsidRPr="005771BD">
        <w:rPr>
          <w:rFonts w:eastAsia="MyriadPro-LightSemiCn" w:cs="Arial"/>
          <w:szCs w:val="20"/>
          <w:lang w:val="sl-SI" w:eastAsia="sl-SI"/>
        </w:rPr>
        <w:t>, gospodinjstva in storitveni sektor (raba goriv v široki rabi) so prispevali skupaj 13,4 %</w:t>
      </w:r>
      <w:r>
        <w:rPr>
          <w:rFonts w:eastAsia="MyriadPro-LightSemiCn" w:cs="Arial"/>
          <w:szCs w:val="20"/>
          <w:lang w:val="sl-SI" w:eastAsia="sl-SI"/>
        </w:rPr>
        <w:t xml:space="preserve"> emisij in</w:t>
      </w:r>
      <w:r w:rsidRPr="005771BD">
        <w:rPr>
          <w:rFonts w:eastAsia="MyriadPro-LightSemiCn" w:cs="Arial"/>
          <w:szCs w:val="20"/>
          <w:lang w:val="sl-SI" w:eastAsia="sl-SI"/>
        </w:rPr>
        <w:t xml:space="preserve"> raba goriv v industriji 12,4 %. </w:t>
      </w:r>
    </w:p>
    <w:p w:rsidR="00072419" w:rsidRPr="005771BD" w:rsidRDefault="00072419" w:rsidP="00072419">
      <w:pPr>
        <w:spacing w:after="200" w:line="276" w:lineRule="auto"/>
        <w:jc w:val="both"/>
        <w:rPr>
          <w:rFonts w:cs="Arial"/>
          <w:szCs w:val="20"/>
          <w:lang w:val="sl-SI" w:eastAsia="sl-SI"/>
        </w:rPr>
      </w:pPr>
      <w:r w:rsidRPr="005771BD">
        <w:rPr>
          <w:rFonts w:cs="Arial"/>
          <w:szCs w:val="20"/>
          <w:lang w:val="sl-SI" w:eastAsia="sl-SI"/>
        </w:rPr>
        <w:t>Emisije iz sektorja prometa so razdeljene na cestni, letalski in železniški promet. Cestni promet je leta 2014 prispeval 99,1 % vseh emisij TGP v tem sektorju. Delež emisij iz tovornega prometa je bil leta 2014 ocenjen na 35,5 %, medtem ko druge emisije povzroča potniški promet (osebni promet 63,2 %, avtobusni promet 1,4 %).</w:t>
      </w:r>
    </w:p>
    <w:p w:rsidR="00072419" w:rsidRPr="005771BD" w:rsidRDefault="00072419" w:rsidP="00072419">
      <w:pPr>
        <w:spacing w:after="200" w:line="276" w:lineRule="auto"/>
        <w:jc w:val="center"/>
        <w:rPr>
          <w:rFonts w:cs="Arial"/>
          <w:szCs w:val="20"/>
          <w:lang w:val="sl-SI" w:eastAsia="sl-SI"/>
        </w:rPr>
      </w:pPr>
      <w:r w:rsidRPr="007F272F">
        <w:rPr>
          <w:rFonts w:cs="Arial"/>
          <w:noProof/>
          <w:szCs w:val="20"/>
          <w:lang w:val="sl-SI" w:eastAsia="sl-SI"/>
        </w:rPr>
        <w:drawing>
          <wp:inline distT="0" distB="0" distL="0" distR="0" wp14:anchorId="7894C6A6" wp14:editId="7E95CD74">
            <wp:extent cx="3152633" cy="2083187"/>
            <wp:effectExtent l="0" t="0" r="0" b="0"/>
            <wp:docPr id="271" name="Slika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156187" cy="2085535"/>
                    </a:xfrm>
                    <a:prstGeom prst="rect">
                      <a:avLst/>
                    </a:prstGeom>
                    <a:noFill/>
                  </pic:spPr>
                </pic:pic>
              </a:graphicData>
            </a:graphic>
          </wp:inline>
        </w:drawing>
      </w:r>
    </w:p>
    <w:p w:rsidR="00072419" w:rsidRPr="005771BD" w:rsidRDefault="00072419" w:rsidP="00072419">
      <w:pPr>
        <w:spacing w:line="276" w:lineRule="auto"/>
        <w:jc w:val="both"/>
        <w:rPr>
          <w:rFonts w:cs="Arial"/>
          <w:i/>
          <w:szCs w:val="20"/>
          <w:lang w:val="sl-SI" w:eastAsia="sl-SI"/>
        </w:rPr>
      </w:pPr>
      <w:r w:rsidRPr="005771BD">
        <w:rPr>
          <w:rFonts w:cs="Arial"/>
          <w:i/>
          <w:szCs w:val="20"/>
          <w:lang w:val="sl-SI" w:eastAsia="sl-SI"/>
        </w:rPr>
        <w:t xml:space="preserve">Slika </w:t>
      </w:r>
      <w:r w:rsidR="00FF4C0C">
        <w:rPr>
          <w:rFonts w:cs="Arial"/>
          <w:i/>
          <w:szCs w:val="20"/>
          <w:lang w:val="sl-SI" w:eastAsia="sl-SI"/>
        </w:rPr>
        <w:t>10</w:t>
      </w:r>
      <w:r w:rsidRPr="005771BD">
        <w:rPr>
          <w:rFonts w:cs="Arial"/>
          <w:i/>
          <w:szCs w:val="20"/>
          <w:lang w:val="sl-SI" w:eastAsia="sl-SI"/>
        </w:rPr>
        <w:t xml:space="preserve">.9: Spremembe skupnih emisij TGP iz prometa glede na prevozni način in toplogredni plin, Slovenija, 1986–2014 </w:t>
      </w:r>
    </w:p>
    <w:p w:rsidR="00072419" w:rsidRPr="005771BD" w:rsidRDefault="00072419" w:rsidP="00072419">
      <w:pPr>
        <w:spacing w:after="360" w:line="276" w:lineRule="auto"/>
        <w:jc w:val="both"/>
        <w:rPr>
          <w:rFonts w:cs="Arial"/>
          <w:i/>
          <w:sz w:val="18"/>
          <w:szCs w:val="18"/>
          <w:lang w:val="sl-SI" w:eastAsia="sl-SI"/>
        </w:rPr>
      </w:pPr>
      <w:r w:rsidRPr="005771BD">
        <w:rPr>
          <w:rFonts w:cs="Arial"/>
          <w:i/>
          <w:sz w:val="18"/>
          <w:szCs w:val="18"/>
          <w:lang w:val="sl-SI" w:eastAsia="sl-SI"/>
        </w:rPr>
        <w:t>Vir: Arhiv TGP, Agencija RS za okolje, april 2016</w:t>
      </w:r>
    </w:p>
    <w:p w:rsidR="00072419" w:rsidRPr="005771BD" w:rsidRDefault="00072419" w:rsidP="00072419">
      <w:pPr>
        <w:spacing w:after="200" w:line="276" w:lineRule="auto"/>
        <w:jc w:val="both"/>
        <w:rPr>
          <w:rFonts w:cs="Arial"/>
          <w:szCs w:val="20"/>
          <w:lang w:val="sl-SI" w:eastAsia="sl-SI"/>
        </w:rPr>
      </w:pPr>
      <w:r w:rsidRPr="005771BD">
        <w:rPr>
          <w:rFonts w:cs="Arial"/>
          <w:szCs w:val="20"/>
          <w:lang w:val="sl-SI" w:eastAsia="sl-SI"/>
        </w:rPr>
        <w:t xml:space="preserve">Neenergetski viri emisij TGP vključujejo emisije iz industrijskih procesov, ki niso posledica zgorevanja goriv, emisije iz rabe in proizvodnje F-plinov ter emisije iz rabe topil in drugih izdelkov, emisije iz kmetijstva, kjer so zajete emisije iz reje živali (ravnanje z gnojem, črevesna fermentacija) </w:t>
      </w:r>
      <w:r>
        <w:rPr>
          <w:rFonts w:cs="Arial"/>
          <w:szCs w:val="20"/>
          <w:lang w:val="sl-SI" w:eastAsia="sl-SI"/>
        </w:rPr>
        <w:t xml:space="preserve">in </w:t>
      </w:r>
      <w:r w:rsidRPr="005771BD">
        <w:rPr>
          <w:rFonts w:cs="Arial"/>
          <w:szCs w:val="20"/>
          <w:lang w:val="sl-SI" w:eastAsia="sl-SI"/>
        </w:rPr>
        <w:t xml:space="preserve">iz rabe umetnih gnojil, emisije iz odpadkov, kjer so zajete emisije iz odlagališč odpadkov, sežigalnic odpadkov </w:t>
      </w:r>
      <w:r>
        <w:rPr>
          <w:rFonts w:cs="Arial"/>
          <w:szCs w:val="20"/>
          <w:lang w:val="sl-SI" w:eastAsia="sl-SI"/>
        </w:rPr>
        <w:t>in</w:t>
      </w:r>
      <w:r w:rsidRPr="005771BD">
        <w:rPr>
          <w:rFonts w:cs="Arial"/>
          <w:szCs w:val="20"/>
          <w:lang w:val="sl-SI" w:eastAsia="sl-SI"/>
        </w:rPr>
        <w:t xml:space="preserve"> ravnanja z odpadnimi vodami.</w:t>
      </w:r>
    </w:p>
    <w:p w:rsidR="00072419" w:rsidRPr="005771BD" w:rsidRDefault="00072419" w:rsidP="00072419">
      <w:pPr>
        <w:spacing w:after="200" w:line="276" w:lineRule="auto"/>
        <w:jc w:val="center"/>
        <w:rPr>
          <w:rFonts w:cs="Arial"/>
          <w:szCs w:val="20"/>
          <w:lang w:val="sl-SI" w:eastAsia="sl-SI"/>
        </w:rPr>
      </w:pPr>
      <w:r w:rsidRPr="007F272F">
        <w:rPr>
          <w:rFonts w:cs="Arial"/>
          <w:noProof/>
          <w:szCs w:val="20"/>
          <w:lang w:val="sl-SI" w:eastAsia="sl-SI"/>
        </w:rPr>
        <w:drawing>
          <wp:inline distT="0" distB="0" distL="0" distR="0" wp14:anchorId="53F7E4C8" wp14:editId="6810C06B">
            <wp:extent cx="4517409" cy="2267628"/>
            <wp:effectExtent l="0" t="0" r="0" b="0"/>
            <wp:docPr id="272" name="Slika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526696" cy="2272290"/>
                    </a:xfrm>
                    <a:prstGeom prst="rect">
                      <a:avLst/>
                    </a:prstGeom>
                    <a:noFill/>
                  </pic:spPr>
                </pic:pic>
              </a:graphicData>
            </a:graphic>
          </wp:inline>
        </w:drawing>
      </w:r>
    </w:p>
    <w:p w:rsidR="00072419" w:rsidRPr="005771BD" w:rsidRDefault="00072419" w:rsidP="00072419">
      <w:pPr>
        <w:spacing w:line="276" w:lineRule="auto"/>
        <w:jc w:val="both"/>
        <w:rPr>
          <w:rFonts w:cs="Arial"/>
          <w:i/>
          <w:szCs w:val="20"/>
          <w:lang w:val="sl-SI" w:eastAsia="sl-SI"/>
        </w:rPr>
      </w:pPr>
      <w:r w:rsidRPr="005771BD">
        <w:rPr>
          <w:rFonts w:cs="Arial"/>
          <w:i/>
          <w:szCs w:val="20"/>
          <w:lang w:val="sl-SI" w:eastAsia="sl-SI"/>
        </w:rPr>
        <w:t xml:space="preserve">Slika </w:t>
      </w:r>
      <w:r w:rsidR="00FF4C0C">
        <w:rPr>
          <w:rFonts w:cs="Arial"/>
          <w:i/>
          <w:szCs w:val="20"/>
          <w:lang w:val="sl-SI" w:eastAsia="sl-SI"/>
        </w:rPr>
        <w:t>10</w:t>
      </w:r>
      <w:r w:rsidRPr="005771BD">
        <w:rPr>
          <w:rFonts w:cs="Arial"/>
          <w:i/>
          <w:szCs w:val="20"/>
          <w:lang w:val="sl-SI" w:eastAsia="sl-SI"/>
        </w:rPr>
        <w:t xml:space="preserve">.10: Emisije TGP leta 2014 v Sloveniji iz rabe energije po sektorjih in iz neenergetskih virov </w:t>
      </w:r>
    </w:p>
    <w:p w:rsidR="00072419" w:rsidRPr="005771BD" w:rsidRDefault="00072419" w:rsidP="00072419">
      <w:pPr>
        <w:spacing w:line="276" w:lineRule="auto"/>
        <w:jc w:val="both"/>
        <w:rPr>
          <w:rFonts w:cs="Arial"/>
          <w:i/>
          <w:sz w:val="18"/>
          <w:szCs w:val="18"/>
          <w:lang w:val="sl-SI" w:eastAsia="sl-SI"/>
        </w:rPr>
      </w:pPr>
      <w:r w:rsidRPr="005771BD">
        <w:rPr>
          <w:rFonts w:cs="Arial"/>
          <w:i/>
          <w:sz w:val="18"/>
          <w:szCs w:val="18"/>
          <w:lang w:val="sl-SI" w:eastAsia="sl-SI"/>
        </w:rPr>
        <w:t>Vir: Agencija Republike Slovenije za okolje</w:t>
      </w:r>
    </w:p>
    <w:p w:rsidR="00FF4C0C" w:rsidRDefault="00FF4C0C" w:rsidP="00072419">
      <w:pPr>
        <w:spacing w:after="200" w:line="276" w:lineRule="auto"/>
        <w:jc w:val="both"/>
        <w:rPr>
          <w:rFonts w:cs="Arial"/>
          <w:szCs w:val="20"/>
          <w:lang w:val="sl-SI" w:eastAsia="sl-SI"/>
        </w:rPr>
      </w:pPr>
    </w:p>
    <w:p w:rsidR="00072419" w:rsidRPr="005771BD" w:rsidRDefault="00072419" w:rsidP="00072419">
      <w:pPr>
        <w:spacing w:after="200" w:line="276" w:lineRule="auto"/>
        <w:jc w:val="both"/>
        <w:rPr>
          <w:rFonts w:cs="Arial"/>
          <w:szCs w:val="20"/>
          <w:lang w:val="sl-SI" w:eastAsia="sl-SI"/>
        </w:rPr>
      </w:pPr>
      <w:r w:rsidRPr="005771BD">
        <w:rPr>
          <w:rFonts w:cs="Arial"/>
          <w:szCs w:val="20"/>
          <w:lang w:val="sl-SI" w:eastAsia="sl-SI"/>
        </w:rPr>
        <w:t>Emisije TGP iz kmetijstva nastajajo neposredno kot CH</w:t>
      </w:r>
      <w:r w:rsidRPr="005771BD">
        <w:rPr>
          <w:rFonts w:cs="Arial"/>
          <w:szCs w:val="20"/>
          <w:vertAlign w:val="subscript"/>
          <w:lang w:val="sl-SI" w:eastAsia="sl-SI"/>
        </w:rPr>
        <w:t>4</w:t>
      </w:r>
      <w:r w:rsidRPr="005771BD">
        <w:rPr>
          <w:rFonts w:cs="Arial"/>
          <w:szCs w:val="20"/>
          <w:lang w:val="sl-SI" w:eastAsia="sl-SI"/>
        </w:rPr>
        <w:t xml:space="preserve"> pri fermentaciji v prebavilih domačih živali in pri skladiščenju živinskih gnojil ter kot N</w:t>
      </w:r>
      <w:r w:rsidRPr="005771BD">
        <w:rPr>
          <w:rFonts w:cs="Arial"/>
          <w:szCs w:val="20"/>
          <w:vertAlign w:val="subscript"/>
          <w:lang w:val="sl-SI" w:eastAsia="sl-SI"/>
        </w:rPr>
        <w:t>2</w:t>
      </w:r>
      <w:r w:rsidRPr="005771BD">
        <w:rPr>
          <w:rFonts w:cs="Arial"/>
          <w:szCs w:val="20"/>
          <w:lang w:val="sl-SI" w:eastAsia="sl-SI"/>
        </w:rPr>
        <w:t xml:space="preserve">O pri skladiščenju živinskih gnojil, pri gnojenju z živinskimi in mineralnimi gnojili, na paši, pri biološki fiksaciji dušika, razkrajanju žetvenih ostankov in obdelovanju histosolov </w:t>
      </w:r>
      <w:r>
        <w:rPr>
          <w:rFonts w:cs="Arial"/>
          <w:szCs w:val="20"/>
          <w:lang w:val="sl-SI" w:eastAsia="sl-SI"/>
        </w:rPr>
        <w:t>ter</w:t>
      </w:r>
      <w:r w:rsidRPr="005771BD">
        <w:rPr>
          <w:rFonts w:cs="Arial"/>
          <w:szCs w:val="20"/>
          <w:lang w:val="sl-SI" w:eastAsia="sl-SI"/>
        </w:rPr>
        <w:t xml:space="preserve"> posredno kot posledica odlaganja amoniaka in NOx iz ozračja </w:t>
      </w:r>
      <w:r>
        <w:rPr>
          <w:rFonts w:cs="Arial"/>
          <w:szCs w:val="20"/>
          <w:lang w:val="sl-SI" w:eastAsia="sl-SI"/>
        </w:rPr>
        <w:t xml:space="preserve">in </w:t>
      </w:r>
      <w:r w:rsidRPr="005771BD">
        <w:rPr>
          <w:rFonts w:cs="Arial"/>
          <w:szCs w:val="20"/>
          <w:lang w:val="sl-SI" w:eastAsia="sl-SI"/>
        </w:rPr>
        <w:t xml:space="preserve">izpiranja dušikovih snovi v podtalnico in vodotoke. </w:t>
      </w:r>
    </w:p>
    <w:p w:rsidR="00072419" w:rsidRPr="005771BD" w:rsidRDefault="00072419" w:rsidP="00072419">
      <w:pPr>
        <w:spacing w:after="200" w:line="276" w:lineRule="auto"/>
        <w:jc w:val="both"/>
        <w:rPr>
          <w:rFonts w:cs="Arial"/>
          <w:szCs w:val="20"/>
          <w:lang w:val="sl-SI" w:eastAsia="sl-SI"/>
        </w:rPr>
      </w:pPr>
      <w:r w:rsidRPr="005771BD">
        <w:rPr>
          <w:rFonts w:cs="Arial"/>
          <w:szCs w:val="20"/>
          <w:lang w:val="sl-SI" w:eastAsia="sl-SI"/>
        </w:rPr>
        <w:t>Emisije TGP, metana in didušikovega oksida, so se od leta 2005 do 2014 v kmetijstvu zmanjšale za 14,0 %.</w:t>
      </w:r>
    </w:p>
    <w:p w:rsidR="00072419" w:rsidRPr="005771BD" w:rsidRDefault="00072419" w:rsidP="00072419">
      <w:pPr>
        <w:spacing w:after="200" w:line="276" w:lineRule="auto"/>
        <w:jc w:val="both"/>
        <w:rPr>
          <w:rFonts w:cs="Arial"/>
          <w:szCs w:val="20"/>
          <w:lang w:val="sl-SI" w:eastAsia="sl-SI"/>
        </w:rPr>
      </w:pPr>
      <w:r w:rsidRPr="007F272F">
        <w:rPr>
          <w:rFonts w:cs="Arial"/>
          <w:noProof/>
          <w:szCs w:val="20"/>
          <w:lang w:val="sl-SI" w:eastAsia="sl-SI"/>
        </w:rPr>
        <w:drawing>
          <wp:inline distT="0" distB="0" distL="0" distR="0" wp14:anchorId="65B2BB0F" wp14:editId="14BF27C3">
            <wp:extent cx="5590540" cy="2566670"/>
            <wp:effectExtent l="0" t="0" r="0" b="5080"/>
            <wp:docPr id="273" name="Slika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590540" cy="2566670"/>
                    </a:xfrm>
                    <a:prstGeom prst="rect">
                      <a:avLst/>
                    </a:prstGeom>
                    <a:noFill/>
                  </pic:spPr>
                </pic:pic>
              </a:graphicData>
            </a:graphic>
          </wp:inline>
        </w:drawing>
      </w:r>
    </w:p>
    <w:p w:rsidR="00072419" w:rsidRPr="005771BD" w:rsidRDefault="00072419" w:rsidP="00072419">
      <w:pPr>
        <w:spacing w:line="276" w:lineRule="auto"/>
        <w:jc w:val="both"/>
        <w:rPr>
          <w:rFonts w:cs="Arial"/>
          <w:i/>
          <w:szCs w:val="20"/>
          <w:lang w:val="sl-SI" w:eastAsia="sl-SI"/>
        </w:rPr>
      </w:pPr>
      <w:r w:rsidRPr="005771BD">
        <w:rPr>
          <w:rFonts w:cs="Arial"/>
          <w:i/>
          <w:szCs w:val="20"/>
          <w:lang w:val="sl-SI" w:eastAsia="sl-SI"/>
        </w:rPr>
        <w:t xml:space="preserve">Slika </w:t>
      </w:r>
      <w:r w:rsidR="00FF4C0C">
        <w:rPr>
          <w:rFonts w:cs="Arial"/>
          <w:i/>
          <w:szCs w:val="20"/>
          <w:lang w:val="sl-SI" w:eastAsia="sl-SI"/>
        </w:rPr>
        <w:t>10</w:t>
      </w:r>
      <w:r w:rsidRPr="005771BD">
        <w:rPr>
          <w:rFonts w:cs="Arial"/>
          <w:i/>
          <w:szCs w:val="20"/>
          <w:lang w:val="sl-SI" w:eastAsia="sl-SI"/>
        </w:rPr>
        <w:t xml:space="preserve">.11: Struktura emisij toplogrednih plinov v kmetijstvu v letu 2014 </w:t>
      </w:r>
    </w:p>
    <w:p w:rsidR="00072419" w:rsidRPr="005771BD" w:rsidRDefault="00072419" w:rsidP="00072419">
      <w:pPr>
        <w:spacing w:after="360" w:line="276" w:lineRule="auto"/>
        <w:jc w:val="both"/>
        <w:rPr>
          <w:rFonts w:cs="Arial"/>
          <w:i/>
          <w:sz w:val="18"/>
          <w:szCs w:val="18"/>
          <w:lang w:val="sl-SI" w:eastAsia="sl-SI"/>
        </w:rPr>
      </w:pPr>
      <w:r w:rsidRPr="005771BD">
        <w:rPr>
          <w:rFonts w:cs="Arial"/>
          <w:i/>
          <w:sz w:val="18"/>
          <w:szCs w:val="18"/>
          <w:lang w:val="sl-SI" w:eastAsia="sl-SI"/>
        </w:rPr>
        <w:t>Vir: Agencija Republike Slovenije za okolje, 2016</w:t>
      </w:r>
    </w:p>
    <w:p w:rsidR="00072419" w:rsidRPr="005771BD" w:rsidRDefault="00FF4C0C" w:rsidP="00072419">
      <w:pPr>
        <w:spacing w:after="200" w:line="276" w:lineRule="auto"/>
        <w:jc w:val="both"/>
        <w:rPr>
          <w:rFonts w:cs="Arial"/>
          <w:b/>
          <w:szCs w:val="20"/>
          <w:lang w:val="sl-SI" w:eastAsia="sl-SI"/>
        </w:rPr>
      </w:pPr>
      <w:r>
        <w:rPr>
          <w:rFonts w:cs="Arial"/>
          <w:b/>
          <w:szCs w:val="20"/>
          <w:lang w:val="sl-SI" w:eastAsia="sl-SI"/>
        </w:rPr>
        <w:t>10</w:t>
      </w:r>
      <w:r w:rsidR="00072419" w:rsidRPr="005771BD">
        <w:rPr>
          <w:rFonts w:cs="Arial"/>
          <w:b/>
          <w:szCs w:val="20"/>
          <w:lang w:val="sl-SI" w:eastAsia="sl-SI"/>
        </w:rPr>
        <w:t>.2</w:t>
      </w:r>
      <w:r w:rsidR="00CB5442">
        <w:rPr>
          <w:rFonts w:cs="Arial"/>
          <w:b/>
          <w:szCs w:val="20"/>
          <w:lang w:val="sl-SI" w:eastAsia="sl-SI"/>
        </w:rPr>
        <w:t>.1</w:t>
      </w:r>
      <w:r w:rsidR="00072419" w:rsidRPr="005771BD">
        <w:rPr>
          <w:rFonts w:cs="Arial"/>
          <w:b/>
          <w:szCs w:val="20"/>
          <w:lang w:val="sl-SI" w:eastAsia="sl-SI"/>
        </w:rPr>
        <w:t xml:space="preserve"> Spreminjanje podnebnih in drugih značilnosti okolja</w:t>
      </w:r>
    </w:p>
    <w:p w:rsidR="00072419" w:rsidRPr="005771BD" w:rsidRDefault="00072419" w:rsidP="00072419">
      <w:pPr>
        <w:spacing w:after="200" w:line="276" w:lineRule="auto"/>
        <w:jc w:val="both"/>
        <w:rPr>
          <w:rFonts w:cs="Arial"/>
          <w:i/>
          <w:szCs w:val="20"/>
          <w:u w:val="single"/>
          <w:lang w:val="sl-SI" w:eastAsia="sl-SI"/>
        </w:rPr>
      </w:pPr>
      <w:r w:rsidRPr="005771BD">
        <w:rPr>
          <w:rFonts w:cs="Arial"/>
          <w:i/>
          <w:szCs w:val="20"/>
          <w:u w:val="single"/>
          <w:lang w:val="sl-SI" w:eastAsia="sl-SI"/>
        </w:rPr>
        <w:t>Padavine in temperatura</w:t>
      </w:r>
    </w:p>
    <w:p w:rsidR="00CB5442" w:rsidRDefault="00072419" w:rsidP="00CB5442">
      <w:pPr>
        <w:spacing w:after="200" w:line="276" w:lineRule="auto"/>
        <w:jc w:val="both"/>
        <w:rPr>
          <w:rFonts w:cs="Arial"/>
          <w:szCs w:val="20"/>
          <w:lang w:val="sl-SI" w:eastAsia="sl-SI"/>
        </w:rPr>
      </w:pPr>
      <w:r w:rsidRPr="005771BD">
        <w:rPr>
          <w:rFonts w:cs="Arial"/>
          <w:szCs w:val="20"/>
          <w:lang w:val="sl-SI" w:eastAsia="sl-SI"/>
        </w:rPr>
        <w:t xml:space="preserve">Po nižinah je bilo v Sloveniji leto 2015 drugo ali tretje najtoplejše doslej, takoj za rekordno toplim letom 2014. Na Kredarici je bila povprečna temperatura leta 2015 0,6 °C, kar je največ, odkar na Kredarici neprekinjeno spremljamo vremenske razmere. Opazovanje temperature v Sloveniji je pokazalo, da je bilo v obdobju 1951–2015 največ nadpovprečno toplih let v zadnjih treh desetletjih (Mesečni bilten ARSO, 2016). Najhitrejši trend naraščanja smo zabeležili v zadnjih dveh desetletjih </w:t>
      </w:r>
      <w:r>
        <w:rPr>
          <w:rFonts w:cs="Arial"/>
          <w:szCs w:val="20"/>
          <w:lang w:val="sl-SI" w:eastAsia="sl-SI"/>
        </w:rPr>
        <w:t>prejšnjega</w:t>
      </w:r>
      <w:r w:rsidRPr="005771BD">
        <w:rPr>
          <w:rFonts w:cs="Arial"/>
          <w:szCs w:val="20"/>
          <w:lang w:val="sl-SI" w:eastAsia="sl-SI"/>
        </w:rPr>
        <w:t xml:space="preserve"> stoletja, v tem stoletju se je naraščanje nekoliko upočasnilo, leti 2014 in 2015 pa spet kažeta na hitrejše nadaljevanje ogrevanja. Povprečna letna temperatura se je v zadnjih petdesetih letih na vzhodu </w:t>
      </w:r>
      <w:r>
        <w:rPr>
          <w:rFonts w:cs="Arial"/>
          <w:szCs w:val="20"/>
          <w:lang w:val="sl-SI" w:eastAsia="sl-SI"/>
        </w:rPr>
        <w:t>povečala</w:t>
      </w:r>
      <w:r w:rsidRPr="005771BD">
        <w:rPr>
          <w:rFonts w:cs="Arial"/>
          <w:szCs w:val="20"/>
          <w:lang w:val="sl-SI" w:eastAsia="sl-SI"/>
        </w:rPr>
        <w:t xml:space="preserve"> nekoliko bolj kot na zahodu države. Dvig temperature je bil občuten v vseh letnih časih, najbolj pri poletni temperaturi. </w:t>
      </w:r>
      <w:r>
        <w:rPr>
          <w:rFonts w:cs="Arial"/>
          <w:szCs w:val="20"/>
          <w:lang w:val="sl-SI" w:eastAsia="sl-SI"/>
        </w:rPr>
        <w:t>Poudarjamo</w:t>
      </w:r>
      <w:r w:rsidRPr="005771BD">
        <w:rPr>
          <w:rFonts w:cs="Arial"/>
          <w:szCs w:val="20"/>
          <w:lang w:val="sl-SI" w:eastAsia="sl-SI"/>
        </w:rPr>
        <w:t xml:space="preserve">, da se trend naraščanja nadaljuje in </w:t>
      </w:r>
      <w:r>
        <w:rPr>
          <w:rFonts w:cs="Arial"/>
          <w:szCs w:val="20"/>
          <w:lang w:val="sl-SI" w:eastAsia="sl-SI"/>
        </w:rPr>
        <w:t xml:space="preserve">je </w:t>
      </w:r>
      <w:r w:rsidRPr="005771BD">
        <w:rPr>
          <w:rFonts w:cs="Arial"/>
          <w:szCs w:val="20"/>
          <w:lang w:val="sl-SI" w:eastAsia="sl-SI"/>
        </w:rPr>
        <w:t xml:space="preserve">slovensko podnebje že približno 2 °C toplejše, kot je bilo sredi </w:t>
      </w:r>
      <w:r>
        <w:rPr>
          <w:rFonts w:cs="Arial"/>
          <w:szCs w:val="20"/>
          <w:lang w:val="sl-SI" w:eastAsia="sl-SI"/>
        </w:rPr>
        <w:t>prejšnjega</w:t>
      </w:r>
      <w:r w:rsidRPr="005771BD">
        <w:rPr>
          <w:rFonts w:cs="Arial"/>
          <w:szCs w:val="20"/>
          <w:lang w:val="sl-SI" w:eastAsia="sl-SI"/>
        </w:rPr>
        <w:t xml:space="preserve"> stoletja.</w:t>
      </w:r>
      <w:r w:rsidR="00CB5442" w:rsidRPr="00CB5442">
        <w:rPr>
          <w:rFonts w:cs="Arial"/>
          <w:szCs w:val="20"/>
          <w:lang w:val="sl-SI" w:eastAsia="sl-SI"/>
        </w:rPr>
        <w:t xml:space="preserve"> </w:t>
      </w:r>
    </w:p>
    <w:p w:rsidR="00CB5442" w:rsidRDefault="00CB5442" w:rsidP="00CB5442">
      <w:pPr>
        <w:spacing w:after="200" w:line="276" w:lineRule="auto"/>
        <w:jc w:val="both"/>
        <w:rPr>
          <w:rFonts w:cs="Arial"/>
          <w:szCs w:val="20"/>
          <w:lang w:val="sl-SI" w:eastAsia="sl-SI"/>
        </w:rPr>
      </w:pPr>
      <w:r w:rsidRPr="005771BD">
        <w:rPr>
          <w:rFonts w:cs="Arial"/>
          <w:szCs w:val="20"/>
          <w:lang w:val="sl-SI" w:eastAsia="sl-SI"/>
        </w:rPr>
        <w:t xml:space="preserve">V Sloveniji so razlike v količini padavin med regijami zelo velike, saj v Julijskih Alpah dosegajo povprečne letne padavine na posameznih območjih 3.500 mm, proti vzhodu pa hitro pojemajo, tako da je na skrajnem vzhodu Prekmurja letno povprečje pod 800 mm. Na državni ravni se je letna višina padavin v obdobju 1961–2015 zmanjšala za 2 do 4 %. Upad je bil večji v zahodni in južni </w:t>
      </w:r>
      <w:r>
        <w:rPr>
          <w:rFonts w:cs="Arial"/>
          <w:szCs w:val="20"/>
          <w:lang w:val="sl-SI" w:eastAsia="sl-SI"/>
        </w:rPr>
        <w:t>Sloveniji.</w:t>
      </w:r>
    </w:p>
    <w:p w:rsidR="00072419" w:rsidRPr="005771BD" w:rsidRDefault="00072419" w:rsidP="00072419">
      <w:pPr>
        <w:spacing w:after="200" w:line="276" w:lineRule="auto"/>
        <w:jc w:val="both"/>
        <w:rPr>
          <w:rFonts w:cs="Arial"/>
          <w:szCs w:val="20"/>
          <w:lang w:val="sl-SI" w:eastAsia="sl-SI"/>
        </w:rPr>
      </w:pPr>
    </w:p>
    <w:p w:rsidR="00072419" w:rsidRPr="005771BD" w:rsidRDefault="00072419" w:rsidP="00072419">
      <w:pPr>
        <w:spacing w:after="200" w:line="276" w:lineRule="auto"/>
        <w:jc w:val="both"/>
        <w:rPr>
          <w:rFonts w:cs="Arial"/>
          <w:szCs w:val="20"/>
          <w:lang w:val="sl-SI" w:eastAsia="sl-SI"/>
        </w:rPr>
      </w:pPr>
      <w:r w:rsidRPr="007F272F">
        <w:rPr>
          <w:rFonts w:cs="Arial"/>
          <w:noProof/>
          <w:szCs w:val="20"/>
          <w:lang w:val="sl-SI" w:eastAsia="sl-SI"/>
        </w:rPr>
        <w:drawing>
          <wp:inline distT="0" distB="0" distL="0" distR="0" wp14:anchorId="5CFFBA39" wp14:editId="5997F98B">
            <wp:extent cx="4871085" cy="2346960"/>
            <wp:effectExtent l="0" t="0" r="5715" b="0"/>
            <wp:docPr id="308" name="Slika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871085" cy="2346960"/>
                    </a:xfrm>
                    <a:prstGeom prst="rect">
                      <a:avLst/>
                    </a:prstGeom>
                    <a:noFill/>
                  </pic:spPr>
                </pic:pic>
              </a:graphicData>
            </a:graphic>
          </wp:inline>
        </w:drawing>
      </w:r>
    </w:p>
    <w:p w:rsidR="00072419" w:rsidRPr="005771BD" w:rsidRDefault="00072419" w:rsidP="00072419">
      <w:pPr>
        <w:spacing w:line="276" w:lineRule="auto"/>
        <w:jc w:val="both"/>
        <w:rPr>
          <w:rFonts w:cs="Arial"/>
          <w:bCs/>
          <w:i/>
          <w:szCs w:val="20"/>
          <w:lang w:val="sl-SI" w:eastAsia="sl-SI"/>
        </w:rPr>
      </w:pPr>
      <w:r w:rsidRPr="005771BD">
        <w:rPr>
          <w:rFonts w:cs="Arial"/>
          <w:i/>
          <w:szCs w:val="20"/>
          <w:lang w:val="sl-SI" w:eastAsia="sl-SI"/>
        </w:rPr>
        <w:t xml:space="preserve">Slika </w:t>
      </w:r>
      <w:r w:rsidR="00FF4C0C">
        <w:rPr>
          <w:rFonts w:cs="Arial"/>
          <w:i/>
          <w:szCs w:val="20"/>
          <w:lang w:val="sl-SI" w:eastAsia="sl-SI"/>
        </w:rPr>
        <w:t>10</w:t>
      </w:r>
      <w:r w:rsidRPr="005771BD">
        <w:rPr>
          <w:rFonts w:cs="Arial"/>
          <w:i/>
          <w:szCs w:val="20"/>
          <w:lang w:val="sl-SI" w:eastAsia="sl-SI"/>
        </w:rPr>
        <w:t xml:space="preserve">.12: </w:t>
      </w:r>
      <w:r w:rsidRPr="005771BD">
        <w:rPr>
          <w:rFonts w:cs="Arial"/>
          <w:bCs/>
          <w:i/>
          <w:szCs w:val="20"/>
          <w:lang w:val="sl-SI" w:eastAsia="sl-SI"/>
        </w:rPr>
        <w:t>Povprečna letna temperatura zraka, Slovenija, 1961</w:t>
      </w:r>
      <w:r>
        <w:rPr>
          <w:rFonts w:cs="Arial"/>
          <w:bCs/>
          <w:i/>
          <w:szCs w:val="20"/>
          <w:lang w:val="sl-SI" w:eastAsia="sl-SI"/>
        </w:rPr>
        <w:t>–</w:t>
      </w:r>
      <w:r w:rsidRPr="005771BD">
        <w:rPr>
          <w:rFonts w:cs="Arial"/>
          <w:bCs/>
          <w:i/>
          <w:szCs w:val="20"/>
          <w:lang w:val="sl-SI" w:eastAsia="sl-SI"/>
        </w:rPr>
        <w:t xml:space="preserve">2015 </w:t>
      </w:r>
    </w:p>
    <w:p w:rsidR="00072419" w:rsidRPr="005771BD" w:rsidRDefault="00072419" w:rsidP="00072419">
      <w:pPr>
        <w:spacing w:after="360" w:line="276" w:lineRule="auto"/>
        <w:jc w:val="both"/>
        <w:rPr>
          <w:rFonts w:cs="Arial"/>
          <w:i/>
          <w:sz w:val="18"/>
          <w:szCs w:val="18"/>
          <w:lang w:val="sl-SI" w:eastAsia="sl-SI"/>
        </w:rPr>
      </w:pPr>
      <w:r w:rsidRPr="005771BD">
        <w:rPr>
          <w:rFonts w:cs="Arial"/>
          <w:i/>
          <w:sz w:val="18"/>
          <w:szCs w:val="18"/>
          <w:lang w:val="sl-SI" w:eastAsia="sl-SI"/>
        </w:rPr>
        <w:t>Vir: Urad za meteorologijo, Agencija RS za okolje, 2016</w:t>
      </w:r>
    </w:p>
    <w:p w:rsidR="00072419" w:rsidRDefault="00072419" w:rsidP="00072419">
      <w:pPr>
        <w:spacing w:after="200" w:line="276" w:lineRule="auto"/>
        <w:jc w:val="both"/>
        <w:rPr>
          <w:rFonts w:cs="Arial"/>
          <w:szCs w:val="20"/>
          <w:lang w:val="sl-SI" w:eastAsia="sl-SI"/>
        </w:rPr>
      </w:pPr>
      <w:r w:rsidRPr="007F272F">
        <w:rPr>
          <w:rFonts w:cs="Arial"/>
          <w:noProof/>
          <w:szCs w:val="20"/>
          <w:lang w:val="sl-SI" w:eastAsia="sl-SI"/>
        </w:rPr>
        <w:drawing>
          <wp:inline distT="0" distB="0" distL="0" distR="0" wp14:anchorId="3293CA35" wp14:editId="6AC13016">
            <wp:extent cx="4871085" cy="2346960"/>
            <wp:effectExtent l="0" t="0" r="5715" b="0"/>
            <wp:docPr id="309" name="Slika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871085" cy="2346960"/>
                    </a:xfrm>
                    <a:prstGeom prst="rect">
                      <a:avLst/>
                    </a:prstGeom>
                    <a:noFill/>
                  </pic:spPr>
                </pic:pic>
              </a:graphicData>
            </a:graphic>
          </wp:inline>
        </w:drawing>
      </w:r>
    </w:p>
    <w:p w:rsidR="00072419" w:rsidRPr="005771BD" w:rsidRDefault="00072419" w:rsidP="00072419">
      <w:pPr>
        <w:spacing w:line="276" w:lineRule="auto"/>
        <w:jc w:val="both"/>
        <w:rPr>
          <w:rFonts w:cs="Arial"/>
          <w:bCs/>
          <w:szCs w:val="20"/>
          <w:lang w:val="sl-SI" w:eastAsia="sl-SI"/>
        </w:rPr>
      </w:pPr>
      <w:r w:rsidRPr="005771BD">
        <w:rPr>
          <w:rFonts w:cs="Arial"/>
          <w:szCs w:val="20"/>
          <w:lang w:val="sl-SI" w:eastAsia="sl-SI"/>
        </w:rPr>
        <w:t xml:space="preserve">Slika </w:t>
      </w:r>
      <w:r w:rsidR="00FF4C0C">
        <w:rPr>
          <w:rFonts w:cs="Arial"/>
          <w:szCs w:val="20"/>
          <w:lang w:val="sl-SI" w:eastAsia="sl-SI"/>
        </w:rPr>
        <w:t>10</w:t>
      </w:r>
      <w:r w:rsidRPr="005771BD">
        <w:rPr>
          <w:rFonts w:cs="Arial"/>
          <w:szCs w:val="20"/>
          <w:lang w:val="sl-SI" w:eastAsia="sl-SI"/>
        </w:rPr>
        <w:t xml:space="preserve">.13: </w:t>
      </w:r>
      <w:r w:rsidRPr="005771BD">
        <w:rPr>
          <w:rFonts w:cs="Arial"/>
          <w:bCs/>
          <w:szCs w:val="20"/>
          <w:lang w:val="sl-SI" w:eastAsia="sl-SI"/>
        </w:rPr>
        <w:t>Povprečna letna količina padavin, Slovenija, 1961</w:t>
      </w:r>
      <w:r>
        <w:rPr>
          <w:rFonts w:cs="Arial"/>
          <w:bCs/>
          <w:szCs w:val="20"/>
          <w:lang w:val="sl-SI" w:eastAsia="sl-SI"/>
        </w:rPr>
        <w:t>–</w:t>
      </w:r>
      <w:r w:rsidRPr="005771BD">
        <w:rPr>
          <w:rFonts w:cs="Arial"/>
          <w:bCs/>
          <w:szCs w:val="20"/>
          <w:lang w:val="sl-SI" w:eastAsia="sl-SI"/>
        </w:rPr>
        <w:t xml:space="preserve">2015 </w:t>
      </w:r>
    </w:p>
    <w:p w:rsidR="00072419" w:rsidRPr="005771BD" w:rsidRDefault="00072419" w:rsidP="00072419">
      <w:pPr>
        <w:spacing w:after="360" w:line="276" w:lineRule="auto"/>
        <w:jc w:val="both"/>
        <w:rPr>
          <w:rFonts w:cs="Arial"/>
          <w:szCs w:val="20"/>
          <w:lang w:val="sl-SI" w:eastAsia="sl-SI"/>
        </w:rPr>
      </w:pPr>
      <w:r w:rsidRPr="005771BD">
        <w:rPr>
          <w:rFonts w:cs="Arial"/>
          <w:szCs w:val="20"/>
          <w:lang w:val="sl-SI" w:eastAsia="sl-SI"/>
        </w:rPr>
        <w:t>Vir: Arhiv meteoroloških podatkov ARSO, Urad za meteorologijo, Agencija RS za okolje, 2016</w:t>
      </w:r>
    </w:p>
    <w:p w:rsidR="00072419" w:rsidRPr="005771BD" w:rsidRDefault="00072419" w:rsidP="00072419">
      <w:pPr>
        <w:spacing w:after="200" w:line="276" w:lineRule="auto"/>
        <w:jc w:val="both"/>
        <w:rPr>
          <w:rFonts w:cs="Arial"/>
          <w:i/>
          <w:szCs w:val="20"/>
          <w:u w:val="single"/>
          <w:lang w:val="sl-SI" w:eastAsia="sl-SI"/>
        </w:rPr>
      </w:pPr>
      <w:r w:rsidRPr="005771BD">
        <w:rPr>
          <w:rFonts w:cs="Arial"/>
          <w:i/>
          <w:szCs w:val="20"/>
          <w:u w:val="single"/>
          <w:lang w:val="sl-SI" w:eastAsia="sl-SI"/>
        </w:rPr>
        <w:t>Ekstremni vremenski</w:t>
      </w:r>
      <w:r>
        <w:rPr>
          <w:rFonts w:cs="Arial"/>
          <w:i/>
          <w:szCs w:val="20"/>
          <w:u w:val="single"/>
          <w:lang w:val="sl-SI" w:eastAsia="sl-SI"/>
        </w:rPr>
        <w:t xml:space="preserve"> dogodki</w:t>
      </w:r>
    </w:p>
    <w:p w:rsidR="00072419" w:rsidRPr="005771BD" w:rsidRDefault="00072419" w:rsidP="00072419">
      <w:pPr>
        <w:spacing w:after="200" w:line="276" w:lineRule="auto"/>
        <w:jc w:val="both"/>
        <w:rPr>
          <w:rFonts w:cs="Arial"/>
          <w:szCs w:val="20"/>
          <w:lang w:val="sl-SI" w:eastAsia="sl-SI"/>
        </w:rPr>
      </w:pPr>
      <w:r w:rsidRPr="005771BD">
        <w:rPr>
          <w:rFonts w:cs="Arial"/>
          <w:szCs w:val="20"/>
          <w:lang w:val="sl-SI" w:eastAsia="sl-SI"/>
        </w:rPr>
        <w:t xml:space="preserve">Odstopanja od običajnih podnebnih razmer, kakšne smo imeli v obdobju 1961–1990, so vedno večja. Suše ali poplave zaradi obilnih padavin postajajo vse pogostejše, močni nalivi in neurja z močnimi sunki vetra se v večjem ali manjšem obsegu zgodijo vsako leto, vročinski valovi so pogostejši in izrazitejši. V obdobju 1961–2015 je opaženo naraščanje dnevne </w:t>
      </w:r>
      <w:r>
        <w:rPr>
          <w:rFonts w:cs="Arial"/>
          <w:szCs w:val="20"/>
          <w:lang w:val="sl-SI" w:eastAsia="sl-SI"/>
        </w:rPr>
        <w:t>najvišje</w:t>
      </w:r>
      <w:r w:rsidRPr="005771BD">
        <w:rPr>
          <w:rFonts w:cs="Arial"/>
          <w:szCs w:val="20"/>
          <w:lang w:val="sl-SI" w:eastAsia="sl-SI"/>
        </w:rPr>
        <w:t xml:space="preserve"> temperature ter dnevne </w:t>
      </w:r>
      <w:r>
        <w:rPr>
          <w:rFonts w:cs="Arial"/>
          <w:szCs w:val="20"/>
          <w:lang w:val="sl-SI" w:eastAsia="sl-SI"/>
        </w:rPr>
        <w:t>najnižje</w:t>
      </w:r>
      <w:r w:rsidRPr="005771BD">
        <w:rPr>
          <w:rFonts w:cs="Arial"/>
          <w:szCs w:val="20"/>
          <w:lang w:val="sl-SI" w:eastAsia="sl-SI"/>
        </w:rPr>
        <w:t xml:space="preserve"> temperature, kar kaže na segrevanje podnebja. Narašča število vročih dni, medtem ko se število ledenih dni manjša. V tem stoletju opažamo precej večjo pogostost zelo vročih dni, ko temperatura doseže ali preseže 35 ºC. Poleti 2013 je bila na večjem številu postaj izmerjena najvišja temperatura doslej, izenačen pa je bil tudi slovenski temperaturni rekord. </w:t>
      </w:r>
    </w:p>
    <w:p w:rsidR="00072419" w:rsidRPr="005771BD" w:rsidRDefault="00072419" w:rsidP="00072419">
      <w:pPr>
        <w:spacing w:after="200" w:line="276" w:lineRule="auto"/>
        <w:jc w:val="center"/>
        <w:rPr>
          <w:rFonts w:cs="Arial"/>
          <w:szCs w:val="20"/>
          <w:lang w:val="sl-SI" w:eastAsia="sl-SI"/>
        </w:rPr>
      </w:pPr>
      <w:r w:rsidRPr="007F272F">
        <w:rPr>
          <w:rFonts w:cs="Arial"/>
          <w:noProof/>
          <w:szCs w:val="20"/>
          <w:lang w:val="sl-SI" w:eastAsia="sl-SI"/>
        </w:rPr>
        <w:drawing>
          <wp:inline distT="0" distB="0" distL="0" distR="0" wp14:anchorId="105EBE39" wp14:editId="1DB43859">
            <wp:extent cx="4599295" cy="2216008"/>
            <wp:effectExtent l="0" t="0" r="0" b="0"/>
            <wp:docPr id="310" name="Slika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598404" cy="2215578"/>
                    </a:xfrm>
                    <a:prstGeom prst="rect">
                      <a:avLst/>
                    </a:prstGeom>
                    <a:noFill/>
                  </pic:spPr>
                </pic:pic>
              </a:graphicData>
            </a:graphic>
          </wp:inline>
        </w:drawing>
      </w:r>
    </w:p>
    <w:p w:rsidR="00072419" w:rsidRPr="005771BD" w:rsidRDefault="00FF4C0C" w:rsidP="00072419">
      <w:pPr>
        <w:spacing w:after="360" w:line="276" w:lineRule="auto"/>
        <w:jc w:val="both"/>
        <w:rPr>
          <w:rFonts w:cs="Arial"/>
          <w:i/>
          <w:szCs w:val="20"/>
          <w:lang w:val="sl-SI" w:eastAsia="sl-SI"/>
        </w:rPr>
      </w:pPr>
      <w:r>
        <w:rPr>
          <w:rFonts w:cs="Arial"/>
          <w:i/>
          <w:szCs w:val="20"/>
          <w:lang w:val="sl-SI" w:eastAsia="sl-SI"/>
        </w:rPr>
        <w:t>Slika 10</w:t>
      </w:r>
      <w:r w:rsidR="00072419" w:rsidRPr="005771BD">
        <w:rPr>
          <w:rFonts w:cs="Arial"/>
          <w:i/>
          <w:szCs w:val="20"/>
          <w:lang w:val="sl-SI" w:eastAsia="sl-SI"/>
        </w:rPr>
        <w:t xml:space="preserve">.14: </w:t>
      </w:r>
      <w:r w:rsidR="00072419" w:rsidRPr="005771BD">
        <w:rPr>
          <w:rFonts w:cs="Arial"/>
          <w:bCs/>
          <w:i/>
          <w:szCs w:val="20"/>
          <w:lang w:val="sl-SI" w:eastAsia="sl-SI"/>
        </w:rPr>
        <w:t>Število dni z najvišjo temperaturo vsaj 30</w:t>
      </w:r>
      <w:r w:rsidR="00072419">
        <w:rPr>
          <w:rFonts w:cs="Arial"/>
          <w:bCs/>
          <w:i/>
          <w:szCs w:val="20"/>
          <w:lang w:val="sl-SI" w:eastAsia="sl-SI"/>
        </w:rPr>
        <w:t xml:space="preserve"> </w:t>
      </w:r>
      <w:r w:rsidR="00072419" w:rsidRPr="005771BD">
        <w:rPr>
          <w:rFonts w:cs="Arial"/>
          <w:bCs/>
          <w:i/>
          <w:szCs w:val="20"/>
          <w:lang w:val="sl-SI" w:eastAsia="sl-SI"/>
        </w:rPr>
        <w:t>°C, Slovenija, 1961</w:t>
      </w:r>
      <w:r w:rsidR="00072419">
        <w:rPr>
          <w:rFonts w:cs="Arial"/>
          <w:bCs/>
          <w:i/>
          <w:szCs w:val="20"/>
          <w:lang w:val="sl-SI" w:eastAsia="sl-SI"/>
        </w:rPr>
        <w:t>–</w:t>
      </w:r>
      <w:r w:rsidR="00072419" w:rsidRPr="005771BD">
        <w:rPr>
          <w:rFonts w:cs="Arial"/>
          <w:bCs/>
          <w:i/>
          <w:szCs w:val="20"/>
          <w:lang w:val="sl-SI" w:eastAsia="sl-SI"/>
        </w:rPr>
        <w:t>2015</w:t>
      </w:r>
      <w:r w:rsidR="00072419" w:rsidRPr="005771BD">
        <w:rPr>
          <w:rFonts w:cs="Arial"/>
          <w:i/>
          <w:szCs w:val="20"/>
          <w:lang w:val="sl-SI" w:eastAsia="sl-SI"/>
        </w:rPr>
        <w:t xml:space="preserve"> (Vir: Arhiv meteoroloških podatkov ARSO, Agencija RS za okolje, 2016)</w:t>
      </w:r>
    </w:p>
    <w:p w:rsidR="00072419" w:rsidRPr="005771BD" w:rsidRDefault="00072419" w:rsidP="00072419">
      <w:pPr>
        <w:spacing w:after="200" w:line="276" w:lineRule="auto"/>
        <w:jc w:val="both"/>
        <w:rPr>
          <w:rFonts w:cs="Arial"/>
          <w:szCs w:val="20"/>
          <w:lang w:val="sl-SI" w:eastAsia="sl-SI"/>
        </w:rPr>
      </w:pPr>
      <w:r w:rsidRPr="005771BD">
        <w:rPr>
          <w:rFonts w:cs="Arial"/>
          <w:szCs w:val="20"/>
          <w:lang w:val="sl-SI" w:eastAsia="sl-SI"/>
        </w:rPr>
        <w:t>Še veliko bolj kakor temperatura so spremenljive padavine (Svetovna meteorološka organizacija</w:t>
      </w:r>
      <w:r>
        <w:rPr>
          <w:rFonts w:cs="Arial"/>
          <w:szCs w:val="20"/>
          <w:lang w:val="sl-SI" w:eastAsia="sl-SI"/>
        </w:rPr>
        <w:t>,</w:t>
      </w:r>
      <w:r w:rsidRPr="005771BD">
        <w:rPr>
          <w:rFonts w:cs="Arial"/>
          <w:szCs w:val="20"/>
          <w:lang w:val="sl-SI" w:eastAsia="sl-SI"/>
        </w:rPr>
        <w:t xml:space="preserve"> 2013). Padavinski režim se spreminja, kar vpliva tudi na pogostost dni s padavinami nad izbranimi pragovi. Regionalne razlike so lahko posledica različnega padavinskega režima. Poleg sprememb v letni skali so še pomembnejše spremembe v pogostosti in intenziteti po posameznih letnih časih. Vsako leto nas prizadene več neurij z močnim vetrom, nalivi in tudi toča. Lokalno se pojavljajo tudi zelo intenzivne padavine v trajanju nekaj ur ali dan, morda dva, ki lahko povzročijo plazenje terena in lokalne poplave. Skoraj vsako leto </w:t>
      </w:r>
      <w:r>
        <w:rPr>
          <w:rFonts w:cs="Arial"/>
          <w:szCs w:val="20"/>
          <w:lang w:val="sl-SI" w:eastAsia="sl-SI"/>
        </w:rPr>
        <w:t>pride do</w:t>
      </w:r>
      <w:r w:rsidRPr="005771BD">
        <w:rPr>
          <w:rFonts w:cs="Arial"/>
          <w:szCs w:val="20"/>
          <w:lang w:val="sl-SI" w:eastAsia="sl-SI"/>
        </w:rPr>
        <w:t xml:space="preserve"> močnega vetra, ki odkriva strehe in lomi drevesa. Katastrofalne suše in poplave postajajo vse pogostejše, včasih nas prizadenejo tudi v zaporednih letih. Pretirana moča in suša se lahko pojavita v istem letu.</w:t>
      </w:r>
    </w:p>
    <w:p w:rsidR="00072419" w:rsidRPr="005771BD" w:rsidRDefault="00072419" w:rsidP="00072419">
      <w:pPr>
        <w:spacing w:after="200" w:line="276" w:lineRule="auto"/>
        <w:jc w:val="center"/>
        <w:rPr>
          <w:rFonts w:cs="Arial"/>
          <w:szCs w:val="20"/>
          <w:lang w:val="sl-SI" w:eastAsia="sl-SI"/>
        </w:rPr>
      </w:pPr>
      <w:r w:rsidRPr="007F272F">
        <w:rPr>
          <w:rFonts w:cs="Arial"/>
          <w:noProof/>
          <w:szCs w:val="20"/>
          <w:lang w:val="sl-SI" w:eastAsia="sl-SI"/>
        </w:rPr>
        <w:drawing>
          <wp:inline distT="0" distB="0" distL="0" distR="0" wp14:anchorId="25E2652E" wp14:editId="79506E0C">
            <wp:extent cx="4653886" cy="2242311"/>
            <wp:effectExtent l="0" t="0" r="0" b="5715"/>
            <wp:docPr id="314" name="Slika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652984" cy="2241876"/>
                    </a:xfrm>
                    <a:prstGeom prst="rect">
                      <a:avLst/>
                    </a:prstGeom>
                    <a:noFill/>
                  </pic:spPr>
                </pic:pic>
              </a:graphicData>
            </a:graphic>
          </wp:inline>
        </w:drawing>
      </w:r>
    </w:p>
    <w:p w:rsidR="00072419" w:rsidRPr="005771BD" w:rsidRDefault="00072419" w:rsidP="00072419">
      <w:pPr>
        <w:spacing w:line="276" w:lineRule="auto"/>
        <w:jc w:val="both"/>
        <w:rPr>
          <w:rFonts w:cs="Arial"/>
          <w:bCs/>
          <w:i/>
          <w:szCs w:val="20"/>
          <w:lang w:val="sl-SI" w:eastAsia="sl-SI"/>
        </w:rPr>
      </w:pPr>
      <w:r w:rsidRPr="005771BD">
        <w:rPr>
          <w:rFonts w:cs="Arial"/>
          <w:i/>
          <w:szCs w:val="20"/>
          <w:lang w:val="sl-SI" w:eastAsia="sl-SI"/>
        </w:rPr>
        <w:t xml:space="preserve">Slika </w:t>
      </w:r>
      <w:r w:rsidR="00FF4C0C">
        <w:rPr>
          <w:rFonts w:cs="Arial"/>
          <w:i/>
          <w:szCs w:val="20"/>
          <w:lang w:val="sl-SI" w:eastAsia="sl-SI"/>
        </w:rPr>
        <w:t>10</w:t>
      </w:r>
      <w:r w:rsidRPr="005771BD">
        <w:rPr>
          <w:rFonts w:cs="Arial"/>
          <w:i/>
          <w:szCs w:val="20"/>
          <w:lang w:val="sl-SI" w:eastAsia="sl-SI"/>
        </w:rPr>
        <w:t xml:space="preserve">.15: </w:t>
      </w:r>
      <w:r w:rsidRPr="005771BD">
        <w:rPr>
          <w:rFonts w:cs="Arial"/>
          <w:bCs/>
          <w:i/>
          <w:szCs w:val="20"/>
          <w:lang w:val="sl-SI" w:eastAsia="sl-SI"/>
        </w:rPr>
        <w:t>Najvišja debelina snežne odeje, Slovenija, 1961</w:t>
      </w:r>
      <w:r>
        <w:rPr>
          <w:rFonts w:cs="Arial"/>
          <w:bCs/>
          <w:i/>
          <w:szCs w:val="20"/>
          <w:lang w:val="sl-SI" w:eastAsia="sl-SI"/>
        </w:rPr>
        <w:t>–</w:t>
      </w:r>
      <w:r w:rsidRPr="005771BD">
        <w:rPr>
          <w:rFonts w:cs="Arial"/>
          <w:bCs/>
          <w:i/>
          <w:szCs w:val="20"/>
          <w:lang w:val="sl-SI" w:eastAsia="sl-SI"/>
        </w:rPr>
        <w:t xml:space="preserve">2015 </w:t>
      </w:r>
    </w:p>
    <w:p w:rsidR="00072419" w:rsidRPr="005771BD" w:rsidRDefault="00072419" w:rsidP="00CF356C">
      <w:pPr>
        <w:spacing w:after="360" w:line="276" w:lineRule="auto"/>
        <w:jc w:val="both"/>
        <w:rPr>
          <w:rFonts w:cs="Arial"/>
          <w:i/>
          <w:sz w:val="18"/>
          <w:szCs w:val="18"/>
          <w:lang w:val="sl-SI" w:eastAsia="sl-SI"/>
        </w:rPr>
      </w:pPr>
      <w:r w:rsidRPr="005771BD">
        <w:rPr>
          <w:rFonts w:cs="Arial"/>
          <w:i/>
          <w:sz w:val="18"/>
          <w:szCs w:val="18"/>
          <w:lang w:val="sl-SI" w:eastAsia="sl-SI"/>
        </w:rPr>
        <w:t>Vir: Arhiv meteoroloških podatkov ARSO, Agencija RS za okolje, 2016</w:t>
      </w:r>
    </w:p>
    <w:p w:rsidR="00072419" w:rsidRPr="005771BD" w:rsidRDefault="00072419" w:rsidP="00072419">
      <w:pPr>
        <w:spacing w:after="200" w:line="276" w:lineRule="auto"/>
        <w:jc w:val="both"/>
        <w:rPr>
          <w:rFonts w:cs="Arial"/>
          <w:i/>
          <w:szCs w:val="20"/>
          <w:u w:val="single"/>
          <w:lang w:val="sl-SI" w:eastAsia="sl-SI"/>
        </w:rPr>
      </w:pPr>
      <w:r w:rsidRPr="005771BD">
        <w:rPr>
          <w:rFonts w:cs="Arial"/>
          <w:i/>
          <w:szCs w:val="20"/>
          <w:u w:val="single"/>
          <w:lang w:val="sl-SI" w:eastAsia="sl-SI"/>
        </w:rPr>
        <w:t>Dolžina letne rasti</w:t>
      </w:r>
    </w:p>
    <w:p w:rsidR="00072419" w:rsidRPr="005771BD" w:rsidRDefault="00072419" w:rsidP="00072419">
      <w:pPr>
        <w:spacing w:after="200" w:line="276" w:lineRule="auto"/>
        <w:jc w:val="both"/>
        <w:rPr>
          <w:rFonts w:cs="Arial"/>
          <w:szCs w:val="20"/>
          <w:lang w:val="sl-SI" w:eastAsia="sl-SI"/>
        </w:rPr>
      </w:pPr>
      <w:r w:rsidRPr="005771BD">
        <w:rPr>
          <w:rFonts w:cs="Arial"/>
          <w:szCs w:val="20"/>
          <w:lang w:val="sl-SI" w:eastAsia="sl-SI"/>
        </w:rPr>
        <w:t xml:space="preserve">Dolžina letne rastne dobe pomeni obdobje med dnem, ko povprečna dnevna temperatura zraka spomladi preide nad temperaturni prag 5 °C, in dnem, ko jeseni spet pade pod to vrednost. Na splošno velja, da je temperatura zraka 5 °C spodnji temperaturni prag za rast rastlin. </w:t>
      </w:r>
      <w:r>
        <w:rPr>
          <w:rFonts w:cs="Arial"/>
          <w:szCs w:val="20"/>
          <w:lang w:val="sl-SI" w:eastAsia="sl-SI"/>
        </w:rPr>
        <w:t>Glede</w:t>
      </w:r>
      <w:r w:rsidRPr="005771BD">
        <w:rPr>
          <w:rFonts w:cs="Arial"/>
          <w:szCs w:val="20"/>
          <w:lang w:val="sl-SI" w:eastAsia="sl-SI"/>
        </w:rPr>
        <w:t xml:space="preserve"> podnebnih sprememb nam dolžina letnega rastnega obdobja, določena s temperaturn</w:t>
      </w:r>
      <w:r>
        <w:rPr>
          <w:rFonts w:cs="Arial"/>
          <w:szCs w:val="20"/>
          <w:lang w:val="sl-SI" w:eastAsia="sl-SI"/>
        </w:rPr>
        <w:t>im</w:t>
      </w:r>
      <w:r w:rsidRPr="005771BD">
        <w:rPr>
          <w:rFonts w:cs="Arial"/>
          <w:szCs w:val="20"/>
          <w:lang w:val="sl-SI" w:eastAsia="sl-SI"/>
        </w:rPr>
        <w:t xml:space="preserve"> prag</w:t>
      </w:r>
      <w:r>
        <w:rPr>
          <w:rFonts w:cs="Arial"/>
          <w:szCs w:val="20"/>
          <w:lang w:val="sl-SI" w:eastAsia="sl-SI"/>
        </w:rPr>
        <w:t>om</w:t>
      </w:r>
      <w:r w:rsidRPr="005771BD">
        <w:rPr>
          <w:rFonts w:cs="Arial"/>
          <w:szCs w:val="20"/>
          <w:lang w:val="sl-SI" w:eastAsia="sl-SI"/>
        </w:rPr>
        <w:t xml:space="preserve"> 5 °C, omogoča ocen</w:t>
      </w:r>
      <w:r>
        <w:rPr>
          <w:rFonts w:cs="Arial"/>
          <w:szCs w:val="20"/>
          <w:lang w:val="sl-SI" w:eastAsia="sl-SI"/>
        </w:rPr>
        <w:t>iti</w:t>
      </w:r>
      <w:r w:rsidRPr="005771BD">
        <w:rPr>
          <w:rFonts w:cs="Arial"/>
          <w:szCs w:val="20"/>
          <w:lang w:val="sl-SI" w:eastAsia="sl-SI"/>
        </w:rPr>
        <w:t xml:space="preserve"> vpliv spreminjajočega se podnebja na razvoj rastlin in njihov</w:t>
      </w:r>
      <w:r>
        <w:rPr>
          <w:rFonts w:cs="Arial"/>
          <w:szCs w:val="20"/>
          <w:lang w:val="sl-SI" w:eastAsia="sl-SI"/>
        </w:rPr>
        <w:t>o</w:t>
      </w:r>
      <w:r w:rsidRPr="005771BD">
        <w:rPr>
          <w:rFonts w:cs="Arial"/>
          <w:szCs w:val="20"/>
          <w:lang w:val="sl-SI" w:eastAsia="sl-SI"/>
        </w:rPr>
        <w:t xml:space="preserve"> okolj</w:t>
      </w:r>
      <w:r>
        <w:rPr>
          <w:rFonts w:cs="Arial"/>
          <w:szCs w:val="20"/>
          <w:lang w:val="sl-SI" w:eastAsia="sl-SI"/>
        </w:rPr>
        <w:t>e</w:t>
      </w:r>
      <w:r w:rsidRPr="005771BD">
        <w:rPr>
          <w:rFonts w:cs="Arial"/>
          <w:szCs w:val="20"/>
          <w:lang w:val="sl-SI" w:eastAsia="sl-SI"/>
        </w:rPr>
        <w:t xml:space="preserve">. </w:t>
      </w:r>
    </w:p>
    <w:p w:rsidR="00072419" w:rsidRPr="005771BD" w:rsidRDefault="00072419" w:rsidP="00072419">
      <w:pPr>
        <w:spacing w:after="200" w:line="276" w:lineRule="auto"/>
        <w:jc w:val="center"/>
        <w:rPr>
          <w:rFonts w:cs="Arial"/>
          <w:b/>
          <w:szCs w:val="20"/>
          <w:lang w:val="sl-SI" w:eastAsia="sl-SI"/>
        </w:rPr>
      </w:pPr>
      <w:r w:rsidRPr="007F272F">
        <w:rPr>
          <w:rFonts w:cs="Arial"/>
          <w:b/>
          <w:noProof/>
          <w:szCs w:val="20"/>
          <w:lang w:val="sl-SI" w:eastAsia="sl-SI"/>
        </w:rPr>
        <w:drawing>
          <wp:inline distT="0" distB="0" distL="0" distR="0" wp14:anchorId="1D9AC87C" wp14:editId="5609F5C4">
            <wp:extent cx="3543300" cy="1831547"/>
            <wp:effectExtent l="0" t="0" r="0" b="0"/>
            <wp:docPr id="315" name="Slika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546133" cy="1833011"/>
                    </a:xfrm>
                    <a:prstGeom prst="rect">
                      <a:avLst/>
                    </a:prstGeom>
                    <a:noFill/>
                  </pic:spPr>
                </pic:pic>
              </a:graphicData>
            </a:graphic>
          </wp:inline>
        </w:drawing>
      </w:r>
    </w:p>
    <w:p w:rsidR="00072419" w:rsidRPr="005771BD" w:rsidRDefault="00072419" w:rsidP="00072419">
      <w:pPr>
        <w:spacing w:line="276" w:lineRule="auto"/>
        <w:jc w:val="both"/>
        <w:rPr>
          <w:rFonts w:cs="Arial"/>
          <w:bCs/>
          <w:i/>
          <w:szCs w:val="20"/>
          <w:lang w:val="sl-SI" w:eastAsia="sl-SI"/>
        </w:rPr>
      </w:pPr>
      <w:r w:rsidRPr="005771BD">
        <w:rPr>
          <w:rFonts w:cs="Arial"/>
          <w:i/>
          <w:szCs w:val="20"/>
          <w:lang w:val="sl-SI" w:eastAsia="sl-SI"/>
        </w:rPr>
        <w:t xml:space="preserve">Slika </w:t>
      </w:r>
      <w:r w:rsidR="00FF4C0C">
        <w:rPr>
          <w:rFonts w:cs="Arial"/>
          <w:i/>
          <w:szCs w:val="20"/>
          <w:lang w:val="sl-SI" w:eastAsia="sl-SI"/>
        </w:rPr>
        <w:t>10</w:t>
      </w:r>
      <w:r w:rsidRPr="005771BD">
        <w:rPr>
          <w:rFonts w:cs="Arial"/>
          <w:i/>
          <w:szCs w:val="20"/>
          <w:lang w:val="sl-SI" w:eastAsia="sl-SI"/>
        </w:rPr>
        <w:t xml:space="preserve">.16: </w:t>
      </w:r>
      <w:r w:rsidRPr="005771BD">
        <w:rPr>
          <w:rFonts w:cs="Arial"/>
          <w:bCs/>
          <w:i/>
          <w:szCs w:val="20"/>
          <w:lang w:val="sl-SI" w:eastAsia="sl-SI"/>
        </w:rPr>
        <w:t>Povprečna dolžina letne rastne dobe v posameznih krajih, Slovenija, referenčna obdobja 1961</w:t>
      </w:r>
      <w:r>
        <w:rPr>
          <w:rFonts w:cs="Arial"/>
          <w:bCs/>
          <w:i/>
          <w:szCs w:val="20"/>
          <w:lang w:val="sl-SI" w:eastAsia="sl-SI"/>
        </w:rPr>
        <w:t>–</w:t>
      </w:r>
      <w:r w:rsidRPr="005771BD">
        <w:rPr>
          <w:rFonts w:cs="Arial"/>
          <w:bCs/>
          <w:i/>
          <w:szCs w:val="20"/>
          <w:lang w:val="sl-SI" w:eastAsia="sl-SI"/>
        </w:rPr>
        <w:t>1990 in 1991</w:t>
      </w:r>
      <w:r>
        <w:rPr>
          <w:rFonts w:cs="Arial"/>
          <w:bCs/>
          <w:i/>
          <w:szCs w:val="20"/>
          <w:lang w:val="sl-SI" w:eastAsia="sl-SI"/>
        </w:rPr>
        <w:t>–</w:t>
      </w:r>
      <w:r w:rsidRPr="005771BD">
        <w:rPr>
          <w:rFonts w:cs="Arial"/>
          <w:bCs/>
          <w:i/>
          <w:szCs w:val="20"/>
          <w:lang w:val="sl-SI" w:eastAsia="sl-SI"/>
        </w:rPr>
        <w:t xml:space="preserve">2015 </w:t>
      </w:r>
    </w:p>
    <w:p w:rsidR="00072419" w:rsidRPr="005771BD" w:rsidRDefault="00072419" w:rsidP="00072419">
      <w:pPr>
        <w:spacing w:after="360" w:line="276" w:lineRule="auto"/>
        <w:jc w:val="both"/>
        <w:rPr>
          <w:rFonts w:cs="Arial"/>
          <w:i/>
          <w:sz w:val="18"/>
          <w:szCs w:val="18"/>
          <w:lang w:val="sl-SI" w:eastAsia="sl-SI"/>
        </w:rPr>
      </w:pPr>
      <w:r w:rsidRPr="005771BD">
        <w:rPr>
          <w:rFonts w:cs="Arial"/>
          <w:i/>
          <w:sz w:val="18"/>
          <w:szCs w:val="18"/>
          <w:lang w:val="sl-SI" w:eastAsia="sl-SI"/>
        </w:rPr>
        <w:t>Vir: Arhiv meteoroloških podatkov, Agencija RS za okolje, 2016</w:t>
      </w:r>
    </w:p>
    <w:p w:rsidR="00072419" w:rsidRPr="005771BD" w:rsidRDefault="00072419" w:rsidP="00072419">
      <w:pPr>
        <w:spacing w:after="200" w:line="276" w:lineRule="auto"/>
        <w:jc w:val="both"/>
        <w:rPr>
          <w:rFonts w:cs="Arial"/>
          <w:szCs w:val="20"/>
          <w:lang w:val="sl-SI" w:eastAsia="sl-SI"/>
        </w:rPr>
      </w:pPr>
      <w:r w:rsidRPr="005771BD">
        <w:rPr>
          <w:rFonts w:cs="Arial"/>
          <w:szCs w:val="20"/>
          <w:lang w:val="sl-SI" w:eastAsia="sl-SI"/>
        </w:rPr>
        <w:t>Dvig povprečne temperature zraka in povečana pogostnost dni s temperaturo nad vegetacijskim pragom pomeni podaljševanje dolžine letne rastne dobe. Podaljševanje trajanja letnega rastnega obdobja se beleži od konca devetdesetih let, na kar kaže tudi primerjava povprečja 1961–1990 s povprečjem 1991–2015. Izrazit skok v dolžini vegetacijskega obdobja je bil zabeležen v letu 2015.</w:t>
      </w:r>
    </w:p>
    <w:p w:rsidR="00072419" w:rsidRPr="005771BD" w:rsidRDefault="00072419" w:rsidP="00072419">
      <w:pPr>
        <w:spacing w:after="200" w:line="276" w:lineRule="auto"/>
        <w:jc w:val="both"/>
        <w:rPr>
          <w:rFonts w:cs="Arial"/>
          <w:i/>
          <w:szCs w:val="20"/>
          <w:u w:val="single"/>
          <w:lang w:val="sl-SI" w:eastAsia="sl-SI"/>
        </w:rPr>
      </w:pPr>
      <w:r w:rsidRPr="005771BD">
        <w:rPr>
          <w:rFonts w:cs="Arial"/>
          <w:i/>
          <w:szCs w:val="20"/>
          <w:u w:val="single"/>
          <w:lang w:val="sl-SI" w:eastAsia="sl-SI"/>
        </w:rPr>
        <w:t>Spreminjanje obsega ledenika</w:t>
      </w:r>
    </w:p>
    <w:p w:rsidR="00072419" w:rsidRPr="005771BD" w:rsidRDefault="00072419" w:rsidP="00072419">
      <w:pPr>
        <w:spacing w:after="200" w:line="276" w:lineRule="auto"/>
        <w:jc w:val="both"/>
        <w:rPr>
          <w:rFonts w:cs="Arial"/>
          <w:szCs w:val="20"/>
          <w:lang w:val="sl-SI" w:eastAsia="sl-SI"/>
        </w:rPr>
      </w:pPr>
      <w:r w:rsidRPr="005771BD">
        <w:rPr>
          <w:rFonts w:cs="Arial"/>
          <w:szCs w:val="20"/>
          <w:lang w:val="sl-SI" w:eastAsia="sl-SI"/>
        </w:rPr>
        <w:t>Spreminjanje obsega in prostornine ledenika je dober kazalec podnebnih sprememb. V Sloveniji sta dva ledenika, Triglavski ledenik in Ledenik pod Skuto. Oba sta zaradi svoje skrajne jugovzhodne lege in nizke nadmorske višine še poseb</w:t>
      </w:r>
      <w:r>
        <w:rPr>
          <w:rFonts w:cs="Arial"/>
          <w:szCs w:val="20"/>
          <w:lang w:val="sl-SI" w:eastAsia="sl-SI"/>
        </w:rPr>
        <w:t>ej</w:t>
      </w:r>
      <w:r w:rsidRPr="005771BD">
        <w:rPr>
          <w:rFonts w:cs="Arial"/>
          <w:szCs w:val="20"/>
          <w:lang w:val="sl-SI" w:eastAsia="sl-SI"/>
        </w:rPr>
        <w:t xml:space="preserve"> občutljiva za podnebne spremembe. </w:t>
      </w:r>
    </w:p>
    <w:p w:rsidR="00072419" w:rsidRPr="005771BD" w:rsidRDefault="00072419" w:rsidP="00072419">
      <w:pPr>
        <w:spacing w:after="200" w:line="276" w:lineRule="auto"/>
        <w:jc w:val="center"/>
        <w:rPr>
          <w:rFonts w:cs="Arial"/>
          <w:szCs w:val="20"/>
          <w:lang w:val="sl-SI" w:eastAsia="sl-SI"/>
        </w:rPr>
      </w:pPr>
      <w:r w:rsidRPr="007F272F">
        <w:rPr>
          <w:rFonts w:cs="Arial"/>
          <w:noProof/>
          <w:szCs w:val="20"/>
          <w:lang w:val="sl-SI" w:eastAsia="sl-SI"/>
        </w:rPr>
        <w:drawing>
          <wp:inline distT="0" distB="0" distL="0" distR="0" wp14:anchorId="57264D4C" wp14:editId="7370486E">
            <wp:extent cx="3409950" cy="1916935"/>
            <wp:effectExtent l="0" t="0" r="0" b="7620"/>
            <wp:docPr id="316" name="Slika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411915" cy="1918040"/>
                    </a:xfrm>
                    <a:prstGeom prst="rect">
                      <a:avLst/>
                    </a:prstGeom>
                    <a:noFill/>
                  </pic:spPr>
                </pic:pic>
              </a:graphicData>
            </a:graphic>
          </wp:inline>
        </w:drawing>
      </w:r>
    </w:p>
    <w:p w:rsidR="00072419" w:rsidRPr="005771BD" w:rsidRDefault="00072419" w:rsidP="00072419">
      <w:pPr>
        <w:spacing w:line="276" w:lineRule="auto"/>
        <w:jc w:val="both"/>
        <w:rPr>
          <w:rFonts w:cs="Arial"/>
          <w:i/>
          <w:szCs w:val="20"/>
          <w:lang w:val="sl-SI" w:eastAsia="sl-SI"/>
        </w:rPr>
      </w:pPr>
      <w:r w:rsidRPr="005771BD">
        <w:rPr>
          <w:rFonts w:cs="Arial"/>
          <w:i/>
          <w:szCs w:val="20"/>
          <w:lang w:val="sl-SI" w:eastAsia="sl-SI"/>
        </w:rPr>
        <w:t xml:space="preserve">Slika </w:t>
      </w:r>
      <w:r w:rsidR="00FF4C0C">
        <w:rPr>
          <w:rFonts w:cs="Arial"/>
          <w:i/>
          <w:szCs w:val="20"/>
          <w:lang w:val="sl-SI" w:eastAsia="sl-SI"/>
        </w:rPr>
        <w:t>10</w:t>
      </w:r>
      <w:r w:rsidRPr="005771BD">
        <w:rPr>
          <w:rFonts w:cs="Arial"/>
          <w:i/>
          <w:szCs w:val="20"/>
          <w:lang w:val="sl-SI" w:eastAsia="sl-SI"/>
        </w:rPr>
        <w:t xml:space="preserve">.17: Spremembe površine Triglavskega ledenika </w:t>
      </w:r>
    </w:p>
    <w:p w:rsidR="00072419" w:rsidRPr="005771BD" w:rsidRDefault="00072419" w:rsidP="00CF356C">
      <w:pPr>
        <w:spacing w:after="360" w:line="276" w:lineRule="auto"/>
        <w:jc w:val="both"/>
        <w:rPr>
          <w:rFonts w:cs="Arial"/>
          <w:i/>
          <w:sz w:val="18"/>
          <w:szCs w:val="18"/>
          <w:lang w:val="sl-SI" w:eastAsia="sl-SI"/>
        </w:rPr>
      </w:pPr>
      <w:r w:rsidRPr="005771BD">
        <w:rPr>
          <w:rFonts w:cs="Arial"/>
          <w:i/>
          <w:sz w:val="18"/>
          <w:szCs w:val="18"/>
          <w:lang w:val="sl-SI" w:eastAsia="sl-SI"/>
        </w:rPr>
        <w:t>Vir: Geografski inštitut Antona Melika ZRC SAZU, 2013</w:t>
      </w:r>
    </w:p>
    <w:p w:rsidR="00072419" w:rsidRPr="005771BD" w:rsidRDefault="00072419" w:rsidP="00072419">
      <w:pPr>
        <w:spacing w:after="200" w:line="276" w:lineRule="auto"/>
        <w:jc w:val="both"/>
        <w:rPr>
          <w:rFonts w:cs="Arial"/>
          <w:szCs w:val="20"/>
          <w:lang w:val="sl-SI" w:eastAsia="sl-SI"/>
        </w:rPr>
      </w:pPr>
      <w:r w:rsidRPr="005771BD">
        <w:rPr>
          <w:rFonts w:cs="Arial"/>
          <w:szCs w:val="20"/>
          <w:lang w:val="sl-SI" w:eastAsia="sl-SI"/>
        </w:rPr>
        <w:t xml:space="preserve">Krčenje Triglavskega ledenika se je začelo stopnjevati v devetdesetih letih prejšnjega stoletja. Zaradi vse hitrejšega tanjšanja ledu so sredi ledenika začele </w:t>
      </w:r>
      <w:r>
        <w:rPr>
          <w:rFonts w:cs="Arial"/>
          <w:szCs w:val="20"/>
          <w:lang w:val="sl-SI" w:eastAsia="sl-SI"/>
        </w:rPr>
        <w:t>nastajati</w:t>
      </w:r>
      <w:r w:rsidRPr="005771BD">
        <w:rPr>
          <w:rFonts w:cs="Arial"/>
          <w:szCs w:val="20"/>
          <w:lang w:val="sl-SI" w:eastAsia="sl-SI"/>
        </w:rPr>
        <w:t xml:space="preserve"> posamezne skalne grbine, dokler leta 1992 ledenik ni razpadel na dva ločena dela. Krčenje in razpadanje Triglavskega ledenika se nadaljuje, proces zastane le v letih z nadpovprečno visoko snežno odejo v pozni pomladi. To se je med drugim zgodilo leta 2004, ko je bilo v začetku julija na snegomerih pod ledenikom še več kot </w:t>
      </w:r>
      <w:r>
        <w:rPr>
          <w:rFonts w:cs="Arial"/>
          <w:szCs w:val="20"/>
          <w:lang w:val="sl-SI" w:eastAsia="sl-SI"/>
        </w:rPr>
        <w:t>dva</w:t>
      </w:r>
      <w:r w:rsidRPr="005771BD">
        <w:rPr>
          <w:rFonts w:cs="Arial"/>
          <w:szCs w:val="20"/>
          <w:lang w:val="sl-SI" w:eastAsia="sl-SI"/>
        </w:rPr>
        <w:t xml:space="preserve"> m</w:t>
      </w:r>
      <w:r>
        <w:rPr>
          <w:rFonts w:cs="Arial"/>
          <w:szCs w:val="20"/>
          <w:lang w:val="sl-SI" w:eastAsia="sl-SI"/>
        </w:rPr>
        <w:t>etra</w:t>
      </w:r>
      <w:r w:rsidRPr="005771BD">
        <w:rPr>
          <w:rFonts w:cs="Arial"/>
          <w:szCs w:val="20"/>
          <w:lang w:val="sl-SI" w:eastAsia="sl-SI"/>
        </w:rPr>
        <w:t xml:space="preserve"> snega. Snežna odeja se je obdržala do konca talilne dobe, tako da</w:t>
      </w:r>
      <w:r>
        <w:rPr>
          <w:rFonts w:cs="Arial"/>
          <w:szCs w:val="20"/>
          <w:lang w:val="sl-SI" w:eastAsia="sl-SI"/>
        </w:rPr>
        <w:t xml:space="preserve"> je</w:t>
      </w:r>
      <w:r w:rsidRPr="005771BD">
        <w:rPr>
          <w:rFonts w:cs="Arial"/>
          <w:szCs w:val="20"/>
          <w:lang w:val="sl-SI" w:eastAsia="sl-SI"/>
        </w:rPr>
        <w:t xml:space="preserve"> ledenik </w:t>
      </w:r>
      <w:r>
        <w:rPr>
          <w:rFonts w:cs="Arial"/>
          <w:szCs w:val="20"/>
          <w:lang w:val="sl-SI" w:eastAsia="sl-SI"/>
        </w:rPr>
        <w:t xml:space="preserve">ostal </w:t>
      </w:r>
      <w:r w:rsidRPr="005771BD">
        <w:rPr>
          <w:rFonts w:cs="Arial"/>
          <w:szCs w:val="20"/>
          <w:lang w:val="sl-SI" w:eastAsia="sl-SI"/>
        </w:rPr>
        <w:t>pod sneg</w:t>
      </w:r>
      <w:r>
        <w:rPr>
          <w:rFonts w:cs="Arial"/>
          <w:szCs w:val="20"/>
          <w:lang w:val="sl-SI" w:eastAsia="sl-SI"/>
        </w:rPr>
        <w:t>om</w:t>
      </w:r>
      <w:r w:rsidRPr="005771BD">
        <w:rPr>
          <w:rFonts w:cs="Arial"/>
          <w:szCs w:val="20"/>
          <w:lang w:val="sl-SI" w:eastAsia="sl-SI"/>
        </w:rPr>
        <w:t xml:space="preserve"> in meritve niso bile smiselne. Na njegovem spodnjem delu se je sneg obdržal še do konca poletja v letu 2005, zato je izmerjena površina v tem letu večja kakor v letu 2003.</w:t>
      </w:r>
    </w:p>
    <w:p w:rsidR="00072419" w:rsidRPr="005771BD" w:rsidRDefault="00072419" w:rsidP="00072419">
      <w:pPr>
        <w:spacing w:after="200" w:line="276" w:lineRule="auto"/>
        <w:jc w:val="both"/>
        <w:rPr>
          <w:rFonts w:cs="Arial"/>
          <w:szCs w:val="20"/>
          <w:lang w:val="sl-SI" w:eastAsia="sl-SI"/>
        </w:rPr>
      </w:pPr>
      <w:r w:rsidRPr="005771BD">
        <w:rPr>
          <w:rFonts w:cs="Arial"/>
          <w:szCs w:val="20"/>
          <w:lang w:val="sl-SI" w:eastAsia="sl-SI"/>
        </w:rPr>
        <w:t>Najmanjša površina ledenika pred letom 2012 je bila izmerjena leta 2007, ko je znašala 0,6 ha. V letu 2008 je bil ledenik ob koncu talilne dobe še pretežno prekrit s snegom pre</w:t>
      </w:r>
      <w:r>
        <w:rPr>
          <w:rFonts w:cs="Arial"/>
          <w:szCs w:val="20"/>
          <w:lang w:val="sl-SI" w:eastAsia="sl-SI"/>
        </w:rPr>
        <w:t>jšnje</w:t>
      </w:r>
      <w:r w:rsidRPr="005771BD">
        <w:rPr>
          <w:rFonts w:cs="Arial"/>
          <w:szCs w:val="20"/>
          <w:lang w:val="sl-SI" w:eastAsia="sl-SI"/>
        </w:rPr>
        <w:t xml:space="preserve"> zime, izmerjena površina je bila zato 1,1 ha. Še bolj si je opomogel v letu 2009 (2,9 ha). Ob koncu talilne dobe </w:t>
      </w:r>
      <w:r>
        <w:rPr>
          <w:rFonts w:cs="Arial"/>
          <w:szCs w:val="20"/>
          <w:lang w:val="sl-SI" w:eastAsia="sl-SI"/>
        </w:rPr>
        <w:t xml:space="preserve">leta </w:t>
      </w:r>
      <w:r w:rsidRPr="005771BD">
        <w:rPr>
          <w:rFonts w:cs="Arial"/>
          <w:szCs w:val="20"/>
          <w:lang w:val="sl-SI" w:eastAsia="sl-SI"/>
        </w:rPr>
        <w:t xml:space="preserve">2010, med katero je bila večina ledeniškega površja pod debelimi plastmi starega snega, je meril 2,5 ha. Trend naraščanja je zaustavila talilna doba </w:t>
      </w:r>
      <w:r>
        <w:rPr>
          <w:rFonts w:cs="Arial"/>
          <w:szCs w:val="20"/>
          <w:lang w:val="sl-SI" w:eastAsia="sl-SI"/>
        </w:rPr>
        <w:t xml:space="preserve">leta </w:t>
      </w:r>
      <w:r w:rsidRPr="005771BD">
        <w:rPr>
          <w:rFonts w:cs="Arial"/>
          <w:szCs w:val="20"/>
          <w:lang w:val="sl-SI" w:eastAsia="sl-SI"/>
        </w:rPr>
        <w:t xml:space="preserve">2011, saj se je površina ledenika zmanjšala za 0,1 ha oziroma je merila 2,4 ha. Še precej bolj </w:t>
      </w:r>
      <w:r>
        <w:rPr>
          <w:rFonts w:cs="Arial"/>
          <w:szCs w:val="20"/>
          <w:lang w:val="sl-SI" w:eastAsia="sl-SI"/>
        </w:rPr>
        <w:t xml:space="preserve">se </w:t>
      </w:r>
      <w:r w:rsidRPr="005771BD">
        <w:rPr>
          <w:rFonts w:cs="Arial"/>
          <w:szCs w:val="20"/>
          <w:lang w:val="sl-SI" w:eastAsia="sl-SI"/>
        </w:rPr>
        <w:t>je</w:t>
      </w:r>
      <w:r>
        <w:rPr>
          <w:rFonts w:cs="Arial"/>
          <w:szCs w:val="20"/>
          <w:lang w:val="sl-SI" w:eastAsia="sl-SI"/>
        </w:rPr>
        <w:t xml:space="preserve"> zmanjšala</w:t>
      </w:r>
      <w:r w:rsidRPr="005771BD">
        <w:rPr>
          <w:rFonts w:cs="Arial"/>
          <w:szCs w:val="20"/>
          <w:lang w:val="sl-SI" w:eastAsia="sl-SI"/>
        </w:rPr>
        <w:t xml:space="preserve"> njegova debelina in s tem tudi prostornina, </w:t>
      </w:r>
      <w:r>
        <w:rPr>
          <w:rFonts w:cs="Arial"/>
          <w:szCs w:val="20"/>
          <w:lang w:val="sl-SI" w:eastAsia="sl-SI"/>
        </w:rPr>
        <w:t>ponekod</w:t>
      </w:r>
      <w:r w:rsidRPr="005771BD">
        <w:rPr>
          <w:rFonts w:cs="Arial"/>
          <w:szCs w:val="20"/>
          <w:lang w:val="sl-SI" w:eastAsia="sl-SI"/>
        </w:rPr>
        <w:t xml:space="preserve"> tudi do več metrov. Podpovprečno snežena zima 2011/2012 in zelo toplo poletje 2012 sta povzročila intenzivno taljenje firna iz prejšnji zim, ki se je do konca talilne dobe </w:t>
      </w:r>
      <w:r>
        <w:rPr>
          <w:rFonts w:cs="Arial"/>
          <w:szCs w:val="20"/>
          <w:lang w:val="sl-SI" w:eastAsia="sl-SI"/>
        </w:rPr>
        <w:t xml:space="preserve">leta </w:t>
      </w:r>
      <w:r w:rsidRPr="005771BD">
        <w:rPr>
          <w:rFonts w:cs="Arial"/>
          <w:szCs w:val="20"/>
          <w:lang w:val="sl-SI" w:eastAsia="sl-SI"/>
        </w:rPr>
        <w:t>2012 obdržal le še v spodnjem delu ledenika. Izmerjena površina ledenika je bila takrat le 0,5 ha, kar je najmanj doslej.</w:t>
      </w:r>
    </w:p>
    <w:p w:rsidR="00072419" w:rsidRPr="005771BD" w:rsidRDefault="00072419" w:rsidP="00072419">
      <w:pPr>
        <w:spacing w:after="200" w:line="276" w:lineRule="auto"/>
        <w:jc w:val="both"/>
        <w:rPr>
          <w:rFonts w:cs="Arial"/>
          <w:i/>
          <w:szCs w:val="20"/>
          <w:u w:val="single"/>
          <w:lang w:val="sl-SI" w:eastAsia="sl-SI"/>
        </w:rPr>
      </w:pPr>
      <w:r w:rsidRPr="005771BD">
        <w:rPr>
          <w:rFonts w:cs="Arial"/>
          <w:i/>
          <w:szCs w:val="20"/>
          <w:u w:val="single"/>
          <w:lang w:val="sl-SI" w:eastAsia="sl-SI"/>
        </w:rPr>
        <w:t>Višina morja</w:t>
      </w:r>
    </w:p>
    <w:p w:rsidR="00072419" w:rsidRPr="005771BD" w:rsidRDefault="00072419" w:rsidP="00072419">
      <w:pPr>
        <w:spacing w:after="200" w:line="276" w:lineRule="auto"/>
        <w:jc w:val="both"/>
        <w:rPr>
          <w:rFonts w:cs="Arial"/>
          <w:szCs w:val="20"/>
          <w:lang w:val="sl-SI" w:eastAsia="sl-SI"/>
        </w:rPr>
      </w:pPr>
      <w:r w:rsidRPr="005771BD">
        <w:rPr>
          <w:rFonts w:cs="Arial"/>
          <w:szCs w:val="20"/>
          <w:lang w:val="sl-SI" w:eastAsia="sl-SI"/>
        </w:rPr>
        <w:t xml:space="preserve">Srednja letna višina morja se je v opazovanem obdobju gibala med 211 in 232 cm. Največji odmik od srednje vrednosti za dolgoletno obdobje 1960–2012, ki znaša 217 cm, je bil 15 cm leta 2010. </w:t>
      </w:r>
    </w:p>
    <w:p w:rsidR="00072419" w:rsidRPr="005771BD" w:rsidRDefault="00072419" w:rsidP="00072419">
      <w:pPr>
        <w:spacing w:after="200" w:line="276" w:lineRule="auto"/>
        <w:jc w:val="center"/>
        <w:rPr>
          <w:rFonts w:cs="Arial"/>
          <w:b/>
          <w:bCs/>
          <w:szCs w:val="20"/>
          <w:lang w:val="sl-SI" w:eastAsia="sl-SI"/>
        </w:rPr>
      </w:pPr>
      <w:r w:rsidRPr="007F272F">
        <w:rPr>
          <w:rFonts w:cs="Arial"/>
          <w:b/>
          <w:bCs/>
          <w:noProof/>
          <w:szCs w:val="20"/>
          <w:lang w:val="sl-SI" w:eastAsia="sl-SI"/>
        </w:rPr>
        <w:drawing>
          <wp:inline distT="0" distB="0" distL="0" distR="0" wp14:anchorId="35978C69" wp14:editId="11F279EE">
            <wp:extent cx="4584700" cy="2529840"/>
            <wp:effectExtent l="0" t="0" r="6350" b="3810"/>
            <wp:docPr id="317" name="Slika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584700" cy="2529840"/>
                    </a:xfrm>
                    <a:prstGeom prst="rect">
                      <a:avLst/>
                    </a:prstGeom>
                    <a:noFill/>
                  </pic:spPr>
                </pic:pic>
              </a:graphicData>
            </a:graphic>
          </wp:inline>
        </w:drawing>
      </w:r>
    </w:p>
    <w:p w:rsidR="00072419" w:rsidRPr="005771BD" w:rsidRDefault="00072419" w:rsidP="00072419">
      <w:pPr>
        <w:spacing w:line="276" w:lineRule="auto"/>
        <w:jc w:val="both"/>
        <w:rPr>
          <w:rFonts w:cs="Arial"/>
          <w:bCs/>
          <w:i/>
          <w:szCs w:val="20"/>
          <w:lang w:val="sl-SI" w:eastAsia="sl-SI"/>
        </w:rPr>
      </w:pPr>
      <w:r w:rsidRPr="005771BD">
        <w:rPr>
          <w:rFonts w:cs="Arial"/>
          <w:i/>
          <w:szCs w:val="20"/>
          <w:lang w:val="sl-SI" w:eastAsia="sl-SI"/>
        </w:rPr>
        <w:t xml:space="preserve">Slika </w:t>
      </w:r>
      <w:r w:rsidR="00CF356C">
        <w:rPr>
          <w:rFonts w:cs="Arial"/>
          <w:i/>
          <w:szCs w:val="20"/>
          <w:lang w:val="sl-SI" w:eastAsia="sl-SI"/>
        </w:rPr>
        <w:t>10</w:t>
      </w:r>
      <w:r w:rsidRPr="005771BD">
        <w:rPr>
          <w:rFonts w:cs="Arial"/>
          <w:i/>
          <w:szCs w:val="20"/>
          <w:lang w:val="sl-SI" w:eastAsia="sl-SI"/>
        </w:rPr>
        <w:t xml:space="preserve">.18: </w:t>
      </w:r>
      <w:r w:rsidRPr="005771BD">
        <w:rPr>
          <w:rFonts w:cs="Arial"/>
          <w:bCs/>
          <w:i/>
          <w:szCs w:val="20"/>
          <w:lang w:val="sl-SI" w:eastAsia="sl-SI"/>
        </w:rPr>
        <w:t xml:space="preserve">Povprečna letna višina morja na merilni postaji Koper </w:t>
      </w:r>
    </w:p>
    <w:p w:rsidR="00072419" w:rsidRPr="005771BD" w:rsidRDefault="00072419" w:rsidP="00072419">
      <w:pPr>
        <w:spacing w:after="360" w:line="276" w:lineRule="auto"/>
        <w:jc w:val="both"/>
        <w:rPr>
          <w:rFonts w:cs="Arial"/>
          <w:i/>
          <w:sz w:val="18"/>
          <w:szCs w:val="18"/>
          <w:lang w:val="sl-SI" w:eastAsia="sl-SI"/>
        </w:rPr>
      </w:pPr>
      <w:r w:rsidRPr="005771BD">
        <w:rPr>
          <w:rFonts w:cs="Arial"/>
          <w:i/>
          <w:sz w:val="18"/>
          <w:szCs w:val="18"/>
          <w:lang w:val="sl-SI" w:eastAsia="sl-SI"/>
        </w:rPr>
        <w:t>Vir: Dolgoletni niz višin morja ARSO, Agencija Republike Slovenije za okolje, 2013</w:t>
      </w:r>
    </w:p>
    <w:p w:rsidR="00072419" w:rsidRPr="005771BD" w:rsidRDefault="00072419" w:rsidP="00072419">
      <w:pPr>
        <w:spacing w:after="200" w:line="276" w:lineRule="auto"/>
        <w:jc w:val="both"/>
        <w:rPr>
          <w:rFonts w:cs="Arial"/>
          <w:szCs w:val="20"/>
          <w:lang w:val="sl-SI" w:eastAsia="sl-SI"/>
        </w:rPr>
      </w:pPr>
      <w:r w:rsidRPr="005771BD">
        <w:rPr>
          <w:rFonts w:cs="Arial"/>
          <w:szCs w:val="20"/>
          <w:lang w:val="sl-SI" w:eastAsia="sl-SI"/>
        </w:rPr>
        <w:t xml:space="preserve">Višina morja na slovenski obali je vse večja, kar je opazno </w:t>
      </w:r>
      <w:r>
        <w:rPr>
          <w:rFonts w:cs="Arial"/>
          <w:szCs w:val="20"/>
          <w:lang w:val="sl-SI" w:eastAsia="sl-SI"/>
        </w:rPr>
        <w:t>zlasti</w:t>
      </w:r>
      <w:r w:rsidRPr="005771BD">
        <w:rPr>
          <w:rFonts w:cs="Arial"/>
          <w:szCs w:val="20"/>
          <w:lang w:val="sl-SI" w:eastAsia="sl-SI"/>
        </w:rPr>
        <w:t xml:space="preserve"> v zadnjem desetletju. V celoti je to zviševanje še vedno enakega velikostnega reda kakor v Sredozemlju, </w:t>
      </w:r>
      <w:r>
        <w:rPr>
          <w:rFonts w:cs="Arial"/>
          <w:szCs w:val="20"/>
          <w:lang w:val="sl-SI" w:eastAsia="sl-SI"/>
        </w:rPr>
        <w:t xml:space="preserve">tj. </w:t>
      </w:r>
      <w:r w:rsidRPr="005771BD">
        <w:rPr>
          <w:rFonts w:cs="Arial"/>
          <w:szCs w:val="20"/>
          <w:lang w:val="sl-SI" w:eastAsia="sl-SI"/>
        </w:rPr>
        <w:t xml:space="preserve">1 mm/leto. </w:t>
      </w:r>
    </w:p>
    <w:p w:rsidR="00072419" w:rsidRPr="005771BD" w:rsidRDefault="00072419" w:rsidP="00072419">
      <w:pPr>
        <w:spacing w:after="200" w:line="276" w:lineRule="auto"/>
        <w:jc w:val="both"/>
        <w:rPr>
          <w:rFonts w:cs="Arial"/>
          <w:szCs w:val="20"/>
          <w:lang w:val="sl-SI" w:eastAsia="sl-SI"/>
        </w:rPr>
      </w:pPr>
      <w:r w:rsidRPr="005771BD">
        <w:rPr>
          <w:rFonts w:cs="Arial"/>
          <w:szCs w:val="20"/>
          <w:lang w:val="sl-SI" w:eastAsia="sl-SI"/>
        </w:rPr>
        <w:t>V opazovanem obdobju je višina morja več kot 398-krat dosegla ali presegla točko poplavljanja (300 cm), povprečno za okoli 9 cm. Največja izmerjena višina morja je bila 394 cm. Poplave so večinoma v jesensko-zimskih mesecih, občasno tudi v spomladanskih, povprečno nekaj več kot osemkrat letno in največ 31-krat v letu ter so posledica nadpovprečno visokih plim, ki jih povzročajo zlasti vremenske razmere.</w:t>
      </w:r>
    </w:p>
    <w:p w:rsidR="00072419" w:rsidRPr="005771BD" w:rsidRDefault="00072419" w:rsidP="00072419">
      <w:pPr>
        <w:spacing w:after="200" w:line="276" w:lineRule="auto"/>
        <w:jc w:val="both"/>
        <w:rPr>
          <w:rFonts w:cs="Arial"/>
          <w:szCs w:val="20"/>
          <w:lang w:val="sl-SI" w:eastAsia="sl-SI"/>
        </w:rPr>
      </w:pPr>
    </w:p>
    <w:p w:rsidR="00072419" w:rsidRPr="005771BD" w:rsidRDefault="00CF356C" w:rsidP="00072419">
      <w:pPr>
        <w:spacing w:after="200" w:line="276" w:lineRule="auto"/>
        <w:jc w:val="both"/>
        <w:rPr>
          <w:rFonts w:cs="Arial"/>
          <w:b/>
          <w:szCs w:val="20"/>
          <w:u w:val="single"/>
          <w:lang w:val="sl-SI" w:eastAsia="sl-SI"/>
        </w:rPr>
      </w:pPr>
      <w:r>
        <w:rPr>
          <w:rFonts w:cs="Arial"/>
          <w:b/>
          <w:szCs w:val="20"/>
          <w:u w:val="single"/>
          <w:lang w:val="sl-SI" w:eastAsia="sl-SI"/>
        </w:rPr>
        <w:t>10</w:t>
      </w:r>
      <w:r w:rsidR="00072419" w:rsidRPr="005771BD">
        <w:rPr>
          <w:rFonts w:cs="Arial"/>
          <w:b/>
          <w:szCs w:val="20"/>
          <w:u w:val="single"/>
          <w:lang w:val="sl-SI" w:eastAsia="sl-SI"/>
        </w:rPr>
        <w:t>. 3 Povzročitelji in razlogi</w:t>
      </w:r>
    </w:p>
    <w:p w:rsidR="00072419" w:rsidRPr="005771BD" w:rsidRDefault="00072419" w:rsidP="00072419">
      <w:pPr>
        <w:spacing w:after="200" w:line="276" w:lineRule="auto"/>
        <w:jc w:val="both"/>
        <w:rPr>
          <w:rFonts w:cs="Arial"/>
          <w:szCs w:val="20"/>
          <w:lang w:val="sl-SI" w:eastAsia="sl-SI"/>
        </w:rPr>
      </w:pPr>
      <w:r w:rsidRPr="005771BD">
        <w:rPr>
          <w:rFonts w:cs="Arial"/>
          <w:szCs w:val="20"/>
          <w:lang w:val="sl-SI" w:eastAsia="sl-SI"/>
        </w:rPr>
        <w:t>Emisije TGP so tesno povezane s končno rabo energije</w:t>
      </w:r>
      <w:r>
        <w:rPr>
          <w:rFonts w:cs="Arial"/>
          <w:szCs w:val="20"/>
          <w:lang w:val="sl-SI" w:eastAsia="sl-SI"/>
        </w:rPr>
        <w:t>,</w:t>
      </w:r>
      <w:r w:rsidRPr="005771BD">
        <w:rPr>
          <w:rFonts w:cs="Arial"/>
          <w:szCs w:val="20"/>
          <w:lang w:val="sl-SI" w:eastAsia="sl-SI"/>
        </w:rPr>
        <w:t xml:space="preserve"> tj. energijo, ki je na voljo uporabniku na mestu uporabe, predvsem s tisto, ki je fosilnega izvora</w:t>
      </w:r>
      <w:r>
        <w:rPr>
          <w:rFonts w:cs="Arial"/>
          <w:szCs w:val="20"/>
          <w:lang w:val="sl-SI" w:eastAsia="sl-SI"/>
        </w:rPr>
        <w:t>,</w:t>
      </w:r>
      <w:r w:rsidRPr="005771BD">
        <w:rPr>
          <w:rFonts w:cs="Arial"/>
          <w:szCs w:val="20"/>
          <w:lang w:val="sl-SI" w:eastAsia="sl-SI"/>
        </w:rPr>
        <w:t xml:space="preserve"> in manj s tisto iz jedrskih in obnovljivih virov. Večja ko je končna raba, višje so emisije. Ob tem je treb</w:t>
      </w:r>
      <w:r>
        <w:rPr>
          <w:rFonts w:cs="Arial"/>
          <w:szCs w:val="20"/>
          <w:lang w:val="sl-SI" w:eastAsia="sl-SI"/>
        </w:rPr>
        <w:t>a</w:t>
      </w:r>
      <w:r w:rsidRPr="005771BD">
        <w:rPr>
          <w:rFonts w:cs="Arial"/>
          <w:szCs w:val="20"/>
          <w:lang w:val="sl-SI" w:eastAsia="sl-SI"/>
        </w:rPr>
        <w:t xml:space="preserve"> upoštevati, da </w:t>
      </w:r>
      <w:r>
        <w:rPr>
          <w:rFonts w:cs="Arial"/>
          <w:szCs w:val="20"/>
          <w:lang w:val="sl-SI" w:eastAsia="sl-SI"/>
        </w:rPr>
        <w:t>so</w:t>
      </w:r>
      <w:r w:rsidRPr="005771BD">
        <w:rPr>
          <w:rFonts w:cs="Arial"/>
          <w:szCs w:val="20"/>
          <w:lang w:val="sl-SI" w:eastAsia="sl-SI"/>
        </w:rPr>
        <w:t xml:space="preserve"> razlike v emisijah pri zgorevanju tudi med posameznimi fosilnimi gorivi. Največje emisije ima</w:t>
      </w:r>
      <w:r>
        <w:rPr>
          <w:rFonts w:cs="Arial"/>
          <w:szCs w:val="20"/>
          <w:lang w:val="sl-SI" w:eastAsia="sl-SI"/>
        </w:rPr>
        <w:t>jo</w:t>
      </w:r>
      <w:r w:rsidRPr="005771BD">
        <w:rPr>
          <w:rFonts w:cs="Arial"/>
          <w:szCs w:val="20"/>
          <w:lang w:val="sl-SI" w:eastAsia="sl-SI"/>
        </w:rPr>
        <w:t xml:space="preserve"> raba premoga, nafte, kurilnega olja in bencina, najmanjše imata zemeljski plin in metan. Povečanje rabe energije fosilnega izvora tako nujno še ne pomeni tudi več emisij. Takšen primer </w:t>
      </w:r>
      <w:r>
        <w:rPr>
          <w:rFonts w:cs="Arial"/>
          <w:szCs w:val="20"/>
          <w:lang w:val="sl-SI" w:eastAsia="sl-SI"/>
        </w:rPr>
        <w:t xml:space="preserve">so </w:t>
      </w:r>
      <w:r w:rsidRPr="005771BD">
        <w:rPr>
          <w:rFonts w:cs="Arial"/>
          <w:szCs w:val="20"/>
          <w:lang w:val="sl-SI" w:eastAsia="sl-SI"/>
        </w:rPr>
        <w:t>lahko ukrepi v prometu, kjer zamenjava nafte z zemeljskim plinom ali metanom lahko pozitivno vpliva na zmanjšanje absolutnih emisij kljub povečanju končne rabe. To pa še ne pomeni, da je za preprečevanje obremenjevanja okolja zamenjava fosilnega goriva z višjimi emisijami s t</w:t>
      </w:r>
      <w:r>
        <w:rPr>
          <w:rFonts w:cs="Arial"/>
          <w:szCs w:val="20"/>
          <w:lang w:val="sl-SI" w:eastAsia="sl-SI"/>
        </w:rPr>
        <w:t>akim</w:t>
      </w:r>
      <w:r w:rsidRPr="005771BD">
        <w:rPr>
          <w:rFonts w:cs="Arial"/>
          <w:szCs w:val="20"/>
          <w:lang w:val="sl-SI" w:eastAsia="sl-SI"/>
        </w:rPr>
        <w:t>, ki ima nižje,  tudi zadostna in trajnostna rešitev.</w:t>
      </w:r>
    </w:p>
    <w:p w:rsidR="00072419" w:rsidRPr="005771BD" w:rsidRDefault="00072419" w:rsidP="00072419">
      <w:pPr>
        <w:spacing w:after="200" w:line="276" w:lineRule="auto"/>
        <w:jc w:val="both"/>
        <w:rPr>
          <w:rFonts w:cs="Arial"/>
          <w:szCs w:val="20"/>
          <w:u w:val="single"/>
          <w:lang w:val="sl-SI" w:eastAsia="sl-SI"/>
        </w:rPr>
      </w:pPr>
      <w:r w:rsidRPr="005771BD">
        <w:rPr>
          <w:rFonts w:cs="Arial"/>
          <w:szCs w:val="20"/>
          <w:lang w:val="sl-SI" w:eastAsia="sl-SI"/>
        </w:rPr>
        <w:t xml:space="preserve">Posamezni sektorji k skupnim emisijam TGP prispevajo različne deleže, zato so tudi kazalci za spremljanje prispevkov povzročiteljev večinoma zasnovani po posameznih sektorjih. Rezultati teh kazalcev so </w:t>
      </w:r>
      <w:r>
        <w:rPr>
          <w:rFonts w:cs="Arial"/>
          <w:szCs w:val="20"/>
          <w:lang w:val="sl-SI" w:eastAsia="sl-SI"/>
        </w:rPr>
        <w:t>podlaga</w:t>
      </w:r>
      <w:r w:rsidRPr="005771BD">
        <w:rPr>
          <w:rFonts w:cs="Arial"/>
          <w:szCs w:val="20"/>
          <w:lang w:val="sl-SI" w:eastAsia="sl-SI"/>
        </w:rPr>
        <w:t xml:space="preserve"> za pripravo politik in ukrepov za zmanjševanje emisij toplogrednih plinov. </w:t>
      </w:r>
    </w:p>
    <w:p w:rsidR="00072419" w:rsidRPr="005771BD" w:rsidRDefault="00072419" w:rsidP="00072419">
      <w:pPr>
        <w:spacing w:line="276" w:lineRule="auto"/>
        <w:jc w:val="both"/>
        <w:rPr>
          <w:rFonts w:cs="Arial"/>
          <w:szCs w:val="20"/>
          <w:u w:val="single"/>
          <w:lang w:val="sl-SI" w:eastAsia="sl-SI"/>
        </w:rPr>
      </w:pPr>
    </w:p>
    <w:p w:rsidR="00072419" w:rsidRPr="005771BD" w:rsidRDefault="00CF356C" w:rsidP="00072419">
      <w:pPr>
        <w:spacing w:after="200" w:line="276" w:lineRule="auto"/>
        <w:jc w:val="both"/>
        <w:rPr>
          <w:rFonts w:cs="Arial"/>
          <w:b/>
          <w:szCs w:val="20"/>
          <w:lang w:val="sl-SI" w:eastAsia="sl-SI"/>
        </w:rPr>
      </w:pPr>
      <w:r>
        <w:rPr>
          <w:rFonts w:cs="Arial"/>
          <w:b/>
          <w:szCs w:val="20"/>
          <w:lang w:val="sl-SI" w:eastAsia="sl-SI"/>
        </w:rPr>
        <w:t>10</w:t>
      </w:r>
      <w:r w:rsidR="00072419" w:rsidRPr="005771BD">
        <w:rPr>
          <w:rFonts w:cs="Arial"/>
          <w:b/>
          <w:szCs w:val="20"/>
          <w:lang w:val="sl-SI" w:eastAsia="sl-SI"/>
        </w:rPr>
        <w:t xml:space="preserve">.3.1 Raba končne energije po sektorjih </w:t>
      </w:r>
    </w:p>
    <w:p w:rsidR="00072419" w:rsidRPr="005771BD" w:rsidRDefault="00072419" w:rsidP="00072419">
      <w:pPr>
        <w:spacing w:after="200" w:line="276" w:lineRule="auto"/>
        <w:jc w:val="both"/>
        <w:rPr>
          <w:rFonts w:cs="Arial"/>
          <w:szCs w:val="20"/>
          <w:lang w:val="sl-SI" w:eastAsia="sl-SI"/>
        </w:rPr>
      </w:pPr>
      <w:r w:rsidRPr="005771BD">
        <w:rPr>
          <w:rFonts w:cs="Arial"/>
          <w:szCs w:val="20"/>
          <w:lang w:val="sl-SI" w:eastAsia="sl-SI"/>
        </w:rPr>
        <w:t>Kazalec raba končne energije p</w:t>
      </w:r>
      <w:r>
        <w:rPr>
          <w:rFonts w:cs="Arial"/>
          <w:szCs w:val="20"/>
          <w:lang w:val="sl-SI" w:eastAsia="sl-SI"/>
        </w:rPr>
        <w:t>omeni</w:t>
      </w:r>
      <w:r w:rsidRPr="005771BD">
        <w:rPr>
          <w:rFonts w:cs="Arial"/>
          <w:szCs w:val="20"/>
          <w:lang w:val="sl-SI" w:eastAsia="sl-SI"/>
        </w:rPr>
        <w:t xml:space="preserve"> vsoto rabe energije v sektorjih končne rabe in je izražen v tisoč ton</w:t>
      </w:r>
      <w:r>
        <w:rPr>
          <w:rFonts w:cs="Arial"/>
          <w:szCs w:val="20"/>
          <w:lang w:val="sl-SI" w:eastAsia="sl-SI"/>
        </w:rPr>
        <w:t>ah</w:t>
      </w:r>
      <w:r w:rsidRPr="005771BD">
        <w:rPr>
          <w:rFonts w:cs="Arial"/>
          <w:szCs w:val="20"/>
          <w:lang w:val="sl-SI" w:eastAsia="sl-SI"/>
        </w:rPr>
        <w:t xml:space="preserve"> naftnega ekvivalenta (ktoe)</w:t>
      </w:r>
      <w:r w:rsidRPr="005771BD">
        <w:rPr>
          <w:rFonts w:cs="Arial"/>
          <w:szCs w:val="20"/>
          <w:vertAlign w:val="superscript"/>
          <w:lang w:val="sl-SI" w:eastAsia="sl-SI"/>
        </w:rPr>
        <w:footnoteReference w:id="26"/>
      </w:r>
      <w:r w:rsidRPr="005771BD">
        <w:rPr>
          <w:rFonts w:cs="Arial"/>
          <w:szCs w:val="20"/>
          <w:lang w:val="sl-SI" w:eastAsia="sl-SI"/>
        </w:rPr>
        <w:t xml:space="preserve">. Obravnavani sektorji so promet, predelovalne dejavnosti in gradbeništvo, gospodinjstva ter storitve in kmetijstvo, združeno v </w:t>
      </w:r>
      <w:r>
        <w:rPr>
          <w:rFonts w:cs="Arial"/>
          <w:szCs w:val="20"/>
          <w:lang w:val="sl-SI" w:eastAsia="sl-SI"/>
        </w:rPr>
        <w:t>skupino druga</w:t>
      </w:r>
      <w:r w:rsidRPr="005771BD">
        <w:rPr>
          <w:rFonts w:cs="Arial"/>
          <w:szCs w:val="20"/>
          <w:lang w:val="sl-SI" w:eastAsia="sl-SI"/>
        </w:rPr>
        <w:t xml:space="preserve"> raba.</w:t>
      </w:r>
    </w:p>
    <w:p w:rsidR="00072419" w:rsidRPr="005771BD" w:rsidRDefault="00072419" w:rsidP="00072419">
      <w:pPr>
        <w:spacing w:after="200" w:line="276" w:lineRule="auto"/>
        <w:jc w:val="both"/>
        <w:rPr>
          <w:rFonts w:cs="Arial"/>
          <w:b/>
          <w:szCs w:val="20"/>
          <w:lang w:val="sl-SI" w:eastAsia="sl-SI"/>
        </w:rPr>
      </w:pPr>
      <w:r w:rsidRPr="007F272F">
        <w:rPr>
          <w:rFonts w:cs="Arial"/>
          <w:b/>
          <w:noProof/>
          <w:szCs w:val="20"/>
          <w:lang w:val="sl-SI" w:eastAsia="sl-SI"/>
        </w:rPr>
        <w:drawing>
          <wp:inline distT="0" distB="0" distL="0" distR="0" wp14:anchorId="1E3C5483" wp14:editId="0B82F026">
            <wp:extent cx="5170170" cy="2237740"/>
            <wp:effectExtent l="0" t="0" r="0" b="0"/>
            <wp:docPr id="318" name="Slika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170170" cy="2237740"/>
                    </a:xfrm>
                    <a:prstGeom prst="rect">
                      <a:avLst/>
                    </a:prstGeom>
                    <a:noFill/>
                  </pic:spPr>
                </pic:pic>
              </a:graphicData>
            </a:graphic>
          </wp:inline>
        </w:drawing>
      </w:r>
    </w:p>
    <w:p w:rsidR="00072419" w:rsidRPr="005771BD" w:rsidRDefault="00072419" w:rsidP="00072419">
      <w:pPr>
        <w:spacing w:line="276" w:lineRule="auto"/>
        <w:jc w:val="both"/>
        <w:rPr>
          <w:rFonts w:cs="Arial"/>
          <w:bCs/>
          <w:szCs w:val="20"/>
          <w:lang w:val="sl-SI" w:eastAsia="sl-SI"/>
        </w:rPr>
      </w:pPr>
      <w:r w:rsidRPr="005771BD">
        <w:rPr>
          <w:rFonts w:cs="Arial"/>
          <w:bCs/>
          <w:szCs w:val="20"/>
          <w:lang w:val="sl-SI" w:eastAsia="sl-SI"/>
        </w:rPr>
        <w:t xml:space="preserve">Slika </w:t>
      </w:r>
      <w:r w:rsidR="00CF356C">
        <w:rPr>
          <w:rFonts w:cs="Arial"/>
          <w:bCs/>
          <w:szCs w:val="20"/>
          <w:lang w:val="sl-SI" w:eastAsia="sl-SI"/>
        </w:rPr>
        <w:t>10</w:t>
      </w:r>
      <w:r w:rsidRPr="005771BD">
        <w:rPr>
          <w:rFonts w:cs="Arial"/>
          <w:bCs/>
          <w:szCs w:val="20"/>
          <w:lang w:val="sl-SI" w:eastAsia="sl-SI"/>
        </w:rPr>
        <w:t>.19: Raba končne energije po sektorjih v letih 2005</w:t>
      </w:r>
      <w:r>
        <w:rPr>
          <w:rFonts w:cs="Arial"/>
          <w:bCs/>
          <w:szCs w:val="20"/>
          <w:lang w:val="sl-SI" w:eastAsia="sl-SI"/>
        </w:rPr>
        <w:t>–</w:t>
      </w:r>
      <w:r w:rsidRPr="005771BD">
        <w:rPr>
          <w:rFonts w:cs="Arial"/>
          <w:bCs/>
          <w:szCs w:val="20"/>
          <w:lang w:val="sl-SI" w:eastAsia="sl-SI"/>
        </w:rPr>
        <w:t xml:space="preserve">2014 </w:t>
      </w:r>
    </w:p>
    <w:p w:rsidR="00072419" w:rsidRPr="005771BD" w:rsidRDefault="00072419" w:rsidP="00CF356C">
      <w:pPr>
        <w:spacing w:after="360" w:line="276" w:lineRule="auto"/>
        <w:jc w:val="both"/>
        <w:rPr>
          <w:rFonts w:cs="Arial"/>
          <w:sz w:val="18"/>
          <w:szCs w:val="18"/>
          <w:lang w:val="sl-SI" w:eastAsia="sl-SI"/>
        </w:rPr>
      </w:pPr>
      <w:r w:rsidRPr="005771BD">
        <w:rPr>
          <w:rFonts w:cs="Arial"/>
          <w:sz w:val="18"/>
          <w:szCs w:val="18"/>
          <w:lang w:val="sl-SI" w:eastAsia="sl-SI"/>
        </w:rPr>
        <w:t>Vir podatkov: Kazalci okolja, raba končne energije po sektorjih, ARSO, 2016</w:t>
      </w:r>
    </w:p>
    <w:p w:rsidR="00072419" w:rsidRPr="005771BD" w:rsidRDefault="00072419" w:rsidP="00072419">
      <w:pPr>
        <w:spacing w:after="200" w:line="276" w:lineRule="auto"/>
        <w:jc w:val="both"/>
        <w:rPr>
          <w:rFonts w:cs="Arial"/>
          <w:szCs w:val="20"/>
          <w:lang w:val="sl-SI" w:eastAsia="sl-SI"/>
        </w:rPr>
      </w:pPr>
      <w:r w:rsidRPr="005771BD">
        <w:rPr>
          <w:rFonts w:cs="Arial"/>
          <w:szCs w:val="20"/>
          <w:lang w:val="sl-SI" w:eastAsia="sl-SI"/>
        </w:rPr>
        <w:t>Raba končne energije v Sloveniji je leta 2014 znašala 4606,9 ktoe, kar je najmanj v zadnjih desetih letih. Zmanjšanje več let zapored je bilo opazno med let</w:t>
      </w:r>
      <w:r>
        <w:rPr>
          <w:rFonts w:cs="Arial"/>
          <w:szCs w:val="20"/>
          <w:lang w:val="sl-SI" w:eastAsia="sl-SI"/>
        </w:rPr>
        <w:t>oma</w:t>
      </w:r>
      <w:r w:rsidRPr="005771BD">
        <w:rPr>
          <w:rFonts w:cs="Arial"/>
          <w:szCs w:val="20"/>
          <w:lang w:val="sl-SI" w:eastAsia="sl-SI"/>
        </w:rPr>
        <w:t xml:space="preserve"> 2010 in 2014, ko je trend rasti na letni ravni znašal 2 %. V strukturi rabe končne energije je leta 2014 največji delež predstavljal promet s 40 %, 27 % so porabili v predelovalnih dejavnostih in gradbeništvu, 23 % v gospodinjstvih, najmanj pa v kmetijstvu in storitvah (</w:t>
      </w:r>
      <w:r>
        <w:rPr>
          <w:rFonts w:cs="Arial"/>
          <w:szCs w:val="20"/>
          <w:lang w:val="sl-SI" w:eastAsia="sl-SI"/>
        </w:rPr>
        <w:t>druga</w:t>
      </w:r>
      <w:r w:rsidRPr="005771BD">
        <w:rPr>
          <w:rFonts w:cs="Arial"/>
          <w:szCs w:val="20"/>
          <w:lang w:val="sl-SI" w:eastAsia="sl-SI"/>
        </w:rPr>
        <w:t xml:space="preserve"> raba).</w:t>
      </w:r>
    </w:p>
    <w:p w:rsidR="00072419" w:rsidRPr="005771BD" w:rsidRDefault="00072419" w:rsidP="00072419">
      <w:pPr>
        <w:autoSpaceDE w:val="0"/>
        <w:autoSpaceDN w:val="0"/>
        <w:adjustRightInd w:val="0"/>
        <w:spacing w:after="200" w:line="276" w:lineRule="auto"/>
        <w:jc w:val="both"/>
        <w:rPr>
          <w:rFonts w:eastAsia="Calibri" w:cs="Arial"/>
          <w:szCs w:val="20"/>
          <w:lang w:val="sl-SI"/>
        </w:rPr>
      </w:pPr>
      <w:r w:rsidRPr="005771BD">
        <w:rPr>
          <w:rFonts w:eastAsia="Calibri" w:cs="Arial"/>
          <w:szCs w:val="20"/>
          <w:lang w:val="sl-SI"/>
        </w:rPr>
        <w:t xml:space="preserve">V prometu je bila v letih 2007 in 2008 zabeležena intenzivna rast rabe končne energije. Vzroki zanjo so bili naraščajoča motorizacija prebivalstva, </w:t>
      </w:r>
      <w:r>
        <w:rPr>
          <w:rFonts w:eastAsia="Calibri" w:cs="Arial"/>
          <w:szCs w:val="20"/>
          <w:lang w:val="sl-SI"/>
        </w:rPr>
        <w:t>večje</w:t>
      </w:r>
      <w:r w:rsidRPr="005771BD">
        <w:rPr>
          <w:rFonts w:eastAsia="Calibri" w:cs="Arial"/>
          <w:szCs w:val="20"/>
          <w:lang w:val="sl-SI"/>
        </w:rPr>
        <w:t xml:space="preserve"> števil</w:t>
      </w:r>
      <w:r>
        <w:rPr>
          <w:rFonts w:eastAsia="Calibri" w:cs="Arial"/>
          <w:szCs w:val="20"/>
          <w:lang w:val="sl-SI"/>
        </w:rPr>
        <w:t>o</w:t>
      </w:r>
      <w:r w:rsidRPr="005771BD">
        <w:rPr>
          <w:rFonts w:eastAsia="Calibri" w:cs="Arial"/>
          <w:szCs w:val="20"/>
          <w:lang w:val="sl-SI"/>
        </w:rPr>
        <w:t xml:space="preserve"> prevoženih kilometrov na osebno vozilo, gospodarska rast in večja raba tekočih goriv zaradi tranzitnega prometa po vstopu v Evropsko </w:t>
      </w:r>
      <w:r>
        <w:rPr>
          <w:rFonts w:eastAsia="Calibri" w:cs="Arial"/>
          <w:szCs w:val="20"/>
          <w:lang w:val="sl-SI"/>
        </w:rPr>
        <w:t>u</w:t>
      </w:r>
      <w:r w:rsidRPr="005771BD">
        <w:rPr>
          <w:rFonts w:eastAsia="Calibri" w:cs="Arial"/>
          <w:szCs w:val="20"/>
          <w:lang w:val="sl-SI"/>
        </w:rPr>
        <w:t xml:space="preserve">nijo (Česen, M., Đurič, M. Urbančič, A., 2016; cv: Božičnik, 2006) v kombinaciji z nižjimi cenami goriv glede na sosednje države. </w:t>
      </w:r>
      <w:r>
        <w:rPr>
          <w:rFonts w:eastAsia="Calibri" w:cs="Arial"/>
          <w:szCs w:val="20"/>
          <w:lang w:val="sl-SI"/>
        </w:rPr>
        <w:t>V</w:t>
      </w:r>
      <w:r w:rsidRPr="005771BD">
        <w:rPr>
          <w:rFonts w:eastAsia="Calibri" w:cs="Arial"/>
          <w:szCs w:val="20"/>
          <w:lang w:val="sl-SI"/>
        </w:rPr>
        <w:t xml:space="preserve"> leti</w:t>
      </w:r>
      <w:r>
        <w:rPr>
          <w:rFonts w:eastAsia="Calibri" w:cs="Arial"/>
          <w:szCs w:val="20"/>
          <w:lang w:val="sl-SI"/>
        </w:rPr>
        <w:t>h</w:t>
      </w:r>
      <w:r w:rsidRPr="005771BD">
        <w:rPr>
          <w:rFonts w:eastAsia="Calibri" w:cs="Arial"/>
          <w:szCs w:val="20"/>
          <w:lang w:val="sl-SI"/>
        </w:rPr>
        <w:t xml:space="preserve"> 2009 in 2010</w:t>
      </w:r>
      <w:r>
        <w:rPr>
          <w:rFonts w:eastAsia="Calibri" w:cs="Arial"/>
          <w:szCs w:val="20"/>
          <w:lang w:val="sl-SI"/>
        </w:rPr>
        <w:t xml:space="preserve"> </w:t>
      </w:r>
      <w:r w:rsidRPr="005771BD">
        <w:rPr>
          <w:rFonts w:eastAsia="Calibri" w:cs="Arial"/>
          <w:szCs w:val="20"/>
          <w:lang w:val="sl-SI"/>
        </w:rPr>
        <w:t>je bila raba končne energije zaradi gospodarske krize za 13 % nižja glede na leto 2008. V obdobju 2010</w:t>
      </w:r>
      <w:r>
        <w:rPr>
          <w:rFonts w:eastAsia="Calibri" w:cs="Arial"/>
          <w:szCs w:val="20"/>
          <w:lang w:val="sl-SI"/>
        </w:rPr>
        <w:t>–</w:t>
      </w:r>
      <w:r w:rsidRPr="005771BD">
        <w:rPr>
          <w:rFonts w:eastAsia="Calibri" w:cs="Arial"/>
          <w:szCs w:val="20"/>
          <w:lang w:val="sl-SI"/>
        </w:rPr>
        <w:t xml:space="preserve">2014 je na spremembo rabe končne energije pomembno vplivala tudi cena pogonskih goriv v primerjavi s cenami v sosednjih državah. </w:t>
      </w:r>
    </w:p>
    <w:p w:rsidR="00072419" w:rsidRPr="005771BD" w:rsidRDefault="00072419" w:rsidP="00072419">
      <w:pPr>
        <w:autoSpaceDE w:val="0"/>
        <w:autoSpaceDN w:val="0"/>
        <w:adjustRightInd w:val="0"/>
        <w:spacing w:after="200" w:line="276" w:lineRule="auto"/>
        <w:jc w:val="both"/>
        <w:rPr>
          <w:rFonts w:eastAsia="Calibri" w:cs="Arial"/>
          <w:szCs w:val="20"/>
          <w:lang w:val="sl-SI"/>
        </w:rPr>
      </w:pPr>
      <w:r w:rsidRPr="005771BD">
        <w:rPr>
          <w:rFonts w:eastAsia="Calibri" w:cs="Arial"/>
          <w:szCs w:val="20"/>
          <w:lang w:val="sl-SI"/>
        </w:rPr>
        <w:t xml:space="preserve">Raba končne energije v predelovalnih dejavnostih in gradbeništvu se je po približno enakih vrednostih v letih 2005, 2006 in 2007 zaradi gospodarske krize izrazito zmanjšala v letih 2008 in 2009. Na </w:t>
      </w:r>
      <w:r>
        <w:rPr>
          <w:rFonts w:eastAsia="Calibri" w:cs="Arial"/>
          <w:szCs w:val="20"/>
          <w:lang w:val="sl-SI"/>
        </w:rPr>
        <w:t>zmanjšanje</w:t>
      </w:r>
      <w:r w:rsidRPr="005771BD">
        <w:rPr>
          <w:rFonts w:eastAsia="Calibri" w:cs="Arial"/>
          <w:szCs w:val="20"/>
          <w:lang w:val="sl-SI"/>
        </w:rPr>
        <w:t xml:space="preserve"> so pozitivno vplivali tudi ukrepi učinkovite rabe energije. Z manjšimi nihanji je nato do leta 2014 ostala dokaj </w:t>
      </w:r>
      <w:r>
        <w:rPr>
          <w:rFonts w:eastAsia="Calibri" w:cs="Arial"/>
          <w:szCs w:val="20"/>
          <w:lang w:val="sl-SI"/>
        </w:rPr>
        <w:t>nespremenjena</w:t>
      </w:r>
      <w:r w:rsidRPr="005771BD">
        <w:rPr>
          <w:rFonts w:eastAsia="Calibri" w:cs="Arial"/>
          <w:szCs w:val="20"/>
          <w:lang w:val="sl-SI"/>
        </w:rPr>
        <w:t xml:space="preserve">. </w:t>
      </w:r>
    </w:p>
    <w:p w:rsidR="00072419" w:rsidRPr="005771BD" w:rsidRDefault="00072419" w:rsidP="00072419">
      <w:pPr>
        <w:autoSpaceDE w:val="0"/>
        <w:autoSpaceDN w:val="0"/>
        <w:adjustRightInd w:val="0"/>
        <w:spacing w:after="200" w:line="276" w:lineRule="auto"/>
        <w:jc w:val="both"/>
        <w:rPr>
          <w:rFonts w:eastAsia="Calibri" w:cs="Arial"/>
          <w:szCs w:val="20"/>
          <w:lang w:val="sl-SI"/>
        </w:rPr>
      </w:pPr>
      <w:r w:rsidRPr="005771BD">
        <w:rPr>
          <w:rFonts w:eastAsia="Calibri" w:cs="Arial"/>
          <w:szCs w:val="20"/>
          <w:lang w:val="sl-SI"/>
        </w:rPr>
        <w:t xml:space="preserve">Raba končne energije v gospodinjstvu se je v prvih treh letih opazovanega obdobja zmanjševala, </w:t>
      </w:r>
      <w:r>
        <w:rPr>
          <w:rFonts w:eastAsia="Calibri" w:cs="Arial"/>
          <w:szCs w:val="20"/>
          <w:lang w:val="sl-SI"/>
        </w:rPr>
        <w:t>nato je</w:t>
      </w:r>
      <w:r w:rsidRPr="005771BD">
        <w:rPr>
          <w:rFonts w:eastAsia="Calibri" w:cs="Arial"/>
          <w:szCs w:val="20"/>
          <w:lang w:val="sl-SI"/>
        </w:rPr>
        <w:t xml:space="preserve"> tri</w:t>
      </w:r>
      <w:r>
        <w:rPr>
          <w:rFonts w:eastAsia="Calibri" w:cs="Arial"/>
          <w:szCs w:val="20"/>
          <w:lang w:val="sl-SI"/>
        </w:rPr>
        <w:t xml:space="preserve"> leta naraščala in leta 2010dosegla vrh</w:t>
      </w:r>
      <w:r w:rsidRPr="005771BD">
        <w:rPr>
          <w:rFonts w:eastAsia="Calibri" w:cs="Arial"/>
          <w:szCs w:val="20"/>
          <w:lang w:val="sl-SI"/>
        </w:rPr>
        <w:t>. V obdobju 2010</w:t>
      </w:r>
      <w:r>
        <w:rPr>
          <w:rFonts w:eastAsia="Calibri" w:cs="Arial"/>
          <w:szCs w:val="20"/>
          <w:lang w:val="sl-SI"/>
        </w:rPr>
        <w:t>–</w:t>
      </w:r>
      <w:r w:rsidRPr="005771BD">
        <w:rPr>
          <w:rFonts w:eastAsia="Calibri" w:cs="Arial"/>
          <w:szCs w:val="20"/>
          <w:lang w:val="sl-SI"/>
        </w:rPr>
        <w:t xml:space="preserve">2014 se je </w:t>
      </w:r>
      <w:r>
        <w:rPr>
          <w:rFonts w:eastAsia="Calibri" w:cs="Arial"/>
          <w:szCs w:val="20"/>
          <w:lang w:val="sl-SI"/>
        </w:rPr>
        <w:t>stalno zmanjševala</w:t>
      </w:r>
      <w:r w:rsidRPr="005771BD">
        <w:rPr>
          <w:rFonts w:eastAsia="Calibri" w:cs="Arial"/>
          <w:szCs w:val="20"/>
          <w:lang w:val="sl-SI"/>
        </w:rPr>
        <w:t xml:space="preserve"> do vrednosti 1040,3 ktoe. Razlogi za razlike v rabi energije med posameznimi leti so predvsem različne temperaturne razmere pozimi in število ter učinkovitost izvedenih ukrepov za učinkovito rabo energije (izolacija fasade, menjava strehe itd.).</w:t>
      </w:r>
    </w:p>
    <w:p w:rsidR="00072419" w:rsidRPr="005771BD" w:rsidRDefault="00072419" w:rsidP="00CF356C">
      <w:pPr>
        <w:autoSpaceDE w:val="0"/>
        <w:autoSpaceDN w:val="0"/>
        <w:adjustRightInd w:val="0"/>
        <w:spacing w:after="360" w:line="276" w:lineRule="auto"/>
        <w:jc w:val="both"/>
        <w:rPr>
          <w:rFonts w:eastAsia="Calibri" w:cs="Arial"/>
          <w:szCs w:val="20"/>
          <w:lang w:val="sl-SI"/>
        </w:rPr>
      </w:pPr>
      <w:r w:rsidRPr="005771BD">
        <w:rPr>
          <w:rFonts w:eastAsia="Calibri" w:cs="Arial"/>
          <w:szCs w:val="20"/>
          <w:lang w:val="sl-SI"/>
        </w:rPr>
        <w:t>Raba končne energije v storitvenem in kmetijskem sektorju je v opazovanem obdobju precej nihala. Raba energije v tem sektorju je izračunana kot razlika med skupno rabo končne energije in rabo končne energije v predelovaln</w:t>
      </w:r>
      <w:r>
        <w:rPr>
          <w:rFonts w:eastAsia="Calibri" w:cs="Arial"/>
          <w:szCs w:val="20"/>
          <w:lang w:val="sl-SI"/>
        </w:rPr>
        <w:t>ih</w:t>
      </w:r>
      <w:r w:rsidRPr="005771BD">
        <w:rPr>
          <w:rFonts w:eastAsia="Calibri" w:cs="Arial"/>
          <w:szCs w:val="20"/>
          <w:lang w:val="sl-SI"/>
        </w:rPr>
        <w:t xml:space="preserve"> dejavnosti</w:t>
      </w:r>
      <w:r>
        <w:rPr>
          <w:rFonts w:eastAsia="Calibri" w:cs="Arial"/>
          <w:szCs w:val="20"/>
          <w:lang w:val="sl-SI"/>
        </w:rPr>
        <w:t>h</w:t>
      </w:r>
      <w:r w:rsidRPr="005771BD">
        <w:rPr>
          <w:rFonts w:eastAsia="Calibri" w:cs="Arial"/>
          <w:szCs w:val="20"/>
          <w:lang w:val="sl-SI"/>
        </w:rPr>
        <w:t xml:space="preserve"> in gradbeništv</w:t>
      </w:r>
      <w:r>
        <w:rPr>
          <w:rFonts w:eastAsia="Calibri" w:cs="Arial"/>
          <w:szCs w:val="20"/>
          <w:lang w:val="sl-SI"/>
        </w:rPr>
        <w:t>u</w:t>
      </w:r>
      <w:r w:rsidRPr="005771BD">
        <w:rPr>
          <w:rFonts w:eastAsia="Calibri" w:cs="Arial"/>
          <w:szCs w:val="20"/>
          <w:lang w:val="sl-SI"/>
        </w:rPr>
        <w:t>, promet</w:t>
      </w:r>
      <w:r>
        <w:rPr>
          <w:rFonts w:eastAsia="Calibri" w:cs="Arial"/>
          <w:szCs w:val="20"/>
          <w:lang w:val="sl-SI"/>
        </w:rPr>
        <w:t>u</w:t>
      </w:r>
      <w:r w:rsidRPr="005771BD">
        <w:rPr>
          <w:rFonts w:eastAsia="Calibri" w:cs="Arial"/>
          <w:szCs w:val="20"/>
          <w:lang w:val="sl-SI"/>
        </w:rPr>
        <w:t xml:space="preserve"> ter gospodinjstv</w:t>
      </w:r>
      <w:r>
        <w:rPr>
          <w:rFonts w:eastAsia="Calibri" w:cs="Arial"/>
          <w:szCs w:val="20"/>
          <w:lang w:val="sl-SI"/>
        </w:rPr>
        <w:t>ih</w:t>
      </w:r>
      <w:r w:rsidRPr="005771BD">
        <w:rPr>
          <w:rFonts w:eastAsia="Calibri" w:cs="Arial"/>
          <w:szCs w:val="20"/>
          <w:lang w:val="sl-SI"/>
        </w:rPr>
        <w:t xml:space="preserve">, zato so lahko </w:t>
      </w:r>
      <w:r>
        <w:rPr>
          <w:rFonts w:eastAsia="Calibri" w:cs="Arial"/>
          <w:szCs w:val="20"/>
          <w:lang w:val="sl-SI"/>
        </w:rPr>
        <w:t>med posameznimi leti</w:t>
      </w:r>
      <w:r w:rsidRPr="005771BD">
        <w:rPr>
          <w:rFonts w:eastAsia="Calibri" w:cs="Arial"/>
          <w:szCs w:val="20"/>
          <w:lang w:val="sl-SI"/>
        </w:rPr>
        <w:t xml:space="preserve"> večje</w:t>
      </w:r>
      <w:r>
        <w:rPr>
          <w:rFonts w:eastAsia="Calibri" w:cs="Arial"/>
          <w:szCs w:val="20"/>
          <w:lang w:val="sl-SI"/>
        </w:rPr>
        <w:t xml:space="preserve"> razlike</w:t>
      </w:r>
      <w:r w:rsidRPr="005771BD">
        <w:rPr>
          <w:rFonts w:eastAsia="Calibri" w:cs="Arial"/>
          <w:szCs w:val="20"/>
          <w:lang w:val="sl-SI"/>
        </w:rPr>
        <w:t>.</w:t>
      </w:r>
    </w:p>
    <w:p w:rsidR="00072419" w:rsidRPr="005771BD" w:rsidRDefault="00CF356C" w:rsidP="00072419">
      <w:pPr>
        <w:spacing w:after="200" w:line="276" w:lineRule="auto"/>
        <w:jc w:val="both"/>
        <w:rPr>
          <w:rFonts w:cs="Arial"/>
          <w:b/>
          <w:szCs w:val="20"/>
          <w:u w:val="single"/>
          <w:lang w:val="sl-SI" w:eastAsia="sl-SI"/>
        </w:rPr>
      </w:pPr>
      <w:r>
        <w:rPr>
          <w:rFonts w:cs="Arial"/>
          <w:b/>
          <w:szCs w:val="20"/>
          <w:u w:val="single"/>
          <w:lang w:val="sl-SI" w:eastAsia="sl-SI"/>
        </w:rPr>
        <w:t>10</w:t>
      </w:r>
      <w:r w:rsidR="00072419" w:rsidRPr="005771BD">
        <w:rPr>
          <w:rFonts w:cs="Arial"/>
          <w:b/>
          <w:szCs w:val="20"/>
          <w:u w:val="single"/>
          <w:lang w:val="sl-SI" w:eastAsia="sl-SI"/>
        </w:rPr>
        <w:t xml:space="preserve">.4 Obvladovanje podnebnih sprememb </w:t>
      </w:r>
    </w:p>
    <w:p w:rsidR="00072419" w:rsidRPr="005771BD" w:rsidRDefault="00CF356C" w:rsidP="00072419">
      <w:pPr>
        <w:spacing w:after="200" w:line="276" w:lineRule="auto"/>
        <w:jc w:val="both"/>
        <w:rPr>
          <w:rFonts w:cs="Arial"/>
          <w:b/>
          <w:szCs w:val="20"/>
          <w:lang w:val="sl-SI" w:eastAsia="sl-SI"/>
        </w:rPr>
      </w:pPr>
      <w:r>
        <w:rPr>
          <w:rFonts w:cs="Arial"/>
          <w:b/>
          <w:szCs w:val="20"/>
          <w:lang w:val="sl-SI" w:eastAsia="sl-SI"/>
        </w:rPr>
        <w:t>10</w:t>
      </w:r>
      <w:r w:rsidR="00072419" w:rsidRPr="005771BD">
        <w:rPr>
          <w:rFonts w:cs="Arial"/>
          <w:b/>
          <w:szCs w:val="20"/>
          <w:lang w:val="sl-SI" w:eastAsia="sl-SI"/>
        </w:rPr>
        <w:t xml:space="preserve">.4.1 Mednarodni dogovori za zmanjševanje emisij TGP in odzivi Slovenije </w:t>
      </w:r>
    </w:p>
    <w:p w:rsidR="00072419" w:rsidRPr="005771BD" w:rsidRDefault="00072419" w:rsidP="00072419">
      <w:pPr>
        <w:spacing w:after="200" w:line="276" w:lineRule="auto"/>
        <w:jc w:val="both"/>
        <w:rPr>
          <w:rFonts w:cs="Arial"/>
          <w:szCs w:val="20"/>
          <w:lang w:val="sl-SI" w:eastAsia="sl-SI"/>
        </w:rPr>
      </w:pPr>
      <w:r w:rsidRPr="005771BD">
        <w:rPr>
          <w:rFonts w:cs="Arial"/>
          <w:szCs w:val="20"/>
          <w:lang w:val="sl-SI" w:eastAsia="sl-SI"/>
        </w:rPr>
        <w:t>Glede na globalno</w:t>
      </w:r>
      <w:r>
        <w:rPr>
          <w:rFonts w:cs="Arial"/>
          <w:szCs w:val="20"/>
          <w:lang w:val="sl-SI" w:eastAsia="sl-SI"/>
        </w:rPr>
        <w:t>st</w:t>
      </w:r>
      <w:r w:rsidRPr="005771BD">
        <w:rPr>
          <w:rFonts w:cs="Arial"/>
          <w:szCs w:val="20"/>
          <w:lang w:val="sl-SI" w:eastAsia="sl-SI"/>
        </w:rPr>
        <w:t xml:space="preserve"> podnebnih sprememb so cilji in obveznosti zmanjševanja emisij TGP dogovorjeni na mednarodni ravni </w:t>
      </w:r>
      <w:r>
        <w:rPr>
          <w:rFonts w:cs="Arial"/>
          <w:szCs w:val="20"/>
          <w:lang w:val="sl-SI" w:eastAsia="sl-SI"/>
        </w:rPr>
        <w:t>z</w:t>
      </w:r>
      <w:r w:rsidRPr="005771BD">
        <w:rPr>
          <w:rFonts w:cs="Arial"/>
          <w:szCs w:val="20"/>
          <w:lang w:val="sl-SI" w:eastAsia="sl-SI"/>
        </w:rPr>
        <w:t xml:space="preserve"> mednarodni</w:t>
      </w:r>
      <w:r>
        <w:rPr>
          <w:rFonts w:cs="Arial"/>
          <w:szCs w:val="20"/>
          <w:lang w:val="sl-SI" w:eastAsia="sl-SI"/>
        </w:rPr>
        <w:t>mi</w:t>
      </w:r>
      <w:r w:rsidRPr="005771BD">
        <w:rPr>
          <w:rFonts w:cs="Arial"/>
          <w:szCs w:val="20"/>
          <w:lang w:val="sl-SI" w:eastAsia="sl-SI"/>
        </w:rPr>
        <w:t xml:space="preserve"> sporazum</w:t>
      </w:r>
      <w:r>
        <w:rPr>
          <w:rFonts w:cs="Arial"/>
          <w:szCs w:val="20"/>
          <w:lang w:val="sl-SI" w:eastAsia="sl-SI"/>
        </w:rPr>
        <w:t>i</w:t>
      </w:r>
      <w:r w:rsidRPr="005771BD">
        <w:rPr>
          <w:rFonts w:cs="Arial"/>
          <w:szCs w:val="20"/>
          <w:lang w:val="sl-SI" w:eastAsia="sl-SI"/>
        </w:rPr>
        <w:t xml:space="preserve">. Z njihovo ratifikacijo se v njih določene obveznosti prenesejo na države, podpisnice pa za dosego zastavljenih ciljev pripravijo zakonodajno podlago. </w:t>
      </w:r>
      <w:r>
        <w:rPr>
          <w:rFonts w:cs="Arial"/>
          <w:szCs w:val="20"/>
          <w:lang w:val="sl-SI" w:eastAsia="sl-SI"/>
        </w:rPr>
        <w:t>Nato</w:t>
      </w:r>
      <w:r w:rsidRPr="005771BD">
        <w:rPr>
          <w:rFonts w:cs="Arial"/>
          <w:szCs w:val="20"/>
          <w:lang w:val="sl-SI" w:eastAsia="sl-SI"/>
        </w:rPr>
        <w:t xml:space="preserve"> v programskih dokumentih pripravijo izvedbeni načrt ukrepov</w:t>
      </w:r>
      <w:r>
        <w:rPr>
          <w:rFonts w:cs="Arial"/>
          <w:szCs w:val="20"/>
          <w:lang w:val="sl-SI" w:eastAsia="sl-SI"/>
        </w:rPr>
        <w:t>, ki jih nato</w:t>
      </w:r>
      <w:r w:rsidRPr="005771BD">
        <w:rPr>
          <w:rFonts w:cs="Arial"/>
          <w:szCs w:val="20"/>
          <w:lang w:val="sl-SI" w:eastAsia="sl-SI"/>
        </w:rPr>
        <w:t xml:space="preserve"> izva</w:t>
      </w:r>
      <w:r>
        <w:rPr>
          <w:rFonts w:cs="Arial"/>
          <w:szCs w:val="20"/>
          <w:lang w:val="sl-SI" w:eastAsia="sl-SI"/>
        </w:rPr>
        <w:t>jajo</w:t>
      </w:r>
      <w:r w:rsidRPr="005771BD">
        <w:rPr>
          <w:rFonts w:cs="Arial"/>
          <w:szCs w:val="20"/>
          <w:lang w:val="sl-SI" w:eastAsia="sl-SI"/>
        </w:rPr>
        <w:t>.</w:t>
      </w:r>
    </w:p>
    <w:p w:rsidR="00072419" w:rsidRPr="005771BD" w:rsidRDefault="00072419" w:rsidP="00072419">
      <w:pPr>
        <w:spacing w:after="200" w:line="276" w:lineRule="auto"/>
        <w:jc w:val="both"/>
        <w:rPr>
          <w:rFonts w:cs="Arial"/>
          <w:szCs w:val="20"/>
          <w:lang w:val="sl-SI" w:eastAsia="sl-SI"/>
        </w:rPr>
      </w:pPr>
      <w:r w:rsidRPr="005771BD">
        <w:rPr>
          <w:rFonts w:cs="Arial"/>
          <w:szCs w:val="20"/>
          <w:lang w:val="sl-SI" w:eastAsia="sl-SI"/>
        </w:rPr>
        <w:t xml:space="preserve">Mednarodna pogajanja </w:t>
      </w:r>
      <w:r>
        <w:rPr>
          <w:rFonts w:cs="Arial"/>
          <w:szCs w:val="20"/>
          <w:lang w:val="sl-SI" w:eastAsia="sl-SI"/>
        </w:rPr>
        <w:t xml:space="preserve">v zvezi s </w:t>
      </w:r>
      <w:r w:rsidRPr="005771BD">
        <w:rPr>
          <w:rFonts w:cs="Arial"/>
          <w:szCs w:val="20"/>
          <w:lang w:val="sl-SI" w:eastAsia="sl-SI"/>
        </w:rPr>
        <w:t xml:space="preserve">podnebnimi spremembami potekajo pod okriljem Okvirne konvencije ZN o spremembi podnebja (v nadaljevanju UNFCCC). Podpisnice se vsako leto zberejo na zasedanjih </w:t>
      </w:r>
      <w:r>
        <w:rPr>
          <w:rFonts w:cs="Arial"/>
          <w:szCs w:val="20"/>
          <w:lang w:val="sl-SI" w:eastAsia="sl-SI"/>
        </w:rPr>
        <w:t>K</w:t>
      </w:r>
      <w:r w:rsidRPr="005771BD">
        <w:rPr>
          <w:rFonts w:cs="Arial"/>
          <w:szCs w:val="20"/>
          <w:lang w:val="sl-SI" w:eastAsia="sl-SI"/>
        </w:rPr>
        <w:t xml:space="preserve">onference pogodbenic UNFCCC, imenovanih COP (Conference of Parties). V preteklosti so po uspehu doseženih dogovorov </w:t>
      </w:r>
      <w:r>
        <w:rPr>
          <w:rFonts w:cs="Arial"/>
          <w:szCs w:val="20"/>
          <w:lang w:val="sl-SI" w:eastAsia="sl-SI"/>
        </w:rPr>
        <w:t>pomembni zlasti</w:t>
      </w:r>
      <w:r w:rsidRPr="005771BD">
        <w:rPr>
          <w:rFonts w:cs="Arial"/>
          <w:szCs w:val="20"/>
          <w:lang w:val="sl-SI" w:eastAsia="sl-SI"/>
        </w:rPr>
        <w:t xml:space="preserve"> COP 3, COP 11, COP 18 in COP 21</w:t>
      </w:r>
      <w:r>
        <w:rPr>
          <w:rFonts w:cs="Arial"/>
          <w:szCs w:val="20"/>
          <w:lang w:val="sl-SI" w:eastAsia="sl-SI"/>
        </w:rPr>
        <w:t xml:space="preserve"> </w:t>
      </w:r>
      <w:r w:rsidRPr="005771BD">
        <w:rPr>
          <w:rFonts w:cs="Arial"/>
          <w:szCs w:val="20"/>
          <w:lang w:val="sl-SI" w:eastAsia="sl-SI"/>
        </w:rPr>
        <w:t>decembra 2015 v Parizu, kjer je bil sprejet Pariški sporazum o podnebnih spremembah.</w:t>
      </w:r>
    </w:p>
    <w:p w:rsidR="00072419" w:rsidRPr="005771BD" w:rsidRDefault="00072419" w:rsidP="00072419">
      <w:pPr>
        <w:spacing w:after="200" w:line="276" w:lineRule="auto"/>
        <w:jc w:val="both"/>
        <w:rPr>
          <w:rFonts w:cs="Arial"/>
          <w:szCs w:val="20"/>
          <w:lang w:val="sl-SI" w:eastAsia="sl-SI"/>
        </w:rPr>
      </w:pPr>
      <w:r w:rsidRPr="005771BD">
        <w:rPr>
          <w:rFonts w:cs="Arial"/>
          <w:szCs w:val="20"/>
          <w:lang w:val="sl-SI" w:eastAsia="sl-SI"/>
        </w:rPr>
        <w:t>Na COP 3 leta 1997 v Kjotu je bil sprejet Kjotski protokol, v katerem so bile določene obveznosti zmanjšanja emisij toplogrednih plinov razvitih držav. Slovenija ga je ratificirala 2. avgusta 2002 in se s tem obvezala, da bo v obdobju 2008</w:t>
      </w:r>
      <w:r>
        <w:rPr>
          <w:rFonts w:cs="Arial"/>
          <w:szCs w:val="20"/>
          <w:lang w:val="sl-SI" w:eastAsia="sl-SI"/>
        </w:rPr>
        <w:t>–</w:t>
      </w:r>
      <w:r w:rsidRPr="005771BD">
        <w:rPr>
          <w:rFonts w:cs="Arial"/>
          <w:szCs w:val="20"/>
          <w:lang w:val="sl-SI" w:eastAsia="sl-SI"/>
        </w:rPr>
        <w:t xml:space="preserve">2012 zmanjšala emisije TGP za 8 % glede na izhodiščno leto 1986. Za dosego tega cilja je bil leta 2003 v Sloveniji sprejet Operativni program zmanjševanja emisij toplogrednih plinov (OP TGP), v katerem so bili </w:t>
      </w:r>
      <w:r>
        <w:rPr>
          <w:rFonts w:cs="Arial"/>
          <w:szCs w:val="20"/>
          <w:lang w:val="sl-SI" w:eastAsia="sl-SI"/>
        </w:rPr>
        <w:t>pripravljeni</w:t>
      </w:r>
      <w:r w:rsidRPr="005771BD">
        <w:rPr>
          <w:rFonts w:cs="Arial"/>
          <w:szCs w:val="20"/>
          <w:lang w:val="sl-SI" w:eastAsia="sl-SI"/>
        </w:rPr>
        <w:t xml:space="preserve"> ter finančno in količinsko ovrednoteni ukrepi za zmanjšanje emisij TGP. V naslednjih letih so</w:t>
      </w:r>
      <w:r>
        <w:rPr>
          <w:rFonts w:cs="Arial"/>
          <w:szCs w:val="20"/>
          <w:lang w:val="sl-SI" w:eastAsia="sl-SI"/>
        </w:rPr>
        <w:t xml:space="preserve"> bile</w:t>
      </w:r>
      <w:r w:rsidRPr="005771BD">
        <w:rPr>
          <w:rFonts w:cs="Arial"/>
          <w:szCs w:val="20"/>
          <w:lang w:val="sl-SI" w:eastAsia="sl-SI"/>
        </w:rPr>
        <w:t xml:space="preserve"> na podlagi ocene stanja izvajanja ukrepov iz OP TGP izdelane novejše </w:t>
      </w:r>
      <w:r>
        <w:rPr>
          <w:rFonts w:cs="Arial"/>
          <w:szCs w:val="20"/>
          <w:lang w:val="sl-SI" w:eastAsia="sl-SI"/>
        </w:rPr>
        <w:t>različice</w:t>
      </w:r>
      <w:r w:rsidRPr="005771BD">
        <w:rPr>
          <w:rFonts w:cs="Arial"/>
          <w:szCs w:val="20"/>
          <w:lang w:val="sl-SI" w:eastAsia="sl-SI"/>
        </w:rPr>
        <w:t xml:space="preserve"> tega programa. Najbolj razčlenjen operativni program je bil sprejet 2009</w:t>
      </w:r>
      <w:r>
        <w:rPr>
          <w:rFonts w:cs="Arial"/>
          <w:szCs w:val="20"/>
          <w:lang w:val="sl-SI" w:eastAsia="sl-SI"/>
        </w:rPr>
        <w:t>,</w:t>
      </w:r>
      <w:r w:rsidRPr="005771BD">
        <w:rPr>
          <w:rFonts w:cs="Arial"/>
          <w:szCs w:val="20"/>
          <w:lang w:val="sl-SI" w:eastAsia="sl-SI"/>
        </w:rPr>
        <w:t xml:space="preserve"> in sicer Operativni program zmanjševanja emisij toplogrednih plinov do leta 2012 </w:t>
      </w:r>
      <w:r>
        <w:rPr>
          <w:rFonts w:cs="Arial"/>
          <w:szCs w:val="20"/>
          <w:lang w:val="sl-SI" w:eastAsia="sl-SI"/>
        </w:rPr>
        <w:t>–</w:t>
      </w:r>
      <w:r w:rsidRPr="005771BD">
        <w:rPr>
          <w:rFonts w:cs="Arial"/>
          <w:szCs w:val="20"/>
          <w:lang w:val="sl-SI" w:eastAsia="sl-SI"/>
        </w:rPr>
        <w:t xml:space="preserve"> OP TGP-1</w:t>
      </w:r>
      <w:r w:rsidRPr="005771BD">
        <w:rPr>
          <w:rFonts w:cs="Arial"/>
          <w:szCs w:val="20"/>
          <w:vertAlign w:val="superscript"/>
          <w:lang w:val="sl-SI" w:eastAsia="sl-SI"/>
        </w:rPr>
        <w:footnoteReference w:id="27"/>
      </w:r>
      <w:r w:rsidRPr="005771BD">
        <w:rPr>
          <w:rFonts w:cs="Arial"/>
          <w:szCs w:val="20"/>
          <w:lang w:val="sl-SI" w:eastAsia="sl-SI"/>
        </w:rPr>
        <w:t xml:space="preserve">. Slovenija je uspešno izpolnila obveznost zmanjšanja emisij TGP v prvem kjotskem ciljnem obdobju. </w:t>
      </w:r>
    </w:p>
    <w:p w:rsidR="00072419" w:rsidRPr="005771BD" w:rsidRDefault="00072419" w:rsidP="00072419">
      <w:pPr>
        <w:spacing w:after="200" w:line="276" w:lineRule="auto"/>
        <w:jc w:val="both"/>
        <w:rPr>
          <w:rFonts w:cs="Arial"/>
          <w:szCs w:val="20"/>
          <w:lang w:val="sl-SI" w:eastAsia="sl-SI"/>
        </w:rPr>
      </w:pPr>
      <w:r w:rsidRPr="005771BD">
        <w:rPr>
          <w:rFonts w:cs="Arial"/>
          <w:szCs w:val="20"/>
          <w:lang w:val="sl-SI" w:eastAsia="sl-SI"/>
        </w:rPr>
        <w:t xml:space="preserve">Kjotski protokol je </w:t>
      </w:r>
      <w:r>
        <w:rPr>
          <w:rFonts w:cs="Arial"/>
          <w:szCs w:val="20"/>
          <w:lang w:val="sl-SI" w:eastAsia="sl-SI"/>
        </w:rPr>
        <w:t>začel</w:t>
      </w:r>
      <w:r w:rsidRPr="005771BD">
        <w:rPr>
          <w:rFonts w:cs="Arial"/>
          <w:szCs w:val="20"/>
          <w:lang w:val="sl-SI" w:eastAsia="sl-SI"/>
        </w:rPr>
        <w:t xml:space="preserve"> velja</w:t>
      </w:r>
      <w:r>
        <w:rPr>
          <w:rFonts w:cs="Arial"/>
          <w:szCs w:val="20"/>
          <w:lang w:val="sl-SI" w:eastAsia="sl-SI"/>
        </w:rPr>
        <w:t>ti</w:t>
      </w:r>
      <w:r w:rsidRPr="005771BD">
        <w:rPr>
          <w:rFonts w:cs="Arial"/>
          <w:szCs w:val="20"/>
          <w:lang w:val="sl-SI" w:eastAsia="sl-SI"/>
        </w:rPr>
        <w:t xml:space="preserve"> leta 2005 po podpisu Rusije. Istega leta </w:t>
      </w:r>
      <w:r>
        <w:rPr>
          <w:rFonts w:cs="Arial"/>
          <w:szCs w:val="20"/>
          <w:lang w:val="sl-SI" w:eastAsia="sl-SI"/>
        </w:rPr>
        <w:t xml:space="preserve">je bilo </w:t>
      </w:r>
      <w:r w:rsidRPr="005771BD">
        <w:rPr>
          <w:rFonts w:cs="Arial"/>
          <w:szCs w:val="20"/>
          <w:lang w:val="sl-SI" w:eastAsia="sl-SI"/>
        </w:rPr>
        <w:t xml:space="preserve">na COP 11 v Montrealu sprejeto soglasje o nadaljevanju izvajanja zavez Kjotskega protokola po letu 2012. EU je nato s sprejetim pravno </w:t>
      </w:r>
      <w:r>
        <w:rPr>
          <w:rFonts w:cs="Arial"/>
          <w:szCs w:val="20"/>
          <w:lang w:val="sl-SI" w:eastAsia="sl-SI"/>
        </w:rPr>
        <w:t>za</w:t>
      </w:r>
      <w:r w:rsidRPr="005771BD">
        <w:rPr>
          <w:rFonts w:cs="Arial"/>
          <w:szCs w:val="20"/>
          <w:lang w:val="sl-SI" w:eastAsia="sl-SI"/>
        </w:rPr>
        <w:t>vezujočim Podnebn</w:t>
      </w:r>
      <w:r>
        <w:rPr>
          <w:rFonts w:cs="Arial"/>
          <w:szCs w:val="20"/>
          <w:lang w:val="sl-SI" w:eastAsia="sl-SI"/>
        </w:rPr>
        <w:t>im</w:t>
      </w:r>
      <w:r w:rsidRPr="005771BD">
        <w:rPr>
          <w:rFonts w:cs="Arial"/>
          <w:szCs w:val="20"/>
          <w:lang w:val="sl-SI" w:eastAsia="sl-SI"/>
        </w:rPr>
        <w:t xml:space="preserve"> energetskim paketom, v katerem je tudi cilj 20 % zmanjšanje emisij TGP na ravni EU glede na 1990, </w:t>
      </w:r>
      <w:r>
        <w:rPr>
          <w:rFonts w:cs="Arial"/>
          <w:szCs w:val="20"/>
          <w:lang w:val="sl-SI" w:eastAsia="sl-SI"/>
        </w:rPr>
        <w:t>določila</w:t>
      </w:r>
      <w:r w:rsidRPr="005771BD">
        <w:rPr>
          <w:rFonts w:cs="Arial"/>
          <w:szCs w:val="20"/>
          <w:lang w:val="sl-SI" w:eastAsia="sl-SI"/>
        </w:rPr>
        <w:t xml:space="preserve"> smernice za pripravo dopolnitev Kjotskega protokola za obdobje 2013</w:t>
      </w:r>
      <w:r>
        <w:rPr>
          <w:rFonts w:cs="Arial"/>
          <w:szCs w:val="20"/>
          <w:lang w:val="sl-SI" w:eastAsia="sl-SI"/>
        </w:rPr>
        <w:t>–</w:t>
      </w:r>
      <w:r w:rsidRPr="005771BD">
        <w:rPr>
          <w:rFonts w:cs="Arial"/>
          <w:szCs w:val="20"/>
          <w:lang w:val="sl-SI" w:eastAsia="sl-SI"/>
        </w:rPr>
        <w:t xml:space="preserve">2020. </w:t>
      </w:r>
      <w:r>
        <w:rPr>
          <w:rFonts w:cs="Arial"/>
          <w:szCs w:val="20"/>
          <w:lang w:val="sl-SI" w:eastAsia="sl-SI"/>
        </w:rPr>
        <w:t xml:space="preserve">Na </w:t>
      </w:r>
      <w:r w:rsidRPr="005771BD">
        <w:rPr>
          <w:rFonts w:cs="Arial"/>
          <w:szCs w:val="20"/>
          <w:lang w:val="sl-SI" w:eastAsia="sl-SI"/>
        </w:rPr>
        <w:t xml:space="preserve">COP 18 v Dohi leta 2012 </w:t>
      </w:r>
      <w:r>
        <w:rPr>
          <w:rFonts w:cs="Arial"/>
          <w:szCs w:val="20"/>
          <w:lang w:val="sl-SI" w:eastAsia="sl-SI"/>
        </w:rPr>
        <w:t>so bile te dopolnitve</w:t>
      </w:r>
      <w:r w:rsidRPr="005771BD">
        <w:rPr>
          <w:rFonts w:cs="Arial"/>
          <w:szCs w:val="20"/>
          <w:lang w:val="sl-SI" w:eastAsia="sl-SI"/>
        </w:rPr>
        <w:t xml:space="preserve"> sprejet</w:t>
      </w:r>
      <w:r>
        <w:rPr>
          <w:rFonts w:cs="Arial"/>
          <w:szCs w:val="20"/>
          <w:lang w:val="sl-SI" w:eastAsia="sl-SI"/>
        </w:rPr>
        <w:t>e</w:t>
      </w:r>
      <w:r w:rsidRPr="005771BD">
        <w:rPr>
          <w:rFonts w:cs="Arial"/>
          <w:szCs w:val="20"/>
          <w:lang w:val="sl-SI" w:eastAsia="sl-SI"/>
        </w:rPr>
        <w:t xml:space="preserve"> v obliki </w:t>
      </w:r>
      <w:r>
        <w:rPr>
          <w:rFonts w:cs="Arial"/>
          <w:szCs w:val="20"/>
          <w:lang w:val="sl-SI" w:eastAsia="sl-SI"/>
        </w:rPr>
        <w:t>dodatka</w:t>
      </w:r>
      <w:r w:rsidRPr="005771BD">
        <w:rPr>
          <w:rFonts w:cs="Arial"/>
          <w:szCs w:val="20"/>
          <w:lang w:val="sl-SI" w:eastAsia="sl-SI"/>
        </w:rPr>
        <w:t xml:space="preserve"> h Kjotskemu protokolu. V njem so se podpisnice zavezale, da bodo do leta 2020 zmanjšale emisije TGP v povprečju za 18 % glede na leto 1990. EU </w:t>
      </w:r>
      <w:r>
        <w:rPr>
          <w:rFonts w:cs="Arial"/>
          <w:szCs w:val="20"/>
          <w:lang w:val="sl-SI" w:eastAsia="sl-SI"/>
        </w:rPr>
        <w:t>tega dodatka</w:t>
      </w:r>
      <w:r w:rsidRPr="005771BD">
        <w:rPr>
          <w:rFonts w:cs="Arial"/>
          <w:szCs w:val="20"/>
          <w:lang w:val="sl-SI" w:eastAsia="sl-SI"/>
        </w:rPr>
        <w:t xml:space="preserve"> do</w:t>
      </w:r>
      <w:r>
        <w:rPr>
          <w:rFonts w:cs="Arial"/>
          <w:szCs w:val="20"/>
          <w:lang w:val="sl-SI" w:eastAsia="sl-SI"/>
        </w:rPr>
        <w:t xml:space="preserve">slej </w:t>
      </w:r>
      <w:r w:rsidRPr="005771BD">
        <w:rPr>
          <w:rFonts w:cs="Arial"/>
          <w:szCs w:val="20"/>
          <w:lang w:val="sl-SI" w:eastAsia="sl-SI"/>
        </w:rPr>
        <w:t>zaradi njegovega nepodpisa na Poljskem še ni ratificira</w:t>
      </w:r>
      <w:r>
        <w:rPr>
          <w:rFonts w:cs="Arial"/>
          <w:szCs w:val="20"/>
          <w:lang w:val="sl-SI" w:eastAsia="sl-SI"/>
        </w:rPr>
        <w:t>la</w:t>
      </w:r>
      <w:r w:rsidRPr="005771BD">
        <w:rPr>
          <w:rFonts w:cs="Arial"/>
          <w:szCs w:val="20"/>
          <w:lang w:val="sl-SI" w:eastAsia="sl-SI"/>
        </w:rPr>
        <w:t>, z izpolnjenimi obveznostmi iz podnebno</w:t>
      </w:r>
      <w:r>
        <w:rPr>
          <w:rFonts w:cs="Arial"/>
          <w:szCs w:val="20"/>
          <w:lang w:val="sl-SI" w:eastAsia="sl-SI"/>
        </w:rPr>
        <w:t>-</w:t>
      </w:r>
      <w:r w:rsidRPr="005771BD">
        <w:rPr>
          <w:rFonts w:cs="Arial"/>
          <w:szCs w:val="20"/>
          <w:lang w:val="sl-SI" w:eastAsia="sl-SI"/>
        </w:rPr>
        <w:t xml:space="preserve">energetskega paketa (20 % emisij TGP leta 2020 glede na </w:t>
      </w:r>
      <w:r>
        <w:rPr>
          <w:rFonts w:cs="Arial"/>
          <w:szCs w:val="20"/>
          <w:lang w:val="sl-SI" w:eastAsia="sl-SI"/>
        </w:rPr>
        <w:t xml:space="preserve">leto </w:t>
      </w:r>
      <w:r w:rsidRPr="005771BD">
        <w:rPr>
          <w:rFonts w:cs="Arial"/>
          <w:szCs w:val="20"/>
          <w:lang w:val="sl-SI" w:eastAsia="sl-SI"/>
        </w:rPr>
        <w:t xml:space="preserve">1990) pa bo vseeno prispevala k doseganju cilja, določenega  v </w:t>
      </w:r>
      <w:r>
        <w:rPr>
          <w:rFonts w:cs="Arial"/>
          <w:szCs w:val="20"/>
          <w:lang w:val="sl-SI" w:eastAsia="sl-SI"/>
        </w:rPr>
        <w:t>njem</w:t>
      </w:r>
      <w:r w:rsidRPr="005771BD">
        <w:rPr>
          <w:rFonts w:cs="Arial"/>
          <w:szCs w:val="20"/>
          <w:lang w:val="sl-SI" w:eastAsia="sl-SI"/>
        </w:rPr>
        <w:t xml:space="preserve">. To bo dosegla </w:t>
      </w:r>
      <w:r>
        <w:rPr>
          <w:rFonts w:cs="Arial"/>
          <w:szCs w:val="20"/>
          <w:lang w:val="sl-SI" w:eastAsia="sl-SI"/>
        </w:rPr>
        <w:t xml:space="preserve">z </w:t>
      </w:r>
      <w:r w:rsidRPr="005771BD">
        <w:rPr>
          <w:rFonts w:cs="Arial"/>
          <w:szCs w:val="20"/>
          <w:lang w:val="sl-SI" w:eastAsia="sl-SI"/>
        </w:rPr>
        <w:t>vzpostavljen</w:t>
      </w:r>
      <w:r>
        <w:rPr>
          <w:rFonts w:cs="Arial"/>
          <w:szCs w:val="20"/>
          <w:lang w:val="sl-SI" w:eastAsia="sl-SI"/>
        </w:rPr>
        <w:t>im</w:t>
      </w:r>
      <w:r w:rsidRPr="005771BD">
        <w:rPr>
          <w:rFonts w:cs="Arial"/>
          <w:szCs w:val="20"/>
          <w:lang w:val="sl-SI" w:eastAsia="sl-SI"/>
        </w:rPr>
        <w:t xml:space="preserve"> sistem</w:t>
      </w:r>
      <w:r>
        <w:rPr>
          <w:rFonts w:cs="Arial"/>
          <w:szCs w:val="20"/>
          <w:lang w:val="sl-SI" w:eastAsia="sl-SI"/>
        </w:rPr>
        <w:t>om</w:t>
      </w:r>
      <w:r w:rsidRPr="005771BD">
        <w:rPr>
          <w:rFonts w:cs="Arial"/>
          <w:szCs w:val="20"/>
          <w:lang w:val="sl-SI" w:eastAsia="sl-SI"/>
        </w:rPr>
        <w:t xml:space="preserve"> EU ETS (EU Emissions Trading System), ki zajema velike onesnaževalce s področja energeti</w:t>
      </w:r>
      <w:r>
        <w:rPr>
          <w:rFonts w:cs="Arial"/>
          <w:szCs w:val="20"/>
          <w:lang w:val="sl-SI" w:eastAsia="sl-SI"/>
        </w:rPr>
        <w:t>k</w:t>
      </w:r>
      <w:r w:rsidRPr="005771BD">
        <w:rPr>
          <w:rFonts w:cs="Arial"/>
          <w:szCs w:val="20"/>
          <w:lang w:val="sl-SI" w:eastAsia="sl-SI"/>
        </w:rPr>
        <w:t xml:space="preserve">e in drugih vej industrije, in </w:t>
      </w:r>
      <w:r>
        <w:rPr>
          <w:rFonts w:cs="Arial"/>
          <w:szCs w:val="20"/>
          <w:lang w:val="sl-SI" w:eastAsia="sl-SI"/>
        </w:rPr>
        <w:t>zastavljenimi</w:t>
      </w:r>
      <w:r w:rsidRPr="005771BD">
        <w:rPr>
          <w:rFonts w:cs="Arial"/>
          <w:szCs w:val="20"/>
          <w:lang w:val="sl-SI" w:eastAsia="sl-SI"/>
        </w:rPr>
        <w:t xml:space="preserve"> cilj</w:t>
      </w:r>
      <w:r>
        <w:rPr>
          <w:rFonts w:cs="Arial"/>
          <w:szCs w:val="20"/>
          <w:lang w:val="sl-SI" w:eastAsia="sl-SI"/>
        </w:rPr>
        <w:t>i</w:t>
      </w:r>
      <w:r w:rsidRPr="005771BD">
        <w:rPr>
          <w:rFonts w:cs="Arial"/>
          <w:szCs w:val="20"/>
          <w:lang w:val="sl-SI" w:eastAsia="sl-SI"/>
        </w:rPr>
        <w:t xml:space="preserve"> glede emisij iz sektorjev, ki niso vključeni v sistem EU ETS (</w:t>
      </w:r>
      <w:r>
        <w:rPr>
          <w:rFonts w:cs="Arial"/>
          <w:szCs w:val="20"/>
          <w:lang w:val="sl-SI" w:eastAsia="sl-SI"/>
        </w:rPr>
        <w:t xml:space="preserve">sektorji </w:t>
      </w:r>
      <w:r w:rsidRPr="005771BD">
        <w:rPr>
          <w:rFonts w:cs="Arial"/>
          <w:szCs w:val="20"/>
          <w:lang w:val="sl-SI" w:eastAsia="sl-SI"/>
        </w:rPr>
        <w:t xml:space="preserve">ne-ETS). </w:t>
      </w:r>
    </w:p>
    <w:p w:rsidR="00072419" w:rsidRPr="005771BD" w:rsidRDefault="00072419" w:rsidP="00072419">
      <w:pPr>
        <w:spacing w:after="200" w:line="276" w:lineRule="auto"/>
        <w:jc w:val="both"/>
        <w:rPr>
          <w:rFonts w:cs="Arial"/>
          <w:szCs w:val="20"/>
          <w:lang w:val="sl-SI" w:eastAsia="sl-SI"/>
        </w:rPr>
      </w:pPr>
      <w:r w:rsidRPr="005771BD">
        <w:rPr>
          <w:rFonts w:cs="Arial"/>
          <w:szCs w:val="20"/>
          <w:lang w:val="sl-SI" w:eastAsia="sl-SI"/>
        </w:rPr>
        <w:t xml:space="preserve">Sistem EU ETS je bil vzpostavljen za podporo državam članicam, da zaveze zmanjšanja emisij TGP dosežejo na stroškovno učinkovit način. V sistemu sodelujoča podjetja </w:t>
      </w:r>
      <w:r>
        <w:rPr>
          <w:rFonts w:cs="Arial"/>
          <w:szCs w:val="20"/>
          <w:lang w:val="sl-SI" w:eastAsia="sl-SI"/>
        </w:rPr>
        <w:t>morajo</w:t>
      </w:r>
      <w:r w:rsidRPr="005771BD">
        <w:rPr>
          <w:rFonts w:cs="Arial"/>
          <w:szCs w:val="20"/>
          <w:lang w:val="sl-SI" w:eastAsia="sl-SI"/>
        </w:rPr>
        <w:t xml:space="preserve"> zniževati emisije TGP, za dosego tega cilja pa lahko kupujejo ali prodajajo pravice do emisije TGP, na ta način pa se lahko emisije zmanjšujejo s čim manjšimi stroški. EU ETS je temelj strategije EU za boj proti podnebnim spremembam. </w:t>
      </w:r>
      <w:r>
        <w:rPr>
          <w:rFonts w:cs="Arial"/>
          <w:szCs w:val="20"/>
          <w:lang w:val="sl-SI" w:eastAsia="sl-SI"/>
        </w:rPr>
        <w:t>Je</w:t>
      </w:r>
      <w:r w:rsidRPr="005771BD">
        <w:rPr>
          <w:rFonts w:cs="Arial"/>
          <w:szCs w:val="20"/>
          <w:lang w:val="sl-SI" w:eastAsia="sl-SI"/>
        </w:rPr>
        <w:t xml:space="preserve"> prvi mednarodni sistem za trgovanje z emisijami CO</w:t>
      </w:r>
      <w:r w:rsidRPr="005771BD">
        <w:rPr>
          <w:rFonts w:cs="Arial"/>
          <w:szCs w:val="20"/>
          <w:vertAlign w:val="subscript"/>
          <w:lang w:val="sl-SI" w:eastAsia="sl-SI"/>
        </w:rPr>
        <w:t>2</w:t>
      </w:r>
      <w:r w:rsidRPr="005771BD">
        <w:rPr>
          <w:rFonts w:cs="Arial"/>
          <w:szCs w:val="20"/>
          <w:lang w:val="sl-SI" w:eastAsia="sl-SI"/>
        </w:rPr>
        <w:t xml:space="preserve"> v svetu. </w:t>
      </w:r>
      <w:r>
        <w:rPr>
          <w:rFonts w:cs="Arial"/>
          <w:szCs w:val="20"/>
          <w:lang w:val="sl-SI" w:eastAsia="sl-SI"/>
        </w:rPr>
        <w:t>V</w:t>
      </w:r>
      <w:r w:rsidRPr="005771BD">
        <w:rPr>
          <w:rFonts w:cs="Arial"/>
          <w:szCs w:val="20"/>
          <w:lang w:val="sl-SI" w:eastAsia="sl-SI"/>
        </w:rPr>
        <w:t xml:space="preserve">ključuje več kot 11 000 naprav v energetskih in industrijskih panogah, ki skupaj </w:t>
      </w:r>
      <w:r>
        <w:rPr>
          <w:rFonts w:cs="Arial"/>
          <w:szCs w:val="20"/>
          <w:lang w:val="sl-SI" w:eastAsia="sl-SI"/>
        </w:rPr>
        <w:t>ustvarjajo</w:t>
      </w:r>
      <w:r w:rsidRPr="005771BD">
        <w:rPr>
          <w:rFonts w:cs="Arial"/>
          <w:szCs w:val="20"/>
          <w:lang w:val="sl-SI" w:eastAsia="sl-SI"/>
        </w:rPr>
        <w:t xml:space="preserve"> skoraj polovico emisij CO</w:t>
      </w:r>
      <w:r w:rsidRPr="005771BD">
        <w:rPr>
          <w:rFonts w:cs="Arial"/>
          <w:szCs w:val="20"/>
          <w:vertAlign w:val="subscript"/>
          <w:lang w:val="sl-SI" w:eastAsia="sl-SI"/>
        </w:rPr>
        <w:t>2</w:t>
      </w:r>
      <w:r w:rsidRPr="005771BD">
        <w:rPr>
          <w:rFonts w:cs="Arial"/>
          <w:szCs w:val="20"/>
          <w:lang w:val="sl-SI" w:eastAsia="sl-SI"/>
        </w:rPr>
        <w:t xml:space="preserve"> in 45 % skupnih emisij TGP v EU. Zajema emisije CO</w:t>
      </w:r>
      <w:r w:rsidRPr="005771BD">
        <w:rPr>
          <w:rFonts w:cs="Arial"/>
          <w:szCs w:val="20"/>
          <w:vertAlign w:val="subscript"/>
          <w:lang w:val="sl-SI" w:eastAsia="sl-SI"/>
        </w:rPr>
        <w:t>2</w:t>
      </w:r>
      <w:r w:rsidRPr="005771BD">
        <w:rPr>
          <w:rFonts w:cs="Arial"/>
          <w:szCs w:val="20"/>
          <w:lang w:val="sl-SI" w:eastAsia="sl-SI"/>
        </w:rPr>
        <w:t>, N</w:t>
      </w:r>
      <w:r w:rsidRPr="005771BD">
        <w:rPr>
          <w:rFonts w:cs="Arial"/>
          <w:szCs w:val="20"/>
          <w:vertAlign w:val="subscript"/>
          <w:lang w:val="sl-SI" w:eastAsia="sl-SI"/>
        </w:rPr>
        <w:t>2</w:t>
      </w:r>
      <w:r w:rsidRPr="005771BD">
        <w:rPr>
          <w:rFonts w:cs="Arial"/>
          <w:szCs w:val="20"/>
          <w:lang w:val="sl-SI" w:eastAsia="sl-SI"/>
        </w:rPr>
        <w:t>O in PFC.</w:t>
      </w:r>
    </w:p>
    <w:p w:rsidR="00072419" w:rsidRPr="005771BD" w:rsidRDefault="00072419" w:rsidP="00072419">
      <w:pPr>
        <w:spacing w:after="200" w:line="276" w:lineRule="auto"/>
        <w:jc w:val="center"/>
        <w:rPr>
          <w:rFonts w:cs="Arial"/>
          <w:szCs w:val="20"/>
          <w:lang w:val="sl-SI" w:eastAsia="sl-SI"/>
        </w:rPr>
      </w:pPr>
      <w:r w:rsidRPr="007F272F">
        <w:rPr>
          <w:rFonts w:cs="Arial"/>
          <w:noProof/>
          <w:szCs w:val="20"/>
          <w:lang w:val="sl-SI" w:eastAsia="sl-SI"/>
        </w:rPr>
        <w:drawing>
          <wp:inline distT="0" distB="0" distL="0" distR="0" wp14:anchorId="39438B04" wp14:editId="6F38EE8B">
            <wp:extent cx="4755515" cy="2103120"/>
            <wp:effectExtent l="0" t="0" r="6985" b="0"/>
            <wp:docPr id="319" name="Slika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755515" cy="2103120"/>
                    </a:xfrm>
                    <a:prstGeom prst="rect">
                      <a:avLst/>
                    </a:prstGeom>
                    <a:noFill/>
                  </pic:spPr>
                </pic:pic>
              </a:graphicData>
            </a:graphic>
          </wp:inline>
        </w:drawing>
      </w:r>
    </w:p>
    <w:p w:rsidR="00072419" w:rsidRPr="005771BD" w:rsidRDefault="00072419" w:rsidP="00072419">
      <w:pPr>
        <w:spacing w:line="276" w:lineRule="auto"/>
        <w:jc w:val="both"/>
        <w:rPr>
          <w:rFonts w:cs="Arial"/>
          <w:bCs/>
          <w:i/>
          <w:szCs w:val="20"/>
          <w:lang w:val="sl-SI" w:eastAsia="sl-SI"/>
        </w:rPr>
      </w:pPr>
      <w:r w:rsidRPr="005771BD">
        <w:rPr>
          <w:rFonts w:cs="Arial"/>
          <w:i/>
          <w:szCs w:val="20"/>
          <w:lang w:val="sl-SI" w:eastAsia="sl-SI"/>
        </w:rPr>
        <w:t xml:space="preserve">Slika </w:t>
      </w:r>
      <w:r w:rsidR="00CF356C">
        <w:rPr>
          <w:rFonts w:cs="Arial"/>
          <w:i/>
          <w:szCs w:val="20"/>
          <w:lang w:val="sl-SI" w:eastAsia="sl-SI"/>
        </w:rPr>
        <w:t>10</w:t>
      </w:r>
      <w:r w:rsidRPr="005771BD">
        <w:rPr>
          <w:rFonts w:cs="Arial"/>
          <w:i/>
          <w:szCs w:val="20"/>
          <w:lang w:val="sl-SI" w:eastAsia="sl-SI"/>
        </w:rPr>
        <w:t xml:space="preserve">.20: Emisije TGP </w:t>
      </w:r>
      <w:r w:rsidRPr="005771BD">
        <w:rPr>
          <w:rFonts w:cs="Arial"/>
          <w:bCs/>
          <w:i/>
          <w:szCs w:val="20"/>
          <w:lang w:val="sl-SI" w:eastAsia="sl-SI"/>
        </w:rPr>
        <w:t xml:space="preserve">izven trgovanja EU ETS, po sektorjih, Slovenija, 20132020 </w:t>
      </w:r>
    </w:p>
    <w:p w:rsidR="00072419" w:rsidRPr="005771BD" w:rsidRDefault="00072419" w:rsidP="00072419">
      <w:pPr>
        <w:spacing w:after="360" w:line="276" w:lineRule="auto"/>
        <w:jc w:val="both"/>
        <w:rPr>
          <w:rFonts w:cs="Arial"/>
          <w:i/>
          <w:sz w:val="18"/>
          <w:szCs w:val="18"/>
          <w:lang w:val="sl-SI" w:eastAsia="sl-SI"/>
        </w:rPr>
      </w:pPr>
      <w:r w:rsidRPr="005771BD">
        <w:rPr>
          <w:rFonts w:cs="Arial"/>
          <w:i/>
          <w:sz w:val="18"/>
          <w:szCs w:val="18"/>
          <w:lang w:val="sl-SI" w:eastAsia="sl-SI"/>
        </w:rPr>
        <w:t xml:space="preserve">Vir: ARSO, Poročilo o emisijah TGP, 2016; </w:t>
      </w:r>
      <w:r>
        <w:rPr>
          <w:rFonts w:cs="Arial"/>
          <w:i/>
          <w:sz w:val="18"/>
          <w:szCs w:val="18"/>
          <w:lang w:val="sl-SI" w:eastAsia="sl-SI"/>
        </w:rPr>
        <w:t>p</w:t>
      </w:r>
      <w:r w:rsidRPr="005771BD">
        <w:rPr>
          <w:rFonts w:cs="Arial"/>
          <w:i/>
          <w:sz w:val="18"/>
          <w:szCs w:val="18"/>
          <w:lang w:val="sl-SI" w:eastAsia="sl-SI"/>
        </w:rPr>
        <w:t>oročila o izpolnitvi obveznosti 2013-201</w:t>
      </w:r>
      <w:r>
        <w:rPr>
          <w:rFonts w:cs="Arial"/>
          <w:i/>
          <w:sz w:val="18"/>
          <w:szCs w:val="18"/>
          <w:lang w:val="sl-SI" w:eastAsia="sl-SI"/>
        </w:rPr>
        <w:t>6</w:t>
      </w:r>
      <w:r w:rsidRPr="005771BD">
        <w:rPr>
          <w:rFonts w:cs="Arial"/>
          <w:i/>
          <w:sz w:val="18"/>
          <w:szCs w:val="18"/>
          <w:lang w:val="sl-SI" w:eastAsia="sl-SI"/>
        </w:rPr>
        <w:t xml:space="preserve"> </w:t>
      </w:r>
    </w:p>
    <w:p w:rsidR="00072419" w:rsidRPr="005771BD" w:rsidRDefault="00072419" w:rsidP="00072419">
      <w:pPr>
        <w:spacing w:after="200" w:line="276" w:lineRule="auto"/>
        <w:jc w:val="both"/>
        <w:rPr>
          <w:rFonts w:cs="Arial"/>
          <w:szCs w:val="20"/>
          <w:lang w:val="sl-SI" w:eastAsia="sl-SI"/>
        </w:rPr>
      </w:pPr>
      <w:r w:rsidRPr="005771BD">
        <w:rPr>
          <w:rFonts w:cs="Arial"/>
          <w:szCs w:val="20"/>
          <w:lang w:val="sl-SI" w:eastAsia="sl-SI"/>
        </w:rPr>
        <w:t>V podnebno-energetskem paketu so bili za Slovenijo določeni novi cilji za zmanjševanje emisij TGP do leta 2020 v sektorjih, ki niso vključeni v trgovanje z emisijami EU ETS. Po Odločbi 406/2009/ES</w:t>
      </w:r>
      <w:r w:rsidRPr="005771BD">
        <w:rPr>
          <w:rFonts w:cs="Arial"/>
          <w:szCs w:val="20"/>
          <w:vertAlign w:val="superscript"/>
          <w:lang w:val="sl-SI" w:eastAsia="sl-SI"/>
        </w:rPr>
        <w:footnoteReference w:id="28"/>
      </w:r>
      <w:r w:rsidRPr="005771BD">
        <w:rPr>
          <w:rFonts w:cs="Arial"/>
          <w:szCs w:val="20"/>
          <w:lang w:val="sl-SI" w:eastAsia="sl-SI"/>
        </w:rPr>
        <w:t xml:space="preserve"> je obveznost Slovenije za leto 2020, da se njene emisije TGP iz virov zunaj sistema ETS ne bodo povečale za več kot 4 % glede na leto 2005, oz</w:t>
      </w:r>
      <w:r>
        <w:rPr>
          <w:rFonts w:cs="Arial"/>
          <w:szCs w:val="20"/>
          <w:lang w:val="sl-SI" w:eastAsia="sl-SI"/>
        </w:rPr>
        <w:t>iroma</w:t>
      </w:r>
      <w:r w:rsidRPr="005771BD">
        <w:rPr>
          <w:rFonts w:cs="Arial"/>
          <w:szCs w:val="20"/>
          <w:lang w:val="sl-SI" w:eastAsia="sl-SI"/>
        </w:rPr>
        <w:t xml:space="preserve"> da bodo leta 2020 manjše od 12.117 kt CO2 ekv. Poleg tega mora Slovenija letno zagotoviti, da emisije ne presegajo linearne trajektorije do cilja v obdobju 2013</w:t>
      </w:r>
      <w:r>
        <w:rPr>
          <w:rFonts w:cs="Arial"/>
          <w:szCs w:val="20"/>
          <w:lang w:val="sl-SI" w:eastAsia="sl-SI"/>
        </w:rPr>
        <w:t>–</w:t>
      </w:r>
      <w:r w:rsidRPr="005771BD">
        <w:rPr>
          <w:rFonts w:cs="Arial"/>
          <w:szCs w:val="20"/>
          <w:lang w:val="sl-SI" w:eastAsia="sl-SI"/>
        </w:rPr>
        <w:t xml:space="preserve">2020. </w:t>
      </w:r>
    </w:p>
    <w:p w:rsidR="00072419" w:rsidRPr="005771BD" w:rsidRDefault="00072419" w:rsidP="00072419">
      <w:pPr>
        <w:spacing w:after="200" w:line="276" w:lineRule="auto"/>
        <w:jc w:val="both"/>
        <w:rPr>
          <w:rFonts w:cs="Arial"/>
          <w:szCs w:val="20"/>
          <w:lang w:val="sl-SI" w:eastAsia="sl-SI"/>
        </w:rPr>
      </w:pPr>
      <w:r w:rsidRPr="005771BD">
        <w:rPr>
          <w:rFonts w:cs="Arial"/>
          <w:szCs w:val="20"/>
          <w:lang w:val="sl-SI" w:eastAsia="sl-SI"/>
        </w:rPr>
        <w:t xml:space="preserve">Za doseganje teh ciljev je Vlada Republike Slovenije decembra 2014 sprejela Operativni program zmanjševanja emisij toplogrednih plinov do leta 2020 </w:t>
      </w:r>
      <w:r>
        <w:rPr>
          <w:rFonts w:cs="Arial"/>
          <w:szCs w:val="20"/>
          <w:lang w:val="sl-SI" w:eastAsia="sl-SI"/>
        </w:rPr>
        <w:t xml:space="preserve">oziroma </w:t>
      </w:r>
      <w:r w:rsidRPr="005771BD">
        <w:rPr>
          <w:rFonts w:cs="Arial"/>
          <w:szCs w:val="20"/>
          <w:lang w:val="sl-SI" w:eastAsia="sl-SI"/>
        </w:rPr>
        <w:t xml:space="preserve">2030 (OP TGP 2020). Področja, za katera so v OP TGP 2020 opredeljeni ukrepi, so: zelena rast gospodarstva; stavbe; promet; kmetijstvo, </w:t>
      </w:r>
      <w:r>
        <w:rPr>
          <w:rFonts w:cs="Arial"/>
          <w:szCs w:val="20"/>
          <w:lang w:val="sl-SI" w:eastAsia="sl-SI"/>
        </w:rPr>
        <w:t xml:space="preserve">industrija </w:t>
      </w:r>
      <w:r w:rsidRPr="005771BD">
        <w:rPr>
          <w:rFonts w:cs="Arial"/>
          <w:szCs w:val="20"/>
          <w:lang w:val="sl-SI" w:eastAsia="sl-SI"/>
        </w:rPr>
        <w:t xml:space="preserve">ne-ETS; ravnanje z odpadki; raba tal in gospodarjenje z gozdovi; izobraževanje, usposabljanje, ozaveščanje in informiranje. </w:t>
      </w:r>
      <w:r>
        <w:rPr>
          <w:rFonts w:cs="Arial"/>
          <w:szCs w:val="20"/>
          <w:lang w:val="sl-SI" w:eastAsia="sl-SI"/>
        </w:rPr>
        <w:t>Iz p</w:t>
      </w:r>
      <w:r w:rsidRPr="005771BD">
        <w:rPr>
          <w:rFonts w:cs="Arial"/>
          <w:szCs w:val="20"/>
          <w:lang w:val="sl-SI" w:eastAsia="sl-SI"/>
        </w:rPr>
        <w:t>rv</w:t>
      </w:r>
      <w:r>
        <w:rPr>
          <w:rFonts w:cs="Arial"/>
          <w:szCs w:val="20"/>
          <w:lang w:val="sl-SI" w:eastAsia="sl-SI"/>
        </w:rPr>
        <w:t>ega</w:t>
      </w:r>
      <w:r w:rsidRPr="005771BD">
        <w:rPr>
          <w:rFonts w:cs="Arial"/>
          <w:szCs w:val="20"/>
          <w:lang w:val="sl-SI" w:eastAsia="sl-SI"/>
        </w:rPr>
        <w:t xml:space="preserve"> </w:t>
      </w:r>
      <w:r>
        <w:rPr>
          <w:rFonts w:cs="Arial"/>
          <w:szCs w:val="20"/>
          <w:lang w:val="sl-SI" w:eastAsia="sl-SI"/>
        </w:rPr>
        <w:t>p</w:t>
      </w:r>
      <w:r w:rsidRPr="005771BD">
        <w:rPr>
          <w:rFonts w:cs="Arial"/>
          <w:szCs w:val="20"/>
          <w:lang w:val="sl-SI" w:eastAsia="sl-SI"/>
        </w:rPr>
        <w:t>oročil</w:t>
      </w:r>
      <w:r>
        <w:rPr>
          <w:rFonts w:cs="Arial"/>
          <w:szCs w:val="20"/>
          <w:lang w:val="sl-SI" w:eastAsia="sl-SI"/>
        </w:rPr>
        <w:t>a</w:t>
      </w:r>
      <w:r w:rsidRPr="005771BD">
        <w:rPr>
          <w:rFonts w:cs="Arial"/>
          <w:szCs w:val="20"/>
          <w:lang w:val="sl-SI" w:eastAsia="sl-SI"/>
        </w:rPr>
        <w:t xml:space="preserve"> o izvajanju ukrepov Operativnega programa za zmanjševanje emisij toplogrednih plinov v obdobju 2014</w:t>
      </w:r>
      <w:r>
        <w:rPr>
          <w:rFonts w:cs="Arial"/>
          <w:szCs w:val="20"/>
          <w:lang w:val="sl-SI" w:eastAsia="sl-SI"/>
        </w:rPr>
        <w:t>–</w:t>
      </w:r>
      <w:r w:rsidRPr="005771BD">
        <w:rPr>
          <w:rFonts w:cs="Arial"/>
          <w:szCs w:val="20"/>
          <w:lang w:val="sl-SI" w:eastAsia="sl-SI"/>
        </w:rPr>
        <w:t>2020</w:t>
      </w:r>
      <w:r w:rsidRPr="005771BD">
        <w:rPr>
          <w:rFonts w:cs="Arial"/>
          <w:szCs w:val="20"/>
          <w:vertAlign w:val="superscript"/>
          <w:lang w:val="sl-SI" w:eastAsia="sl-SI"/>
        </w:rPr>
        <w:footnoteReference w:id="29"/>
      </w:r>
      <w:r w:rsidRPr="005771BD">
        <w:rPr>
          <w:rFonts w:cs="Arial"/>
          <w:szCs w:val="20"/>
          <w:lang w:val="sl-SI" w:eastAsia="sl-SI"/>
        </w:rPr>
        <w:t xml:space="preserve"> </w:t>
      </w:r>
      <w:r>
        <w:rPr>
          <w:rFonts w:cs="Arial"/>
          <w:szCs w:val="20"/>
          <w:lang w:val="sl-SI" w:eastAsia="sl-SI"/>
        </w:rPr>
        <w:t>izhaja,</w:t>
      </w:r>
      <w:r w:rsidRPr="005771BD">
        <w:rPr>
          <w:rFonts w:cs="Arial"/>
          <w:szCs w:val="20"/>
          <w:lang w:val="sl-SI" w:eastAsia="sl-SI"/>
        </w:rPr>
        <w:t xml:space="preserve"> da Slovenija izpolnjuje svoje obveznosti in zastavljene letne cilje znatno presega. Tudi najnovejše </w:t>
      </w:r>
      <w:r>
        <w:rPr>
          <w:rFonts w:cs="Arial"/>
          <w:szCs w:val="20"/>
          <w:lang w:val="sl-SI" w:eastAsia="sl-SI"/>
        </w:rPr>
        <w:t>napovedi</w:t>
      </w:r>
      <w:r w:rsidRPr="005771BD">
        <w:rPr>
          <w:rFonts w:cs="Arial"/>
          <w:szCs w:val="20"/>
          <w:lang w:val="sl-SI" w:eastAsia="sl-SI"/>
        </w:rPr>
        <w:t xml:space="preserve"> ka</w:t>
      </w:r>
      <w:r>
        <w:rPr>
          <w:rFonts w:cs="Arial"/>
          <w:szCs w:val="20"/>
          <w:lang w:val="sl-SI" w:eastAsia="sl-SI"/>
        </w:rPr>
        <w:t>žejo</w:t>
      </w:r>
      <w:r w:rsidRPr="005771BD">
        <w:rPr>
          <w:rFonts w:cs="Arial"/>
          <w:szCs w:val="20"/>
          <w:lang w:val="sl-SI" w:eastAsia="sl-SI"/>
        </w:rPr>
        <w:t>, da bodo obvezujoči nacionalni cilji po Odločbi 406/2009/ES doseženi in celo preseženi v celotnem obdobju 2013−2020.</w:t>
      </w:r>
    </w:p>
    <w:p w:rsidR="00072419" w:rsidRPr="005771BD" w:rsidRDefault="00072419" w:rsidP="00072419">
      <w:pPr>
        <w:spacing w:after="200" w:line="276" w:lineRule="auto"/>
        <w:jc w:val="both"/>
        <w:rPr>
          <w:rFonts w:cs="Arial"/>
          <w:szCs w:val="20"/>
          <w:lang w:val="sl-SI" w:eastAsia="sl-SI"/>
        </w:rPr>
      </w:pPr>
      <w:r w:rsidRPr="005771BD">
        <w:rPr>
          <w:rFonts w:cs="Arial"/>
          <w:szCs w:val="20"/>
          <w:lang w:val="sl-SI" w:eastAsia="sl-SI"/>
        </w:rPr>
        <w:t xml:space="preserve">Prizadevanja za omejevanje povzročiteljev podnebnih sprememb so naslednji vrhunec dosegla na COP 21 v Parizu, kjer je bil sprejet </w:t>
      </w:r>
      <w:r>
        <w:rPr>
          <w:rFonts w:cs="Arial"/>
          <w:szCs w:val="20"/>
          <w:lang w:val="sl-SI" w:eastAsia="sl-SI"/>
        </w:rPr>
        <w:t>p</w:t>
      </w:r>
      <w:r w:rsidRPr="005771BD">
        <w:rPr>
          <w:rFonts w:cs="Arial"/>
          <w:szCs w:val="20"/>
          <w:lang w:val="sl-SI" w:eastAsia="sl-SI"/>
        </w:rPr>
        <w:t>ariški sporazum. Države so se s podpisom obvezale, da bodo po letu 2020 emisije toplogrednih plinov zmanjšale v takem obsegu, da povprečna rast temperature ozračja do konca stoletja ne bo presegla 2</w:t>
      </w:r>
      <w:r>
        <w:rPr>
          <w:rFonts w:cs="Arial"/>
          <w:szCs w:val="20"/>
          <w:lang w:val="sl-SI" w:eastAsia="sl-SI"/>
        </w:rPr>
        <w:t xml:space="preserve"> </w:t>
      </w:r>
      <w:r w:rsidRPr="005771BD">
        <w:rPr>
          <w:rFonts w:cs="Arial"/>
          <w:szCs w:val="20"/>
          <w:lang w:val="sl-SI" w:eastAsia="sl-SI"/>
        </w:rPr>
        <w:t xml:space="preserve">°C.  </w:t>
      </w:r>
    </w:p>
    <w:p w:rsidR="00072419" w:rsidRPr="005771BD" w:rsidRDefault="00072419" w:rsidP="00072419">
      <w:pPr>
        <w:spacing w:line="276" w:lineRule="auto"/>
        <w:jc w:val="both"/>
        <w:rPr>
          <w:rFonts w:cs="Arial"/>
          <w:szCs w:val="20"/>
          <w:lang w:val="sl-SI" w:eastAsia="sl-SI"/>
        </w:rPr>
      </w:pPr>
    </w:p>
    <w:p w:rsidR="00072419" w:rsidRPr="005771BD" w:rsidRDefault="00CF356C" w:rsidP="00072419">
      <w:pPr>
        <w:spacing w:after="200" w:line="276" w:lineRule="auto"/>
        <w:jc w:val="both"/>
        <w:outlineLvl w:val="2"/>
        <w:rPr>
          <w:rFonts w:cs="Arial"/>
          <w:b/>
          <w:szCs w:val="20"/>
          <w:u w:val="single"/>
          <w:lang w:val="sl-SI" w:eastAsia="sl-SI"/>
        </w:rPr>
      </w:pPr>
      <w:r>
        <w:rPr>
          <w:rFonts w:cs="Arial"/>
          <w:b/>
          <w:szCs w:val="20"/>
          <w:u w:val="single"/>
          <w:lang w:val="sl-SI" w:eastAsia="sl-SI"/>
        </w:rPr>
        <w:t>10</w:t>
      </w:r>
      <w:r w:rsidR="00072419" w:rsidRPr="005771BD">
        <w:rPr>
          <w:rFonts w:cs="Arial"/>
          <w:b/>
          <w:szCs w:val="20"/>
          <w:u w:val="single"/>
          <w:lang w:val="sl-SI" w:eastAsia="sl-SI"/>
        </w:rPr>
        <w:t>.4.2 Prilagajanje</w:t>
      </w:r>
    </w:p>
    <w:p w:rsidR="00072419" w:rsidRPr="005771BD" w:rsidRDefault="00072419" w:rsidP="00072419">
      <w:pPr>
        <w:spacing w:after="200" w:line="276" w:lineRule="auto"/>
        <w:jc w:val="both"/>
        <w:rPr>
          <w:rFonts w:cs="Arial"/>
          <w:szCs w:val="20"/>
          <w:lang w:val="sl-SI" w:eastAsia="sl-SI"/>
        </w:rPr>
      </w:pPr>
      <w:r w:rsidRPr="005771BD">
        <w:rPr>
          <w:rFonts w:cs="Arial"/>
          <w:szCs w:val="20"/>
          <w:lang w:val="sl-SI" w:eastAsia="sl-SI"/>
        </w:rPr>
        <w:t>Prilagajanje podnebnim spremembam in njihovim vplivom na državni ravni je</w:t>
      </w:r>
      <w:r>
        <w:rPr>
          <w:rFonts w:cs="Arial"/>
          <w:szCs w:val="20"/>
          <w:lang w:val="sl-SI" w:eastAsia="sl-SI"/>
        </w:rPr>
        <w:t xml:space="preserve"> bilo</w:t>
      </w:r>
      <w:r w:rsidRPr="005771BD">
        <w:rPr>
          <w:rFonts w:cs="Arial"/>
          <w:szCs w:val="20"/>
          <w:lang w:val="sl-SI" w:eastAsia="sl-SI"/>
        </w:rPr>
        <w:t xml:space="preserve"> do nedavn</w:t>
      </w:r>
      <w:r>
        <w:rPr>
          <w:rFonts w:cs="Arial"/>
          <w:szCs w:val="20"/>
          <w:lang w:val="sl-SI" w:eastAsia="sl-SI"/>
        </w:rPr>
        <w:t>ega</w:t>
      </w:r>
      <w:r w:rsidRPr="005771BD">
        <w:rPr>
          <w:rFonts w:cs="Arial"/>
          <w:szCs w:val="20"/>
          <w:lang w:val="sl-SI" w:eastAsia="sl-SI"/>
        </w:rPr>
        <w:t xml:space="preserve"> prepuščeno posameznim sektorjem. </w:t>
      </w:r>
    </w:p>
    <w:p w:rsidR="00072419" w:rsidRPr="005771BD" w:rsidRDefault="00072419" w:rsidP="00072419">
      <w:pPr>
        <w:spacing w:after="200" w:line="276" w:lineRule="auto"/>
        <w:jc w:val="both"/>
        <w:rPr>
          <w:rFonts w:cs="Arial"/>
          <w:szCs w:val="20"/>
          <w:lang w:val="sl-SI" w:eastAsia="sl-SI"/>
        </w:rPr>
      </w:pPr>
      <w:r w:rsidRPr="005771BD">
        <w:rPr>
          <w:rFonts w:cs="Arial"/>
          <w:szCs w:val="20"/>
          <w:lang w:val="sl-SI" w:eastAsia="sl-SI"/>
        </w:rPr>
        <w:t>Kot najbolj ranljiva sektorja sta bila prepoznana kmetijstv</w:t>
      </w:r>
      <w:r>
        <w:rPr>
          <w:rFonts w:cs="Arial"/>
          <w:szCs w:val="20"/>
          <w:lang w:val="sl-SI" w:eastAsia="sl-SI"/>
        </w:rPr>
        <w:t>o</w:t>
      </w:r>
      <w:r w:rsidRPr="005771BD">
        <w:rPr>
          <w:rFonts w:cs="Arial"/>
          <w:szCs w:val="20"/>
          <w:lang w:val="sl-SI" w:eastAsia="sl-SI"/>
        </w:rPr>
        <w:t xml:space="preserve"> in gozdarstv</w:t>
      </w:r>
      <w:r>
        <w:rPr>
          <w:rFonts w:cs="Arial"/>
          <w:szCs w:val="20"/>
          <w:lang w:val="sl-SI" w:eastAsia="sl-SI"/>
        </w:rPr>
        <w:t>o</w:t>
      </w:r>
      <w:r w:rsidRPr="005771BD">
        <w:rPr>
          <w:rFonts w:cs="Arial"/>
          <w:szCs w:val="20"/>
          <w:lang w:val="sl-SI" w:eastAsia="sl-SI"/>
        </w:rPr>
        <w:t xml:space="preserve">, ki sta s sprejetjem </w:t>
      </w:r>
      <w:r w:rsidRPr="005771BD">
        <w:rPr>
          <w:rFonts w:cs="Arial"/>
          <w:i/>
          <w:szCs w:val="20"/>
          <w:lang w:val="sl-SI" w:eastAsia="sl-SI"/>
        </w:rPr>
        <w:t>Strategije prilagajanja slovenskega kmetijstva in gozdarstva podnebnim spremembam</w:t>
      </w:r>
      <w:r w:rsidRPr="005771BD">
        <w:rPr>
          <w:rFonts w:cs="Arial"/>
          <w:szCs w:val="20"/>
          <w:lang w:val="sl-SI" w:eastAsia="sl-SI"/>
        </w:rPr>
        <w:t xml:space="preserve"> v letu 2010 začel</w:t>
      </w:r>
      <w:r>
        <w:rPr>
          <w:rFonts w:cs="Arial"/>
          <w:szCs w:val="20"/>
          <w:lang w:val="sl-SI" w:eastAsia="sl-SI"/>
        </w:rPr>
        <w:t>a</w:t>
      </w:r>
      <w:r w:rsidRPr="005771BD">
        <w:rPr>
          <w:rFonts w:cs="Arial"/>
          <w:szCs w:val="20"/>
          <w:lang w:val="sl-SI" w:eastAsia="sl-SI"/>
        </w:rPr>
        <w:t xml:space="preserve"> s sistematičnim načrtovanjem ukrepov za prilagajanje, da bi zmanjšali ranljivost kmetijstva in gozdarstva na  vplive podnebnih sprememb. Med ukrepe za prilagajanje na podnebne spremembe lahko štejemo tudi ukrepe na drugih področjih, katerih prvotni namen sicer ni povezan s podnebnimi spremembami. Med take ukrepe lahko uvr</w:t>
      </w:r>
      <w:r>
        <w:rPr>
          <w:rFonts w:cs="Arial"/>
          <w:szCs w:val="20"/>
          <w:lang w:val="sl-SI" w:eastAsia="sl-SI"/>
        </w:rPr>
        <w:t>stimo</w:t>
      </w:r>
      <w:r w:rsidRPr="005771BD">
        <w:rPr>
          <w:rFonts w:cs="Arial"/>
          <w:szCs w:val="20"/>
          <w:lang w:val="sl-SI" w:eastAsia="sl-SI"/>
        </w:rPr>
        <w:t xml:space="preserve"> ukrepe za preprečevanje poplav, sanacijo plazovitih območij ter obnovo in izboljšanje stanja mokrišč.</w:t>
      </w:r>
    </w:p>
    <w:p w:rsidR="00072419" w:rsidRPr="005771BD" w:rsidRDefault="00072419" w:rsidP="00072419">
      <w:pPr>
        <w:spacing w:after="200" w:line="276" w:lineRule="auto"/>
        <w:jc w:val="both"/>
        <w:rPr>
          <w:rFonts w:cs="Arial"/>
          <w:szCs w:val="20"/>
          <w:lang w:val="sl-SI" w:eastAsia="sl-SI"/>
        </w:rPr>
      </w:pPr>
      <w:r w:rsidRPr="005771BD">
        <w:rPr>
          <w:rFonts w:cs="Arial"/>
          <w:szCs w:val="20"/>
          <w:lang w:val="sl-SI" w:eastAsia="sl-SI"/>
        </w:rPr>
        <w:t>Pestrejše aktivnosti na področju prilagajanja so bile v preteklih letih izvedene na regionalni in lokalni ravni predvsem v sklopu mednarodnih evropskih projektov. Doseženi rezultati so imeli učinke na različnih ravneh. Izboljšano je bilo med drugim ozaveščanje širše javnosti in lokalnih uprav</w:t>
      </w:r>
      <w:r w:rsidRPr="005771BD" w:rsidDel="003E3AB8">
        <w:rPr>
          <w:rFonts w:cs="Arial"/>
          <w:szCs w:val="20"/>
          <w:lang w:val="sl-SI" w:eastAsia="sl-SI"/>
        </w:rPr>
        <w:t xml:space="preserve"> </w:t>
      </w:r>
      <w:r w:rsidRPr="005771BD">
        <w:rPr>
          <w:rFonts w:cs="Arial"/>
          <w:szCs w:val="20"/>
          <w:lang w:val="sl-SI" w:eastAsia="sl-SI"/>
        </w:rPr>
        <w:t>glede pomena prilagajanja podnebnim spremembam, pripravljene so bile smernice za pripravo strategije prilagajanja na območju Gorenjske, za ublažitev toplotnega otoka v urbanem območju Ljubljane in podobno.</w:t>
      </w:r>
      <w:r w:rsidRPr="005771BD">
        <w:rPr>
          <w:rFonts w:cs="Arial"/>
          <w:szCs w:val="20"/>
          <w:vertAlign w:val="superscript"/>
          <w:lang w:val="sl-SI" w:eastAsia="sl-SI"/>
        </w:rPr>
        <w:footnoteReference w:id="30"/>
      </w:r>
      <w:r w:rsidRPr="005771BD">
        <w:rPr>
          <w:rFonts w:cs="Arial"/>
          <w:szCs w:val="20"/>
          <w:lang w:val="sl-SI" w:eastAsia="sl-SI"/>
        </w:rPr>
        <w:t>.</w:t>
      </w:r>
    </w:p>
    <w:p w:rsidR="00072419" w:rsidRPr="005771BD" w:rsidRDefault="00072419" w:rsidP="00072419">
      <w:pPr>
        <w:spacing w:after="200" w:line="276" w:lineRule="auto"/>
        <w:jc w:val="both"/>
        <w:rPr>
          <w:rFonts w:cs="Arial"/>
          <w:szCs w:val="20"/>
          <w:lang w:val="sl-SI" w:eastAsia="sl-SI"/>
        </w:rPr>
      </w:pPr>
      <w:r w:rsidRPr="005771BD">
        <w:rPr>
          <w:rFonts w:cs="Arial"/>
          <w:szCs w:val="20"/>
          <w:lang w:val="sl-SI" w:eastAsia="sl-SI"/>
        </w:rPr>
        <w:t xml:space="preserve">Sistem prilagajanja okolja in posameznih </w:t>
      </w:r>
      <w:r>
        <w:rPr>
          <w:rFonts w:cs="Arial"/>
          <w:szCs w:val="20"/>
          <w:lang w:val="sl-SI" w:eastAsia="sl-SI"/>
        </w:rPr>
        <w:t>delov</w:t>
      </w:r>
      <w:r w:rsidRPr="005771BD">
        <w:rPr>
          <w:rFonts w:cs="Arial"/>
          <w:szCs w:val="20"/>
          <w:lang w:val="sl-SI" w:eastAsia="sl-SI"/>
        </w:rPr>
        <w:t xml:space="preserve"> okolja na podnebne spremembe in njihove vplive v Sloveniji do zdaj še ni bil celovito obravnavan. Posledice podnebnih sprememb in njihov negativ</w:t>
      </w:r>
      <w:r>
        <w:rPr>
          <w:rFonts w:cs="Arial"/>
          <w:szCs w:val="20"/>
          <w:lang w:val="sl-SI" w:eastAsia="sl-SI"/>
        </w:rPr>
        <w:t>ni</w:t>
      </w:r>
      <w:r w:rsidRPr="005771BD">
        <w:rPr>
          <w:rFonts w:cs="Arial"/>
          <w:szCs w:val="20"/>
          <w:lang w:val="sl-SI" w:eastAsia="sl-SI"/>
        </w:rPr>
        <w:t xml:space="preserve"> učinek na okolje terja</w:t>
      </w:r>
      <w:r>
        <w:rPr>
          <w:rFonts w:cs="Arial"/>
          <w:szCs w:val="20"/>
          <w:lang w:val="sl-SI" w:eastAsia="sl-SI"/>
        </w:rPr>
        <w:t>jo</w:t>
      </w:r>
      <w:r w:rsidRPr="005771BD">
        <w:rPr>
          <w:rFonts w:cs="Arial"/>
          <w:szCs w:val="20"/>
          <w:lang w:val="sl-SI" w:eastAsia="sl-SI"/>
        </w:rPr>
        <w:t xml:space="preserve"> odziv družbe za zmanjšanje naraščajočega tveganja. </w:t>
      </w:r>
    </w:p>
    <w:p w:rsidR="00072419" w:rsidRPr="005771BD" w:rsidRDefault="00072419" w:rsidP="00072419">
      <w:pPr>
        <w:spacing w:after="200" w:line="276" w:lineRule="auto"/>
        <w:jc w:val="both"/>
        <w:rPr>
          <w:rFonts w:cs="Arial"/>
          <w:szCs w:val="20"/>
          <w:lang w:val="sl-SI" w:eastAsia="sl-SI"/>
        </w:rPr>
      </w:pPr>
      <w:r w:rsidRPr="005771BD">
        <w:rPr>
          <w:rFonts w:cs="Arial"/>
          <w:szCs w:val="20"/>
          <w:lang w:val="sl-SI" w:eastAsia="sl-SI"/>
        </w:rPr>
        <w:t>Sloveni</w:t>
      </w:r>
      <w:r>
        <w:rPr>
          <w:rFonts w:cs="Arial"/>
          <w:szCs w:val="20"/>
          <w:lang w:val="sl-SI" w:eastAsia="sl-SI"/>
        </w:rPr>
        <w:t>ja je zelo</w:t>
      </w:r>
      <w:r w:rsidRPr="005771BD">
        <w:rPr>
          <w:rFonts w:cs="Arial"/>
          <w:szCs w:val="20"/>
          <w:lang w:val="sl-SI" w:eastAsia="sl-SI"/>
        </w:rPr>
        <w:t xml:space="preserve"> pokrajinsko in podnebno pestr</w:t>
      </w:r>
      <w:r>
        <w:rPr>
          <w:rFonts w:cs="Arial"/>
          <w:szCs w:val="20"/>
          <w:lang w:val="sl-SI" w:eastAsia="sl-SI"/>
        </w:rPr>
        <w:t>a dežela</w:t>
      </w:r>
      <w:r w:rsidRPr="005771BD">
        <w:rPr>
          <w:rFonts w:cs="Arial"/>
          <w:szCs w:val="20"/>
          <w:lang w:val="sl-SI" w:eastAsia="sl-SI"/>
        </w:rPr>
        <w:t xml:space="preserve">, zato je negotovost ob predvidevanju izraženosti posameznih vplivov podnebnih sprememb še toliko večja. Predlog </w:t>
      </w:r>
      <w:r>
        <w:rPr>
          <w:rFonts w:cs="Arial"/>
          <w:szCs w:val="20"/>
          <w:u w:val="single"/>
          <w:lang w:val="sl-SI" w:eastAsia="sl-SI"/>
        </w:rPr>
        <w:t>državnega</w:t>
      </w:r>
      <w:r w:rsidRPr="005771BD">
        <w:rPr>
          <w:rFonts w:cs="Arial"/>
          <w:szCs w:val="20"/>
          <w:u w:val="single"/>
          <w:lang w:val="sl-SI" w:eastAsia="sl-SI"/>
        </w:rPr>
        <w:t xml:space="preserve"> strateškega okvira za prilagajanje na podnebne spremembe</w:t>
      </w:r>
      <w:r w:rsidRPr="005771BD">
        <w:rPr>
          <w:rFonts w:cs="Arial"/>
          <w:szCs w:val="20"/>
          <w:lang w:val="sl-SI" w:eastAsia="sl-SI"/>
        </w:rPr>
        <w:t xml:space="preserve"> </w:t>
      </w:r>
      <w:r>
        <w:rPr>
          <w:rFonts w:cs="Arial"/>
          <w:szCs w:val="20"/>
          <w:lang w:val="sl-SI" w:eastAsia="sl-SI"/>
        </w:rPr>
        <w:t>je</w:t>
      </w:r>
      <w:r w:rsidRPr="005771BD">
        <w:rPr>
          <w:rFonts w:cs="Arial"/>
          <w:szCs w:val="20"/>
          <w:lang w:val="sl-SI" w:eastAsia="sl-SI"/>
        </w:rPr>
        <w:t xml:space="preserve"> prvi korak k </w:t>
      </w:r>
      <w:r>
        <w:rPr>
          <w:rFonts w:cs="Arial"/>
          <w:szCs w:val="20"/>
          <w:lang w:val="sl-SI" w:eastAsia="sl-SI"/>
        </w:rPr>
        <w:t>vzpostavitvi</w:t>
      </w:r>
      <w:r w:rsidRPr="005771BD">
        <w:rPr>
          <w:rFonts w:cs="Arial"/>
          <w:szCs w:val="20"/>
          <w:lang w:val="sl-SI" w:eastAsia="sl-SI"/>
        </w:rPr>
        <w:t xml:space="preserve"> celovitega medsektorskega procesa prilagajanja, zato vsebuje </w:t>
      </w:r>
      <w:r>
        <w:rPr>
          <w:rFonts w:cs="Arial"/>
          <w:szCs w:val="20"/>
          <w:lang w:val="sl-SI" w:eastAsia="sl-SI"/>
        </w:rPr>
        <w:t xml:space="preserve">predvsem </w:t>
      </w:r>
      <w:r w:rsidRPr="005771BD">
        <w:rPr>
          <w:rFonts w:cs="Arial"/>
          <w:szCs w:val="20"/>
          <w:lang w:val="sl-SI" w:eastAsia="sl-SI"/>
        </w:rPr>
        <w:t>usmeritve za večjo vključenost prilagajanja v politike, ukrepe in ravnanja. Podrobneje so opredeljen</w:t>
      </w:r>
      <w:r>
        <w:rPr>
          <w:rFonts w:cs="Arial"/>
          <w:szCs w:val="20"/>
          <w:lang w:val="sl-SI" w:eastAsia="sl-SI"/>
        </w:rPr>
        <w:t>e</w:t>
      </w:r>
      <w:r w:rsidRPr="005771BD">
        <w:rPr>
          <w:rFonts w:cs="Arial"/>
          <w:szCs w:val="20"/>
          <w:lang w:val="sl-SI" w:eastAsia="sl-SI"/>
        </w:rPr>
        <w:t xml:space="preserve"> posamezne horizontalne aktivnosti, ki lahko pripomorejo k prilagajanju na podnebne spremembe in s tem k zmanjševanju izpostavljenosti vplivom podnebnih sprememb, občutljivosti in ranljivosti Slovenije ter povečevanju odpornosti in prilagoditvene sposobnosti. Zastavljeni so cilji in koraki za celovito upoštevanje vplivov podnebnih sprememb pri snovanju in izvajanju vseh politik, ukrepov in aktivnosti, za zadostno financiranje ukrepov, krepitev znanja o vplivih podnebnih sprememb in načinih prilagajanja, za širše sodelovanje in povezovanje ter izmenjavo izkušenj in dvig izobraženosti, usposobljenosti, ozaveščenosti in informiranosti o vplivih podnebnih sprememb in potrebnih ukrepih za prilagajanje. Naslednji predviden</w:t>
      </w:r>
      <w:r>
        <w:rPr>
          <w:rFonts w:cs="Arial"/>
          <w:szCs w:val="20"/>
          <w:lang w:val="sl-SI" w:eastAsia="sl-SI"/>
        </w:rPr>
        <w:t>i</w:t>
      </w:r>
      <w:r w:rsidRPr="005771BD">
        <w:rPr>
          <w:rFonts w:cs="Arial"/>
          <w:szCs w:val="20"/>
          <w:lang w:val="sl-SI" w:eastAsia="sl-SI"/>
        </w:rPr>
        <w:t xml:space="preserve"> korak je priprava izvedbenega načrta ukrepov prilagajanja po posameznih sektorjih.</w:t>
      </w:r>
    </w:p>
    <w:p w:rsidR="00072419" w:rsidRPr="005771BD" w:rsidRDefault="00072419" w:rsidP="00072419">
      <w:pPr>
        <w:spacing w:line="276" w:lineRule="auto"/>
        <w:jc w:val="both"/>
        <w:rPr>
          <w:rFonts w:cs="Arial"/>
          <w:szCs w:val="20"/>
          <w:lang w:val="sl-SI" w:eastAsia="sl-SI"/>
        </w:rPr>
      </w:pPr>
    </w:p>
    <w:p w:rsidR="00072419" w:rsidRPr="005771BD" w:rsidRDefault="00CF356C" w:rsidP="00072419">
      <w:pPr>
        <w:spacing w:after="200" w:line="276" w:lineRule="auto"/>
        <w:jc w:val="both"/>
        <w:rPr>
          <w:rFonts w:cs="Arial"/>
          <w:b/>
          <w:szCs w:val="20"/>
          <w:u w:val="single"/>
          <w:lang w:val="sl-SI" w:eastAsia="sl-SI"/>
        </w:rPr>
      </w:pPr>
      <w:r>
        <w:rPr>
          <w:rFonts w:cs="Arial"/>
          <w:b/>
          <w:szCs w:val="20"/>
          <w:u w:val="single"/>
          <w:lang w:val="sl-SI" w:eastAsia="sl-SI"/>
        </w:rPr>
        <w:t>10</w:t>
      </w:r>
      <w:r w:rsidR="00072419" w:rsidRPr="005771BD">
        <w:rPr>
          <w:rFonts w:cs="Arial"/>
          <w:b/>
          <w:szCs w:val="20"/>
          <w:u w:val="single"/>
          <w:lang w:val="sl-SI" w:eastAsia="sl-SI"/>
        </w:rPr>
        <w:t>.5 Napotki za prihodnja ravnanja</w:t>
      </w:r>
    </w:p>
    <w:p w:rsidR="00072419" w:rsidRPr="005771BD" w:rsidRDefault="00072419" w:rsidP="00072419">
      <w:pPr>
        <w:spacing w:after="200" w:line="276" w:lineRule="auto"/>
        <w:jc w:val="both"/>
        <w:rPr>
          <w:rFonts w:cs="Arial"/>
          <w:szCs w:val="20"/>
          <w:lang w:val="sl-SI" w:eastAsia="sl-SI"/>
        </w:rPr>
      </w:pPr>
      <w:r>
        <w:rPr>
          <w:rFonts w:cs="Arial"/>
          <w:szCs w:val="20"/>
          <w:lang w:val="sl-SI" w:eastAsia="sl-SI"/>
        </w:rPr>
        <w:t>V prihodnje</w:t>
      </w:r>
      <w:r w:rsidRPr="005771BD">
        <w:rPr>
          <w:rFonts w:cs="Arial"/>
          <w:szCs w:val="20"/>
          <w:lang w:val="sl-SI" w:eastAsia="sl-SI"/>
        </w:rPr>
        <w:t xml:space="preserve"> bo treb</w:t>
      </w:r>
      <w:r>
        <w:rPr>
          <w:rFonts w:cs="Arial"/>
          <w:szCs w:val="20"/>
          <w:lang w:val="sl-SI" w:eastAsia="sl-SI"/>
        </w:rPr>
        <w:t>a</w:t>
      </w:r>
      <w:r w:rsidRPr="005771BD">
        <w:rPr>
          <w:rFonts w:cs="Arial"/>
          <w:szCs w:val="20"/>
          <w:lang w:val="sl-SI" w:eastAsia="sl-SI"/>
        </w:rPr>
        <w:t xml:space="preserve"> z omejenimi javnofinančnimi sredstvi doseči čim večje zmanjšanje emisij TGP in sočasno čim</w:t>
      </w:r>
      <w:r>
        <w:rPr>
          <w:rFonts w:cs="Arial"/>
          <w:szCs w:val="20"/>
          <w:lang w:val="sl-SI" w:eastAsia="sl-SI"/>
        </w:rPr>
        <w:t xml:space="preserve"> </w:t>
      </w:r>
      <w:r w:rsidRPr="005771BD">
        <w:rPr>
          <w:rFonts w:cs="Arial"/>
          <w:szCs w:val="20"/>
          <w:lang w:val="sl-SI" w:eastAsia="sl-SI"/>
        </w:rPr>
        <w:t xml:space="preserve">večje razvojne koristi. Temeljna usmeritev na tem področju bo zaradi tega izboljšanje stroškovne učinkovitosti izbranih ukrepov in </w:t>
      </w:r>
      <w:r>
        <w:rPr>
          <w:rFonts w:cs="Arial"/>
          <w:szCs w:val="20"/>
          <w:lang w:val="sl-SI" w:eastAsia="sl-SI"/>
        </w:rPr>
        <w:t>povezovanje</w:t>
      </w:r>
      <w:r w:rsidRPr="005771BD">
        <w:rPr>
          <w:rFonts w:cs="Arial"/>
          <w:szCs w:val="20"/>
          <w:lang w:val="sl-SI" w:eastAsia="sl-SI"/>
        </w:rPr>
        <w:t xml:space="preserve"> z </w:t>
      </w:r>
      <w:r>
        <w:rPr>
          <w:rFonts w:cs="Arial"/>
          <w:szCs w:val="20"/>
          <w:lang w:val="sl-SI" w:eastAsia="sl-SI"/>
        </w:rPr>
        <w:t>drugimi</w:t>
      </w:r>
      <w:r w:rsidRPr="005771BD">
        <w:rPr>
          <w:rFonts w:cs="Arial"/>
          <w:szCs w:val="20"/>
          <w:lang w:val="sl-SI" w:eastAsia="sl-SI"/>
        </w:rPr>
        <w:t xml:space="preserve"> ukrepi na področju gospodarstva, energetike</w:t>
      </w:r>
      <w:r>
        <w:rPr>
          <w:rFonts w:cs="Arial"/>
          <w:szCs w:val="20"/>
          <w:lang w:val="sl-SI" w:eastAsia="sl-SI"/>
        </w:rPr>
        <w:t xml:space="preserve"> in</w:t>
      </w:r>
      <w:r w:rsidRPr="005771BD">
        <w:rPr>
          <w:rFonts w:cs="Arial"/>
          <w:szCs w:val="20"/>
          <w:lang w:val="sl-SI" w:eastAsia="sl-SI"/>
        </w:rPr>
        <w:t xml:space="preserve"> prometa. Slovenija je do</w:t>
      </w:r>
      <w:r>
        <w:rPr>
          <w:rFonts w:cs="Arial"/>
          <w:szCs w:val="20"/>
          <w:lang w:val="sl-SI" w:eastAsia="sl-SI"/>
        </w:rPr>
        <w:t>slej</w:t>
      </w:r>
      <w:r w:rsidRPr="005771BD">
        <w:rPr>
          <w:rFonts w:cs="Arial"/>
          <w:szCs w:val="20"/>
          <w:lang w:val="sl-SI" w:eastAsia="sl-SI"/>
        </w:rPr>
        <w:t xml:space="preserve"> že sprejela ukrepe na področju blaženja podnebnih sprememb, ki so naravnani tako, da bodo stroški zmanjševanja emisij TGP tudi v obdobju do leta 2030 čim nižji in da bo trend </w:t>
      </w:r>
      <w:r>
        <w:rPr>
          <w:rFonts w:cs="Arial"/>
          <w:szCs w:val="20"/>
          <w:lang w:val="sl-SI" w:eastAsia="sl-SI"/>
        </w:rPr>
        <w:t xml:space="preserve">v </w:t>
      </w:r>
      <w:r w:rsidRPr="005771BD">
        <w:rPr>
          <w:rFonts w:cs="Arial"/>
          <w:szCs w:val="20"/>
          <w:lang w:val="sl-SI" w:eastAsia="sl-SI"/>
        </w:rPr>
        <w:t>sklad</w:t>
      </w:r>
      <w:r>
        <w:rPr>
          <w:rFonts w:cs="Arial"/>
          <w:szCs w:val="20"/>
          <w:lang w:val="sl-SI" w:eastAsia="sl-SI"/>
        </w:rPr>
        <w:t>u</w:t>
      </w:r>
      <w:r w:rsidRPr="005771BD">
        <w:rPr>
          <w:rFonts w:cs="Arial"/>
          <w:szCs w:val="20"/>
          <w:lang w:val="sl-SI" w:eastAsia="sl-SI"/>
        </w:rPr>
        <w:t xml:space="preserve"> z že sprejetimi političnimi odločitvami o dolgoročnih ciljih na ravni EU. Že </w:t>
      </w:r>
      <w:r>
        <w:rPr>
          <w:rFonts w:cs="Arial"/>
          <w:szCs w:val="20"/>
          <w:lang w:val="sl-SI" w:eastAsia="sl-SI"/>
        </w:rPr>
        <w:t>zdaj</w:t>
      </w:r>
      <w:r w:rsidRPr="005771BD">
        <w:rPr>
          <w:rFonts w:cs="Arial"/>
          <w:szCs w:val="20"/>
          <w:lang w:val="sl-SI" w:eastAsia="sl-SI"/>
        </w:rPr>
        <w:t xml:space="preserve"> se izvaja večina ukrepov tako, da </w:t>
      </w:r>
      <w:r>
        <w:rPr>
          <w:rFonts w:cs="Arial"/>
          <w:szCs w:val="20"/>
          <w:lang w:val="sl-SI" w:eastAsia="sl-SI"/>
        </w:rPr>
        <w:t>uresničujemo</w:t>
      </w:r>
      <w:r w:rsidRPr="005771BD">
        <w:rPr>
          <w:rFonts w:cs="Arial"/>
          <w:szCs w:val="20"/>
          <w:lang w:val="sl-SI" w:eastAsia="sl-SI"/>
        </w:rPr>
        <w:t xml:space="preserve"> več ciljev sočasno, s tem pa se znatno zmanjšajo stroški za izvedbo ukrepov in povečajo koristi zaradi s</w:t>
      </w:r>
      <w:r>
        <w:rPr>
          <w:rFonts w:cs="Arial"/>
          <w:szCs w:val="20"/>
          <w:lang w:val="sl-SI" w:eastAsia="sl-SI"/>
        </w:rPr>
        <w:t>kupnih</w:t>
      </w:r>
      <w:r w:rsidRPr="005771BD">
        <w:rPr>
          <w:rFonts w:cs="Arial"/>
          <w:szCs w:val="20"/>
          <w:lang w:val="sl-SI" w:eastAsia="sl-SI"/>
        </w:rPr>
        <w:t xml:space="preserve"> in </w:t>
      </w:r>
      <w:r>
        <w:rPr>
          <w:rFonts w:cs="Arial"/>
          <w:szCs w:val="20"/>
          <w:lang w:val="sl-SI" w:eastAsia="sl-SI"/>
        </w:rPr>
        <w:t>pomnoženih</w:t>
      </w:r>
      <w:r w:rsidRPr="005771BD">
        <w:rPr>
          <w:rFonts w:cs="Arial"/>
          <w:szCs w:val="20"/>
          <w:lang w:val="sl-SI" w:eastAsia="sl-SI"/>
        </w:rPr>
        <w:t xml:space="preserve"> učinkov. To usmeritev je treb</w:t>
      </w:r>
      <w:r>
        <w:rPr>
          <w:rFonts w:cs="Arial"/>
          <w:szCs w:val="20"/>
          <w:lang w:val="sl-SI" w:eastAsia="sl-SI"/>
        </w:rPr>
        <w:t>a</w:t>
      </w:r>
      <w:r w:rsidRPr="005771BD">
        <w:rPr>
          <w:rFonts w:cs="Arial"/>
          <w:szCs w:val="20"/>
          <w:lang w:val="sl-SI" w:eastAsia="sl-SI"/>
        </w:rPr>
        <w:t xml:space="preserve"> še okrepiti, zato bo zmanjšanje emisij TGP zlasti odvisno od izvajanja sprejetih sektorskih politik, ki prispevajo k doseganju podnebnih cilj</w:t>
      </w:r>
      <w:r>
        <w:rPr>
          <w:rFonts w:cs="Arial"/>
          <w:szCs w:val="20"/>
          <w:lang w:val="sl-SI" w:eastAsia="sl-SI"/>
        </w:rPr>
        <w:t>ev, ker so vanje</w:t>
      </w:r>
      <w:r w:rsidRPr="005771BD">
        <w:rPr>
          <w:rFonts w:cs="Arial"/>
          <w:szCs w:val="20"/>
          <w:lang w:val="sl-SI" w:eastAsia="sl-SI"/>
        </w:rPr>
        <w:t xml:space="preserve"> </w:t>
      </w:r>
      <w:r>
        <w:rPr>
          <w:rFonts w:cs="Arial"/>
          <w:szCs w:val="20"/>
          <w:lang w:val="sl-SI" w:eastAsia="sl-SI"/>
        </w:rPr>
        <w:t>vključeni</w:t>
      </w:r>
      <w:r w:rsidRPr="005771BD">
        <w:rPr>
          <w:rFonts w:cs="Arial"/>
          <w:szCs w:val="20"/>
          <w:lang w:val="sl-SI" w:eastAsia="sl-SI"/>
        </w:rPr>
        <w:t xml:space="preserve"> podnebn</w:t>
      </w:r>
      <w:r>
        <w:rPr>
          <w:rFonts w:cs="Arial"/>
          <w:szCs w:val="20"/>
          <w:lang w:val="sl-SI" w:eastAsia="sl-SI"/>
        </w:rPr>
        <w:t>i</w:t>
      </w:r>
      <w:r w:rsidRPr="005771BD">
        <w:rPr>
          <w:rFonts w:cs="Arial"/>
          <w:szCs w:val="20"/>
          <w:lang w:val="sl-SI" w:eastAsia="sl-SI"/>
        </w:rPr>
        <w:t xml:space="preserve"> cilj</w:t>
      </w:r>
      <w:r>
        <w:rPr>
          <w:rFonts w:cs="Arial"/>
          <w:szCs w:val="20"/>
          <w:lang w:val="sl-SI" w:eastAsia="sl-SI"/>
        </w:rPr>
        <w:t>i</w:t>
      </w:r>
      <w:r w:rsidRPr="005771BD">
        <w:rPr>
          <w:rFonts w:cs="Arial"/>
          <w:szCs w:val="20"/>
          <w:lang w:val="sl-SI" w:eastAsia="sl-SI"/>
        </w:rPr>
        <w:t>, kot tudi od nadaljnjega vključevanja podnebnih ciljev in ukrepov za blaženje podnebnih sprememb v nove sektorske programe, ki so v pripravi.</w:t>
      </w:r>
    </w:p>
    <w:p w:rsidR="00072419" w:rsidRPr="005771BD" w:rsidRDefault="00072419" w:rsidP="00072419">
      <w:pPr>
        <w:spacing w:after="200" w:line="276" w:lineRule="auto"/>
        <w:jc w:val="both"/>
        <w:rPr>
          <w:rFonts w:cs="Arial"/>
          <w:szCs w:val="20"/>
          <w:lang w:val="sl-SI" w:eastAsia="sl-SI"/>
        </w:rPr>
      </w:pPr>
      <w:r w:rsidRPr="005771BD">
        <w:rPr>
          <w:rFonts w:cs="Arial"/>
          <w:szCs w:val="20"/>
          <w:lang w:val="sl-SI" w:eastAsia="sl-SI"/>
        </w:rPr>
        <w:t xml:space="preserve">Pri pripravi prednostnih nalog politike prilagajanja na podnebne spremembe je treba posebno pozornost nameniti predvsem tistim sektorjem, pri katerih je že </w:t>
      </w:r>
      <w:r>
        <w:rPr>
          <w:rFonts w:cs="Arial"/>
          <w:szCs w:val="20"/>
          <w:lang w:val="sl-SI" w:eastAsia="sl-SI"/>
        </w:rPr>
        <w:t>zdaj</w:t>
      </w:r>
      <w:r w:rsidRPr="005771BD">
        <w:rPr>
          <w:rFonts w:cs="Arial"/>
          <w:szCs w:val="20"/>
          <w:lang w:val="sl-SI" w:eastAsia="sl-SI"/>
        </w:rPr>
        <w:t xml:space="preserve"> močno izražena ranljivost za sedanjo spremenljivost podnebja. Spoznali smo, da prilagajanje potrebuje celovit in sistemski pristop</w:t>
      </w:r>
      <w:r>
        <w:rPr>
          <w:rFonts w:cs="Arial"/>
          <w:szCs w:val="20"/>
          <w:lang w:val="sl-SI" w:eastAsia="sl-SI"/>
        </w:rPr>
        <w:t>, s katerim</w:t>
      </w:r>
      <w:r w:rsidRPr="005771BD">
        <w:rPr>
          <w:rFonts w:cs="Arial"/>
          <w:szCs w:val="20"/>
          <w:lang w:val="sl-SI" w:eastAsia="sl-SI"/>
        </w:rPr>
        <w:t xml:space="preserve"> priprav</w:t>
      </w:r>
      <w:r>
        <w:rPr>
          <w:rFonts w:cs="Arial"/>
          <w:szCs w:val="20"/>
          <w:lang w:val="sl-SI" w:eastAsia="sl-SI"/>
        </w:rPr>
        <w:t>ili</w:t>
      </w:r>
      <w:r w:rsidRPr="005771BD">
        <w:rPr>
          <w:rFonts w:cs="Arial"/>
          <w:szCs w:val="20"/>
          <w:lang w:val="sl-SI" w:eastAsia="sl-SI"/>
        </w:rPr>
        <w:t xml:space="preserve"> </w:t>
      </w:r>
      <w:r>
        <w:rPr>
          <w:rFonts w:cs="Arial"/>
          <w:szCs w:val="20"/>
          <w:lang w:val="sl-SI" w:eastAsia="sl-SI"/>
        </w:rPr>
        <w:t>državni</w:t>
      </w:r>
      <w:r w:rsidRPr="005771BD">
        <w:rPr>
          <w:rFonts w:cs="Arial"/>
          <w:szCs w:val="20"/>
          <w:lang w:val="sl-SI" w:eastAsia="sl-SI"/>
        </w:rPr>
        <w:t xml:space="preserve"> stratešk</w:t>
      </w:r>
      <w:r>
        <w:rPr>
          <w:rFonts w:cs="Arial"/>
          <w:szCs w:val="20"/>
          <w:lang w:val="sl-SI" w:eastAsia="sl-SI"/>
        </w:rPr>
        <w:t>i</w:t>
      </w:r>
      <w:r w:rsidRPr="005771BD">
        <w:rPr>
          <w:rFonts w:cs="Arial"/>
          <w:szCs w:val="20"/>
          <w:lang w:val="sl-SI" w:eastAsia="sl-SI"/>
        </w:rPr>
        <w:t xml:space="preserve"> okvir, ki ga bo treba dopolniti z operativnimi dokumenti in si predvsem prizadevati za izvajanje ukrepov prilagajanja v praksi.</w:t>
      </w:r>
    </w:p>
    <w:p w:rsidR="00072419" w:rsidRPr="005771BD" w:rsidRDefault="00072419" w:rsidP="00072419">
      <w:pPr>
        <w:spacing w:after="200" w:line="276" w:lineRule="auto"/>
        <w:jc w:val="both"/>
        <w:rPr>
          <w:rFonts w:cs="Arial"/>
          <w:szCs w:val="20"/>
          <w:lang w:val="sl-SI" w:eastAsia="sl-SI"/>
        </w:rPr>
      </w:pPr>
      <w:r w:rsidRPr="005771BD">
        <w:rPr>
          <w:rFonts w:cs="Arial"/>
          <w:szCs w:val="20"/>
          <w:lang w:val="sl-SI" w:eastAsia="sl-SI"/>
        </w:rPr>
        <w:t>Pozor</w:t>
      </w:r>
      <w:r>
        <w:rPr>
          <w:rFonts w:cs="Arial"/>
          <w:szCs w:val="20"/>
          <w:lang w:val="sl-SI" w:eastAsia="sl-SI"/>
        </w:rPr>
        <w:t>nost je treba nameniti tudi</w:t>
      </w:r>
      <w:r w:rsidRPr="005771BD">
        <w:rPr>
          <w:rFonts w:cs="Arial"/>
          <w:szCs w:val="20"/>
          <w:lang w:val="sl-SI" w:eastAsia="sl-SI"/>
        </w:rPr>
        <w:t xml:space="preserve"> načrtovanj</w:t>
      </w:r>
      <w:r>
        <w:rPr>
          <w:rFonts w:cs="Arial"/>
          <w:szCs w:val="20"/>
          <w:lang w:val="sl-SI" w:eastAsia="sl-SI"/>
        </w:rPr>
        <w:t>u</w:t>
      </w:r>
      <w:r w:rsidRPr="005771BD">
        <w:rPr>
          <w:rFonts w:cs="Arial"/>
          <w:szCs w:val="20"/>
          <w:lang w:val="sl-SI" w:eastAsia="sl-SI"/>
        </w:rPr>
        <w:t xml:space="preserve"> razvoja, da ta ne bo povečeval ranljivost</w:t>
      </w:r>
      <w:r>
        <w:rPr>
          <w:rFonts w:cs="Arial"/>
          <w:szCs w:val="20"/>
          <w:lang w:val="sl-SI" w:eastAsia="sl-SI"/>
        </w:rPr>
        <w:t>i</w:t>
      </w:r>
      <w:r w:rsidRPr="005771BD">
        <w:rPr>
          <w:rFonts w:cs="Arial"/>
          <w:szCs w:val="20"/>
          <w:lang w:val="sl-SI" w:eastAsia="sl-SI"/>
        </w:rPr>
        <w:t xml:space="preserve"> na vplive podnebnih sprememb. To je posebej pomembno na področju načrtovanja razvoja in rabe prostora, ki </w:t>
      </w:r>
      <w:r>
        <w:rPr>
          <w:rFonts w:cs="Arial"/>
          <w:szCs w:val="20"/>
          <w:lang w:val="sl-SI" w:eastAsia="sl-SI"/>
        </w:rPr>
        <w:t>bistveno</w:t>
      </w:r>
      <w:r w:rsidRPr="005771BD">
        <w:rPr>
          <w:rFonts w:cs="Arial"/>
          <w:szCs w:val="20"/>
          <w:lang w:val="sl-SI" w:eastAsia="sl-SI"/>
        </w:rPr>
        <w:t xml:space="preserve"> prispevata k povečevanju ali zmanjševanju izpostavljenosti vplivom podnebnih sprememb, občutljivosti, odpornosti ter prilagoditvene sposobnosti. Ključno je krepiti zmogljivosti za prilagajanje podnebnim spremembam, obvladovanje tveganj in </w:t>
      </w:r>
      <w:r>
        <w:rPr>
          <w:rFonts w:cs="Arial"/>
          <w:szCs w:val="20"/>
          <w:lang w:val="sl-SI" w:eastAsia="sl-SI"/>
        </w:rPr>
        <w:t>izrabo</w:t>
      </w:r>
      <w:r w:rsidRPr="005771BD">
        <w:rPr>
          <w:rFonts w:cs="Arial"/>
          <w:szCs w:val="20"/>
          <w:lang w:val="sl-SI" w:eastAsia="sl-SI"/>
        </w:rPr>
        <w:t xml:space="preserve"> priložnosti v razmerah spremenjenega podnebja</w:t>
      </w:r>
      <w:r>
        <w:rPr>
          <w:rFonts w:cs="Arial"/>
          <w:szCs w:val="20"/>
          <w:lang w:val="sl-SI" w:eastAsia="sl-SI"/>
        </w:rPr>
        <w:t>.</w:t>
      </w:r>
      <w:r w:rsidRPr="005771BD">
        <w:rPr>
          <w:rFonts w:cs="Arial"/>
          <w:szCs w:val="20"/>
          <w:lang w:val="sl-SI" w:eastAsia="sl-SI"/>
        </w:rPr>
        <w:t xml:space="preserve"> </w:t>
      </w:r>
    </w:p>
    <w:p w:rsidR="00072419" w:rsidRPr="005771BD" w:rsidRDefault="00072419" w:rsidP="00072419">
      <w:pPr>
        <w:spacing w:line="276" w:lineRule="auto"/>
        <w:jc w:val="both"/>
        <w:rPr>
          <w:rFonts w:cs="Arial"/>
          <w:b/>
          <w:szCs w:val="20"/>
          <w:u w:val="single"/>
          <w:lang w:val="sl-SI" w:eastAsia="sl-SI"/>
        </w:rPr>
      </w:pPr>
    </w:p>
    <w:p w:rsidR="00072419" w:rsidRPr="005771BD" w:rsidRDefault="00CF356C" w:rsidP="00072419">
      <w:pPr>
        <w:spacing w:after="200" w:line="276" w:lineRule="auto"/>
        <w:jc w:val="both"/>
        <w:rPr>
          <w:rFonts w:cs="Arial"/>
          <w:b/>
          <w:szCs w:val="20"/>
          <w:u w:val="single"/>
          <w:lang w:val="sl-SI" w:eastAsia="sl-SI"/>
        </w:rPr>
      </w:pPr>
      <w:r w:rsidRPr="002B6ED6">
        <w:rPr>
          <w:rFonts w:cs="Arial"/>
          <w:b/>
          <w:szCs w:val="20"/>
          <w:u w:val="single"/>
          <w:lang w:val="sl-SI" w:eastAsia="sl-SI"/>
        </w:rPr>
        <w:t>10</w:t>
      </w:r>
      <w:r w:rsidR="00072419" w:rsidRPr="002B6ED6">
        <w:rPr>
          <w:rFonts w:cs="Arial"/>
          <w:b/>
          <w:szCs w:val="20"/>
          <w:u w:val="single"/>
          <w:lang w:val="sl-SI" w:eastAsia="sl-SI"/>
        </w:rPr>
        <w:t>.6 Uporabljeni kazalci stanja okolja</w:t>
      </w:r>
    </w:p>
    <w:p w:rsidR="00072419" w:rsidRPr="005771BD" w:rsidRDefault="00072419" w:rsidP="00072419">
      <w:pPr>
        <w:spacing w:before="60" w:line="276" w:lineRule="auto"/>
        <w:jc w:val="both"/>
        <w:rPr>
          <w:rFonts w:cs="Arial"/>
          <w:szCs w:val="20"/>
          <w:lang w:val="sl-SI" w:eastAsia="sl-SI"/>
        </w:rPr>
      </w:pPr>
      <w:r w:rsidRPr="005771BD">
        <w:rPr>
          <w:rFonts w:cs="Arial"/>
          <w:szCs w:val="20"/>
          <w:lang w:val="sl-SI" w:eastAsia="sl-SI"/>
        </w:rPr>
        <w:t>[PS03] Emisije toplogrednih plinov</w:t>
      </w:r>
    </w:p>
    <w:p w:rsidR="00072419" w:rsidRPr="005771BD" w:rsidRDefault="00072419" w:rsidP="00072419">
      <w:pPr>
        <w:spacing w:before="60" w:line="276" w:lineRule="auto"/>
        <w:jc w:val="both"/>
        <w:rPr>
          <w:rFonts w:cs="Arial"/>
          <w:szCs w:val="20"/>
          <w:lang w:val="sl-SI" w:eastAsia="sl-SI"/>
        </w:rPr>
      </w:pPr>
      <w:r w:rsidRPr="005771BD">
        <w:rPr>
          <w:rFonts w:cs="Arial"/>
          <w:szCs w:val="20"/>
          <w:lang w:val="sl-SI" w:eastAsia="sl-SI"/>
        </w:rPr>
        <w:t>[EN01] Emisije toplogrednih plinov energetskega izvora</w:t>
      </w:r>
    </w:p>
    <w:p w:rsidR="00072419" w:rsidRPr="005771BD" w:rsidRDefault="00072419" w:rsidP="00072419">
      <w:pPr>
        <w:spacing w:before="60" w:line="276" w:lineRule="auto"/>
        <w:jc w:val="both"/>
        <w:rPr>
          <w:rFonts w:cs="Arial"/>
          <w:szCs w:val="20"/>
          <w:lang w:val="sl-SI" w:eastAsia="sl-SI"/>
        </w:rPr>
      </w:pPr>
      <w:r w:rsidRPr="005771BD">
        <w:rPr>
          <w:rFonts w:cs="Arial"/>
          <w:szCs w:val="20"/>
          <w:lang w:val="sl-SI" w:eastAsia="sl-SI"/>
        </w:rPr>
        <w:t>[PR09] Emisije toplogrednih plinov iz prometa</w:t>
      </w:r>
    </w:p>
    <w:p w:rsidR="00072419" w:rsidRPr="005771BD" w:rsidRDefault="00072419" w:rsidP="00072419">
      <w:pPr>
        <w:spacing w:before="60" w:line="276" w:lineRule="auto"/>
        <w:jc w:val="both"/>
        <w:rPr>
          <w:rFonts w:cs="Arial"/>
          <w:szCs w:val="20"/>
          <w:lang w:val="sl-SI" w:eastAsia="sl-SI"/>
        </w:rPr>
      </w:pPr>
      <w:r w:rsidRPr="005771BD">
        <w:rPr>
          <w:rFonts w:cs="Arial"/>
          <w:szCs w:val="20"/>
          <w:lang w:val="sl-SI" w:eastAsia="sl-SI"/>
        </w:rPr>
        <w:t>[KM14] Emisije metana in didušikovega oksida</w:t>
      </w:r>
    </w:p>
    <w:p w:rsidR="00072419" w:rsidRPr="005771BD" w:rsidRDefault="00072419" w:rsidP="00072419">
      <w:pPr>
        <w:spacing w:before="60" w:line="276" w:lineRule="auto"/>
        <w:jc w:val="both"/>
        <w:rPr>
          <w:rFonts w:cs="Arial"/>
          <w:szCs w:val="20"/>
          <w:lang w:val="sl-SI" w:eastAsia="sl-SI"/>
        </w:rPr>
      </w:pPr>
      <w:r w:rsidRPr="005771BD">
        <w:rPr>
          <w:rFonts w:cs="Arial"/>
          <w:szCs w:val="20"/>
          <w:lang w:val="sl-SI" w:eastAsia="sl-SI"/>
        </w:rPr>
        <w:t>[PS04] Padavine in temperatura</w:t>
      </w:r>
    </w:p>
    <w:p w:rsidR="00072419" w:rsidRPr="005771BD" w:rsidRDefault="00072419" w:rsidP="00072419">
      <w:pPr>
        <w:spacing w:before="60" w:line="276" w:lineRule="auto"/>
        <w:jc w:val="both"/>
        <w:rPr>
          <w:rFonts w:cs="Arial"/>
          <w:szCs w:val="20"/>
          <w:lang w:val="sl-SI" w:eastAsia="sl-SI"/>
        </w:rPr>
      </w:pPr>
      <w:r w:rsidRPr="005771BD">
        <w:rPr>
          <w:rFonts w:cs="Arial"/>
          <w:szCs w:val="20"/>
          <w:lang w:val="sl-SI" w:eastAsia="sl-SI"/>
        </w:rPr>
        <w:t>[PS07] Ekstremni vremenski dogodki</w:t>
      </w:r>
    </w:p>
    <w:p w:rsidR="00072419" w:rsidRPr="005771BD" w:rsidRDefault="00072419" w:rsidP="00072419">
      <w:pPr>
        <w:spacing w:before="60" w:line="276" w:lineRule="auto"/>
        <w:jc w:val="both"/>
        <w:rPr>
          <w:rFonts w:cs="Arial"/>
          <w:szCs w:val="20"/>
          <w:lang w:val="sl-SI" w:eastAsia="sl-SI"/>
        </w:rPr>
      </w:pPr>
      <w:r w:rsidRPr="005771BD">
        <w:rPr>
          <w:rFonts w:cs="Arial"/>
          <w:szCs w:val="20"/>
          <w:lang w:val="sl-SI" w:eastAsia="sl-SI"/>
        </w:rPr>
        <w:t>[PS06] Dolžina letne rasti</w:t>
      </w:r>
    </w:p>
    <w:p w:rsidR="00072419" w:rsidRPr="005771BD" w:rsidRDefault="00072419" w:rsidP="00072419">
      <w:pPr>
        <w:spacing w:before="60" w:line="276" w:lineRule="auto"/>
        <w:jc w:val="both"/>
        <w:rPr>
          <w:rFonts w:cs="Arial"/>
          <w:szCs w:val="20"/>
          <w:lang w:val="sl-SI" w:eastAsia="sl-SI"/>
        </w:rPr>
      </w:pPr>
      <w:r w:rsidRPr="005771BD">
        <w:rPr>
          <w:rFonts w:cs="Arial"/>
          <w:szCs w:val="20"/>
          <w:lang w:val="sl-SI" w:eastAsia="sl-SI"/>
        </w:rPr>
        <w:t>[PS05] Spreminjanje obsega ledenika</w:t>
      </w:r>
    </w:p>
    <w:p w:rsidR="00072419" w:rsidRPr="005771BD" w:rsidRDefault="00072419" w:rsidP="00072419">
      <w:pPr>
        <w:spacing w:before="60" w:line="276" w:lineRule="auto"/>
        <w:jc w:val="both"/>
        <w:rPr>
          <w:rFonts w:cs="Arial"/>
          <w:szCs w:val="20"/>
          <w:lang w:val="sl-SI" w:eastAsia="sl-SI"/>
        </w:rPr>
      </w:pPr>
      <w:r w:rsidRPr="005771BD">
        <w:rPr>
          <w:rFonts w:cs="Arial"/>
          <w:szCs w:val="20"/>
          <w:lang w:val="sl-SI" w:eastAsia="sl-SI"/>
        </w:rPr>
        <w:t>[MR02] Višina morja</w:t>
      </w:r>
    </w:p>
    <w:p w:rsidR="00072419" w:rsidRPr="005771BD" w:rsidRDefault="00072419" w:rsidP="00072419">
      <w:pPr>
        <w:spacing w:before="60" w:line="276" w:lineRule="auto"/>
        <w:jc w:val="both"/>
        <w:rPr>
          <w:rFonts w:cs="Arial"/>
          <w:szCs w:val="20"/>
          <w:lang w:val="sl-SI" w:eastAsia="sl-SI"/>
        </w:rPr>
      </w:pPr>
      <w:r w:rsidRPr="005771BD">
        <w:rPr>
          <w:rFonts w:cs="Arial"/>
          <w:szCs w:val="20"/>
          <w:lang w:val="sl-SI" w:eastAsia="sl-SI"/>
        </w:rPr>
        <w:t>[VD03] Letna rečna bilanca</w:t>
      </w:r>
    </w:p>
    <w:p w:rsidR="00072419" w:rsidRPr="005771BD" w:rsidRDefault="00072419" w:rsidP="00072419">
      <w:pPr>
        <w:spacing w:before="60" w:line="276" w:lineRule="auto"/>
        <w:jc w:val="both"/>
        <w:rPr>
          <w:rFonts w:cs="Arial"/>
          <w:szCs w:val="20"/>
          <w:lang w:val="sl-SI" w:eastAsia="sl-SI"/>
        </w:rPr>
      </w:pPr>
      <w:r w:rsidRPr="005771BD">
        <w:rPr>
          <w:rFonts w:cs="Arial"/>
          <w:szCs w:val="20"/>
          <w:lang w:val="sl-SI" w:eastAsia="sl-SI"/>
        </w:rPr>
        <w:t>[EN10] Raba končne energije po sektorjih</w:t>
      </w:r>
    </w:p>
    <w:p w:rsidR="00072419" w:rsidRPr="005771BD" w:rsidRDefault="00072419" w:rsidP="00072419">
      <w:pPr>
        <w:spacing w:after="200" w:line="276" w:lineRule="auto"/>
        <w:jc w:val="both"/>
        <w:rPr>
          <w:rFonts w:cs="Arial"/>
          <w:szCs w:val="20"/>
          <w:lang w:val="sl-SI" w:eastAsia="sl-SI"/>
        </w:rPr>
      </w:pPr>
    </w:p>
    <w:p w:rsidR="00072419" w:rsidRPr="005771BD" w:rsidRDefault="00CF356C" w:rsidP="00072419">
      <w:pPr>
        <w:spacing w:after="200" w:line="276" w:lineRule="auto"/>
        <w:jc w:val="both"/>
        <w:rPr>
          <w:rFonts w:cs="Arial"/>
          <w:b/>
          <w:szCs w:val="20"/>
          <w:u w:val="single"/>
          <w:lang w:val="sl-SI" w:eastAsia="sl-SI"/>
        </w:rPr>
      </w:pPr>
      <w:r>
        <w:rPr>
          <w:rFonts w:cs="Arial"/>
          <w:b/>
          <w:szCs w:val="20"/>
          <w:u w:val="single"/>
          <w:lang w:val="sl-SI" w:eastAsia="sl-SI"/>
        </w:rPr>
        <w:t>10</w:t>
      </w:r>
      <w:r w:rsidR="00072419" w:rsidRPr="005771BD">
        <w:rPr>
          <w:rFonts w:cs="Arial"/>
          <w:b/>
          <w:szCs w:val="20"/>
          <w:u w:val="single"/>
          <w:lang w:val="sl-SI" w:eastAsia="sl-SI"/>
        </w:rPr>
        <w:t>.7 Viri in literatura</w:t>
      </w:r>
    </w:p>
    <w:p w:rsidR="00072419" w:rsidRPr="00294BB1" w:rsidRDefault="00072419" w:rsidP="00072419">
      <w:pPr>
        <w:spacing w:before="120" w:line="276" w:lineRule="auto"/>
        <w:jc w:val="both"/>
        <w:rPr>
          <w:lang w:val="sl-SI"/>
        </w:rPr>
      </w:pPr>
      <w:r w:rsidRPr="005771BD">
        <w:rPr>
          <w:rFonts w:cs="Arial"/>
          <w:szCs w:val="20"/>
          <w:lang w:val="sl-SI" w:eastAsia="sl-SI"/>
        </w:rPr>
        <w:t xml:space="preserve">Beltram, G., 2003. </w:t>
      </w:r>
      <w:r w:rsidRPr="005771BD">
        <w:rPr>
          <w:rFonts w:cs="Arial"/>
          <w:i/>
          <w:szCs w:val="20"/>
          <w:lang w:val="sl-SI" w:eastAsia="sl-SI"/>
        </w:rPr>
        <w:t>Mokrišča</w:t>
      </w:r>
      <w:r w:rsidRPr="005771BD">
        <w:rPr>
          <w:rFonts w:cs="Arial"/>
          <w:szCs w:val="20"/>
          <w:lang w:val="sl-SI" w:eastAsia="sl-SI"/>
        </w:rPr>
        <w:t xml:space="preserve">. </w:t>
      </w:r>
      <w:r>
        <w:rPr>
          <w:rFonts w:cs="Arial"/>
          <w:szCs w:val="20"/>
          <w:lang w:val="sl-SI" w:eastAsia="sl-SI"/>
        </w:rPr>
        <w:t>D</w:t>
      </w:r>
      <w:r w:rsidRPr="005771BD">
        <w:rPr>
          <w:rFonts w:cs="Arial"/>
          <w:szCs w:val="20"/>
          <w:lang w:val="sl-SI" w:eastAsia="sl-SI"/>
        </w:rPr>
        <w:t>ostopno na:</w:t>
      </w:r>
      <w:r w:rsidRPr="00294BB1">
        <w:rPr>
          <w:lang w:val="sl-SI"/>
        </w:rPr>
        <w:t xml:space="preserve"> </w:t>
      </w:r>
    </w:p>
    <w:p w:rsidR="00072419" w:rsidRPr="005771BD" w:rsidRDefault="00072419" w:rsidP="00072419">
      <w:pPr>
        <w:spacing w:line="276" w:lineRule="auto"/>
        <w:ind w:right="-291"/>
        <w:jc w:val="both"/>
        <w:rPr>
          <w:rFonts w:cs="Arial"/>
          <w:szCs w:val="20"/>
          <w:lang w:val="sl-SI" w:eastAsia="sl-SI"/>
        </w:rPr>
      </w:pPr>
      <w:r w:rsidRPr="005771BD">
        <w:rPr>
          <w:rFonts w:cs="Arial"/>
          <w:szCs w:val="20"/>
          <w:lang w:val="sl-SI" w:eastAsia="sl-SI"/>
        </w:rPr>
        <w:t>http://www.arso.gov.si/vode/publikacije%20in%20poro%C4%8Dila/Vodno_bogastvo_4mokrisca.pdf</w:t>
      </w:r>
    </w:p>
    <w:p w:rsidR="00072419" w:rsidRPr="005771BD" w:rsidRDefault="00072419" w:rsidP="00072419">
      <w:pPr>
        <w:spacing w:before="120" w:line="276" w:lineRule="auto"/>
        <w:jc w:val="both"/>
        <w:rPr>
          <w:rFonts w:cs="Arial"/>
          <w:szCs w:val="20"/>
          <w:lang w:val="sl-SI" w:eastAsia="sl-SI"/>
        </w:rPr>
      </w:pPr>
      <w:r w:rsidRPr="005771BD">
        <w:rPr>
          <w:rFonts w:cs="Arial"/>
          <w:szCs w:val="20"/>
          <w:lang w:val="sl-SI" w:eastAsia="sl-SI"/>
        </w:rPr>
        <w:t xml:space="preserve">Česen, M., Đorič, M., Urbančič, A., 2016. </w:t>
      </w:r>
      <w:r w:rsidRPr="005771BD">
        <w:rPr>
          <w:rFonts w:cs="Arial"/>
          <w:i/>
          <w:szCs w:val="20"/>
          <w:lang w:val="sl-SI" w:eastAsia="sl-SI"/>
        </w:rPr>
        <w:t>Raba končne energije po sektorjih</w:t>
      </w:r>
      <w:r w:rsidRPr="005771BD">
        <w:rPr>
          <w:rFonts w:cs="Arial"/>
          <w:szCs w:val="20"/>
          <w:lang w:val="sl-SI" w:eastAsia="sl-SI"/>
        </w:rPr>
        <w:t>. Ljubljana: Agencija Republike Slovenije za okolje</w:t>
      </w:r>
    </w:p>
    <w:p w:rsidR="00072419" w:rsidRPr="005771BD" w:rsidRDefault="00072419" w:rsidP="00072419">
      <w:pPr>
        <w:spacing w:before="120" w:line="276" w:lineRule="auto"/>
        <w:jc w:val="both"/>
        <w:rPr>
          <w:rFonts w:cs="Arial"/>
          <w:szCs w:val="20"/>
          <w:lang w:val="sl-SI" w:eastAsia="sl-SI"/>
        </w:rPr>
      </w:pPr>
      <w:r w:rsidRPr="005771BD">
        <w:rPr>
          <w:rFonts w:cs="Arial"/>
          <w:szCs w:val="20"/>
          <w:lang w:val="sl-SI" w:eastAsia="sl-SI"/>
        </w:rPr>
        <w:t xml:space="preserve">U. S. Energy Information Administration, 2016. </w:t>
      </w:r>
      <w:r w:rsidRPr="005771BD">
        <w:rPr>
          <w:rFonts w:cs="Arial"/>
          <w:i/>
          <w:szCs w:val="20"/>
          <w:lang w:val="sl-SI" w:eastAsia="sl-SI"/>
        </w:rPr>
        <w:t>How much carbon dioxide is produced when different fuels are burned?.</w:t>
      </w:r>
      <w:r w:rsidRPr="005771BD">
        <w:rPr>
          <w:rFonts w:cs="Arial"/>
          <w:szCs w:val="20"/>
          <w:lang w:val="sl-SI" w:eastAsia="sl-SI"/>
        </w:rPr>
        <w:t xml:space="preserve"> Dostopno na: </w:t>
      </w:r>
      <w:hyperlink r:id="rId195" w:history="1">
        <w:r w:rsidRPr="005771BD">
          <w:rPr>
            <w:rFonts w:cs="Arial"/>
            <w:color w:val="0000FF"/>
            <w:szCs w:val="20"/>
            <w:u w:val="single"/>
            <w:lang w:val="sl-SI" w:eastAsia="sl-SI"/>
          </w:rPr>
          <w:t>https://www.eia.gov/tools/faqs/faq.cfm?id=73&amp;t=11</w:t>
        </w:r>
      </w:hyperlink>
      <w:r w:rsidRPr="005771BD">
        <w:rPr>
          <w:rFonts w:cs="Arial"/>
          <w:szCs w:val="20"/>
          <w:lang w:val="sl-SI" w:eastAsia="sl-SI"/>
        </w:rPr>
        <w:t xml:space="preserve">  </w:t>
      </w:r>
    </w:p>
    <w:p w:rsidR="00072419" w:rsidRPr="005771BD" w:rsidRDefault="00072419" w:rsidP="00072419">
      <w:pPr>
        <w:spacing w:before="120" w:line="276" w:lineRule="auto"/>
        <w:jc w:val="both"/>
        <w:rPr>
          <w:rFonts w:cs="Arial"/>
          <w:szCs w:val="20"/>
          <w:lang w:val="sl-SI" w:eastAsia="sl-SI"/>
        </w:rPr>
      </w:pPr>
      <w:r w:rsidRPr="005771BD">
        <w:rPr>
          <w:rFonts w:cs="Arial"/>
          <w:szCs w:val="20"/>
          <w:lang w:val="sl-SI" w:eastAsia="sl-SI"/>
        </w:rPr>
        <w:t xml:space="preserve">V: Uhan, J., Bat, M., (ur.). </w:t>
      </w:r>
      <w:r w:rsidRPr="005771BD">
        <w:rPr>
          <w:rFonts w:cs="Arial"/>
          <w:i/>
          <w:szCs w:val="20"/>
          <w:lang w:val="sl-SI" w:eastAsia="sl-SI"/>
        </w:rPr>
        <w:t>Vodno bogastvo Slovenije</w:t>
      </w:r>
      <w:r w:rsidRPr="005771BD">
        <w:rPr>
          <w:rFonts w:cs="Arial"/>
          <w:szCs w:val="20"/>
          <w:lang w:val="sl-SI" w:eastAsia="sl-SI"/>
        </w:rPr>
        <w:t>. str. 47</w:t>
      </w:r>
      <w:r>
        <w:rPr>
          <w:rFonts w:cs="Arial"/>
          <w:szCs w:val="20"/>
          <w:lang w:val="sl-SI" w:eastAsia="sl-SI"/>
        </w:rPr>
        <w:t>–</w:t>
      </w:r>
      <w:r w:rsidRPr="005771BD">
        <w:rPr>
          <w:rFonts w:cs="Arial"/>
          <w:szCs w:val="20"/>
          <w:lang w:val="sl-SI" w:eastAsia="sl-SI"/>
        </w:rPr>
        <w:t xml:space="preserve">55. Ljubljana: Agencija Republike Slovenije za okolje </w:t>
      </w:r>
    </w:p>
    <w:p w:rsidR="0077619C" w:rsidRPr="002B6ED6" w:rsidRDefault="00072419" w:rsidP="002B6ED6">
      <w:pPr>
        <w:pStyle w:val="Naslov1"/>
      </w:pPr>
      <w:r w:rsidRPr="005771BD">
        <w:rPr>
          <w:rFonts w:eastAsia="Calibri"/>
        </w:rPr>
        <w:br w:type="column"/>
      </w:r>
      <w:bookmarkStart w:id="36" w:name="_Toc461059115"/>
      <w:r w:rsidR="0077619C" w:rsidRPr="002B6ED6">
        <w:t>1</w:t>
      </w:r>
      <w:r w:rsidR="00CF356C" w:rsidRPr="002B6ED6">
        <w:t>1</w:t>
      </w:r>
      <w:r w:rsidR="0077619C" w:rsidRPr="002B6ED6">
        <w:t xml:space="preserve"> </w:t>
      </w:r>
      <w:r w:rsidR="002B6ED6" w:rsidRPr="002B6ED6">
        <w:t>H</w:t>
      </w:r>
      <w:r w:rsidR="00CB5442">
        <w:t>RUP V OKOLJU</w:t>
      </w:r>
      <w:r w:rsidR="002B6ED6" w:rsidRPr="002B6ED6">
        <w:t xml:space="preserve"> </w:t>
      </w:r>
      <w:bookmarkEnd w:id="36"/>
    </w:p>
    <w:p w:rsidR="0077619C" w:rsidRPr="0077619C" w:rsidRDefault="0077619C" w:rsidP="0077619C">
      <w:pPr>
        <w:keepNext/>
        <w:spacing w:after="200" w:line="240" w:lineRule="atLeast"/>
        <w:jc w:val="both"/>
        <w:outlineLvl w:val="1"/>
        <w:rPr>
          <w:rFonts w:cs="Arial"/>
          <w:b/>
          <w:bCs/>
          <w:szCs w:val="20"/>
          <w:u w:val="single"/>
          <w:lang w:val="sl-SI" w:eastAsia="sl-SI"/>
        </w:rPr>
      </w:pPr>
      <w:bookmarkStart w:id="37" w:name="_Toc263176279"/>
      <w:bookmarkStart w:id="38" w:name="_Toc263182017"/>
      <w:bookmarkStart w:id="39" w:name="_Toc461059116"/>
      <w:r w:rsidRPr="0077619C">
        <w:rPr>
          <w:rFonts w:cs="Arial"/>
          <w:b/>
          <w:bCs/>
          <w:szCs w:val="20"/>
          <w:u w:val="single"/>
          <w:lang w:val="sl-SI" w:eastAsia="sl-SI"/>
        </w:rPr>
        <w:t>1</w:t>
      </w:r>
      <w:r w:rsidR="00CF356C">
        <w:rPr>
          <w:rFonts w:cs="Arial"/>
          <w:b/>
          <w:bCs/>
          <w:szCs w:val="20"/>
          <w:u w:val="single"/>
          <w:lang w:val="sl-SI" w:eastAsia="sl-SI"/>
        </w:rPr>
        <w:t>1</w:t>
      </w:r>
      <w:r w:rsidRPr="0077619C">
        <w:rPr>
          <w:rFonts w:cs="Arial"/>
          <w:b/>
          <w:bCs/>
          <w:szCs w:val="20"/>
          <w:u w:val="single"/>
          <w:lang w:val="sl-SI" w:eastAsia="sl-SI"/>
        </w:rPr>
        <w:t>.1 Povzetek</w:t>
      </w:r>
      <w:bookmarkEnd w:id="37"/>
      <w:bookmarkEnd w:id="38"/>
      <w:bookmarkEnd w:id="39"/>
    </w:p>
    <w:p w:rsidR="0077619C" w:rsidRPr="0077619C" w:rsidRDefault="0077619C" w:rsidP="0077619C">
      <w:pPr>
        <w:spacing w:after="200" w:line="240" w:lineRule="atLeast"/>
        <w:jc w:val="both"/>
        <w:rPr>
          <w:rFonts w:cs="Arial"/>
          <w:szCs w:val="20"/>
          <w:lang w:val="sl-SI" w:eastAsia="sl-SI"/>
        </w:rPr>
      </w:pPr>
      <w:r w:rsidRPr="0077619C">
        <w:rPr>
          <w:rFonts w:cs="Arial"/>
          <w:szCs w:val="20"/>
          <w:lang w:val="sl-SI" w:eastAsia="sl-SI"/>
        </w:rPr>
        <w:t xml:space="preserve">Hrup v okolju je nezaželen ali škodljiv zunanji zvok, ki ga povzročajo človekove aktivnosti, vključno s hrupom, ki ga oddajajo prevozna sredstva v cestnem, železniškem in zračnem prometu ter naprave na območjih z industrijsko dejavnostjo. Če so ljudje izpostavljeni visokemu okoljskemu hrupu, lahko ta povzroči motnje spanja in slabo počutje, pa tudi škodljive učinke za zdravje ljudi.  </w:t>
      </w:r>
    </w:p>
    <w:p w:rsidR="0077619C" w:rsidRPr="0077619C" w:rsidRDefault="0077619C" w:rsidP="0077619C">
      <w:pPr>
        <w:spacing w:after="200" w:line="240" w:lineRule="atLeast"/>
        <w:jc w:val="both"/>
        <w:rPr>
          <w:rFonts w:cs="Arial"/>
          <w:szCs w:val="20"/>
          <w:lang w:val="sl-SI" w:eastAsia="sl-SI"/>
        </w:rPr>
      </w:pPr>
      <w:r w:rsidRPr="0077619C">
        <w:rPr>
          <w:rFonts w:cs="Arial"/>
          <w:szCs w:val="20"/>
          <w:lang w:val="sl-SI" w:eastAsia="sl-SI"/>
        </w:rPr>
        <w:t>V poročilu je prikazana izpostavljenost prebivalcev hrupu v okolju na območjih v Sloveniji, ki so s takim hrupom najbolj obremenjena. Obremenitve s hrupom so na podlagi izdelanih strateških kart hrupa prikazane kot ravni celodnevnega in nočnega hrupa na območjih v okolici najbolj prometnih cest in železniških prog ter strnjenih poselitvenih območij Ljubljane in Maribora.</w:t>
      </w:r>
    </w:p>
    <w:p w:rsidR="0077619C" w:rsidRPr="0077619C" w:rsidRDefault="0077619C" w:rsidP="0077619C">
      <w:pPr>
        <w:spacing w:after="200" w:line="240" w:lineRule="atLeast"/>
        <w:jc w:val="both"/>
        <w:rPr>
          <w:rFonts w:eastAsiaTheme="minorHAnsi" w:cs="Arial"/>
          <w:color w:val="000000"/>
          <w:szCs w:val="20"/>
          <w:lang w:val="sl-SI"/>
        </w:rPr>
      </w:pPr>
      <w:r w:rsidRPr="0077619C">
        <w:rPr>
          <w:rFonts w:eastAsiaTheme="minorHAnsi" w:cs="Arial"/>
          <w:color w:val="000000"/>
          <w:szCs w:val="20"/>
          <w:lang w:val="sl-SI"/>
        </w:rPr>
        <w:t>595 km avtocest in hitrih cest v Sloveniji (98 % vseh avtocest in hitrih cest) je prometno obremenjenih z več kot 3 milijone vozil na leto, kar jih z vidika obravnave hrupa v okolju razvršča med pomembne ceste. V pasu 1000 m ob teh cestah živi približno 420.000 prebivalcev, od katerih je v nočnem času približno 3 % obremenjenih s hrupom v okolju, ki presega 55 dB(A), in približno 2 % jih je v celodnevnem času obremenjenih s hrupom, ki presega 65 dB(A).</w:t>
      </w:r>
    </w:p>
    <w:p w:rsidR="0077619C" w:rsidRPr="0077619C" w:rsidRDefault="0077619C" w:rsidP="0077619C">
      <w:pPr>
        <w:spacing w:after="200" w:line="240" w:lineRule="atLeast"/>
        <w:jc w:val="both"/>
        <w:rPr>
          <w:rFonts w:eastAsiaTheme="minorHAnsi" w:cs="Arial"/>
          <w:color w:val="000000"/>
          <w:szCs w:val="20"/>
          <w:lang w:val="sl-SI"/>
        </w:rPr>
      </w:pPr>
      <w:r w:rsidRPr="0077619C">
        <w:rPr>
          <w:rFonts w:eastAsiaTheme="minorHAnsi" w:cs="Arial"/>
          <w:color w:val="000000"/>
          <w:szCs w:val="20"/>
          <w:lang w:val="sl-SI"/>
        </w:rPr>
        <w:t>560 km državnih in regionalnih cest (9 % vseh državnih in regionalnih cest) je prometno obremenjenih z več kot 3 milijone vozil na leto, kar jih z vidika obravnave hrupa v okolju razvršča med pomembne ceste. V pasu 1000 m ob teh cestah živi približno 612.000 prebivalcev, od katerih je v nočnem času približno 10 % obremenjenih s hrupom v okolju, ki presega 55 dB(A). Enak odstotek prebivalcev je v celodnevnem času obremenjenih s hrupom, ki presega 65 dB(A).</w:t>
      </w:r>
    </w:p>
    <w:p w:rsidR="0077619C" w:rsidRPr="0077619C" w:rsidRDefault="0077619C" w:rsidP="0077619C">
      <w:pPr>
        <w:spacing w:after="200" w:line="240" w:lineRule="atLeast"/>
        <w:jc w:val="both"/>
        <w:rPr>
          <w:rFonts w:eastAsiaTheme="minorHAnsi" w:cs="Arial"/>
          <w:color w:val="000000"/>
          <w:szCs w:val="20"/>
          <w:lang w:val="sl-SI"/>
        </w:rPr>
      </w:pPr>
      <w:r w:rsidRPr="0077619C">
        <w:rPr>
          <w:rFonts w:eastAsiaTheme="minorHAnsi" w:cs="Arial"/>
          <w:color w:val="000000"/>
          <w:szCs w:val="20"/>
          <w:lang w:val="sl-SI"/>
        </w:rPr>
        <w:t>V pasu 1000 m ob železniških progah z več kot 30.000 prevozi vlakov letno živi približno 337.000 prebivalcev, od katerih je približno 7 % v nočnem času obremenjenih s hrupom v okolju, ki presega 55 dB(A), in približno 4 % jih je v celodnevnem času obremenjenih s hrupom, ki presega 65 dB(A).</w:t>
      </w:r>
    </w:p>
    <w:p w:rsidR="0077619C" w:rsidRPr="0077619C" w:rsidRDefault="0077619C" w:rsidP="0077619C">
      <w:pPr>
        <w:spacing w:after="200" w:line="240" w:lineRule="atLeast"/>
        <w:jc w:val="both"/>
        <w:rPr>
          <w:rFonts w:eastAsiaTheme="minorHAnsi" w:cs="Arial"/>
          <w:color w:val="000000"/>
          <w:szCs w:val="20"/>
          <w:lang w:val="sl-SI"/>
        </w:rPr>
      </w:pPr>
      <w:r w:rsidRPr="0077619C">
        <w:rPr>
          <w:rFonts w:eastAsiaTheme="minorHAnsi" w:cs="Arial"/>
          <w:color w:val="000000"/>
          <w:szCs w:val="20"/>
          <w:lang w:val="sl-SI"/>
        </w:rPr>
        <w:t>Na strnjenem poselitvenem območju mesta Maribor je prevladujoči vir hrupa cestni promet. Zaradi hrupa cestnega prometa približno 28 % prebivalcev v nočnem času obremenjenih s hrupom v okolju, ki presega 55 dB(A), in približno 25 % prebivalcev je v celodnevnem času obremenjenih s hrupom, ki presega 65 dB(A). Zaradi hrupa železniškega prometa je tako obremenjenih manj kot 1 % prebivalcev.</w:t>
      </w:r>
    </w:p>
    <w:p w:rsidR="0077619C" w:rsidRPr="0077619C" w:rsidRDefault="0077619C" w:rsidP="00CF356C">
      <w:pPr>
        <w:spacing w:after="360" w:line="240" w:lineRule="atLeast"/>
        <w:jc w:val="both"/>
        <w:rPr>
          <w:rFonts w:cs="Arial"/>
          <w:szCs w:val="20"/>
          <w:lang w:val="sl-SI" w:eastAsia="sl-SI"/>
        </w:rPr>
      </w:pPr>
      <w:r w:rsidRPr="0077619C">
        <w:rPr>
          <w:rFonts w:eastAsiaTheme="minorHAnsi" w:cs="Arial"/>
          <w:color w:val="000000"/>
          <w:szCs w:val="20"/>
          <w:lang w:val="sl-SI"/>
        </w:rPr>
        <w:t>Na strnjenem poselitvenem območju mesta Ljubljana je prav tako prevladujoči vir hrupa cestni promet. Zaradi hrupa cestnega prometa je približno 15 % prebivalcev v nočnem času obremenjenih s hrupom v okolju, ki presega 55 dB(A), in približno 18 % prebivalcev je v celodnevnem času obremenjenih s hrupom, ki presega 65 dB(A). Zaradi hrupa železniškega prometa je delež tako obremenjenih prebivalcev 4 % oziroma 3 %.</w:t>
      </w:r>
    </w:p>
    <w:p w:rsidR="0077619C" w:rsidRPr="0077619C" w:rsidRDefault="0077619C" w:rsidP="0077619C">
      <w:pPr>
        <w:keepNext/>
        <w:spacing w:after="240" w:line="240" w:lineRule="atLeast"/>
        <w:jc w:val="both"/>
        <w:outlineLvl w:val="1"/>
        <w:rPr>
          <w:rFonts w:cs="Arial"/>
          <w:b/>
          <w:bCs/>
          <w:szCs w:val="20"/>
          <w:u w:val="single"/>
          <w:lang w:val="sl-SI" w:eastAsia="sl-SI"/>
        </w:rPr>
      </w:pPr>
      <w:bookmarkStart w:id="40" w:name="_Toc461059117"/>
      <w:r w:rsidRPr="0077619C">
        <w:rPr>
          <w:rFonts w:cs="Arial"/>
          <w:b/>
          <w:bCs/>
          <w:szCs w:val="20"/>
          <w:u w:val="single"/>
          <w:lang w:val="sl-SI" w:eastAsia="sl-SI"/>
        </w:rPr>
        <w:t>1</w:t>
      </w:r>
      <w:r w:rsidR="00CF356C">
        <w:rPr>
          <w:rFonts w:cs="Arial"/>
          <w:b/>
          <w:bCs/>
          <w:szCs w:val="20"/>
          <w:u w:val="single"/>
          <w:lang w:val="sl-SI" w:eastAsia="sl-SI"/>
        </w:rPr>
        <w:t>1</w:t>
      </w:r>
      <w:r w:rsidRPr="0077619C">
        <w:rPr>
          <w:rFonts w:cs="Arial"/>
          <w:b/>
          <w:bCs/>
          <w:szCs w:val="20"/>
          <w:u w:val="single"/>
          <w:lang w:val="sl-SI" w:eastAsia="sl-SI"/>
        </w:rPr>
        <w:t xml:space="preserve">.2 Obremenitve s hrupom v okolju </w:t>
      </w:r>
      <w:bookmarkEnd w:id="40"/>
    </w:p>
    <w:p w:rsidR="0077619C" w:rsidRPr="0077619C" w:rsidRDefault="0077619C" w:rsidP="0077619C">
      <w:pPr>
        <w:spacing w:after="200" w:line="240" w:lineRule="atLeast"/>
        <w:jc w:val="both"/>
        <w:rPr>
          <w:rFonts w:cs="Arial"/>
          <w:szCs w:val="20"/>
          <w:lang w:val="sl-SI" w:eastAsia="sl-SI"/>
        </w:rPr>
      </w:pPr>
      <w:bookmarkStart w:id="41" w:name="_Toc461059118"/>
      <w:r w:rsidRPr="0077619C">
        <w:rPr>
          <w:rFonts w:cs="Arial"/>
          <w:szCs w:val="20"/>
          <w:lang w:val="sl-SI" w:eastAsia="sl-SI"/>
        </w:rPr>
        <w:t>Raven hrupa v okolju se prikaže s t.im. kazalci hrupa, katerih vrednosti prikazujejo letne povprečne vrednosti dnevnega, nočnega, večernega in celodnevnega hrupa. Obremenjenost s hrupom pa se prikaže s številom ljudi ali stavb ali velikostjo območja, ki je izpostavljeno določeni ravni hrupa.</w:t>
      </w:r>
    </w:p>
    <w:p w:rsidR="0077619C" w:rsidRPr="0077619C" w:rsidRDefault="0077619C" w:rsidP="0077619C">
      <w:pPr>
        <w:spacing w:after="200" w:line="240" w:lineRule="atLeast"/>
        <w:jc w:val="both"/>
        <w:rPr>
          <w:rFonts w:cs="Arial"/>
          <w:szCs w:val="20"/>
          <w:lang w:val="sl-SI" w:eastAsia="sl-SI"/>
        </w:rPr>
      </w:pPr>
      <w:r w:rsidRPr="0077619C">
        <w:rPr>
          <w:rFonts w:cs="Arial"/>
          <w:szCs w:val="20"/>
          <w:lang w:val="sl-SI" w:eastAsia="sl-SI"/>
        </w:rPr>
        <w:t>Za večje vire hrupa v okolju so obremenitve prikazane v strateških kartah hrupa. Na ravni EU se strateške karte izdelajo za vire hrupa, ki izpolnjujejo enotna merila glede gostote prometa ali števila prebivalcev na strnjenih ozemljih. Na ravni EU je določena tudi najmanjša vsebina teh kart in način prikaza obremenitev s hrupom, ki omogočajo medsebojno primerjavo posameznih držav.</w:t>
      </w:r>
    </w:p>
    <w:p w:rsidR="0077619C" w:rsidRPr="0077619C" w:rsidRDefault="0077619C" w:rsidP="0077619C">
      <w:pPr>
        <w:spacing w:after="60" w:line="240" w:lineRule="atLeast"/>
        <w:jc w:val="both"/>
        <w:rPr>
          <w:rFonts w:cs="Arial"/>
          <w:szCs w:val="20"/>
          <w:lang w:val="sl-SI" w:eastAsia="sl-SI"/>
        </w:rPr>
      </w:pPr>
      <w:r w:rsidRPr="0077619C">
        <w:rPr>
          <w:rFonts w:cs="Arial"/>
          <w:szCs w:val="20"/>
          <w:lang w:val="sl-SI" w:eastAsia="sl-SI"/>
        </w:rPr>
        <w:t xml:space="preserve">V Sloveniji so izdelane strateške karte hrupa za območja: </w:t>
      </w:r>
    </w:p>
    <w:p w:rsidR="0077619C" w:rsidRPr="0077619C" w:rsidRDefault="0077619C" w:rsidP="0077619C">
      <w:pPr>
        <w:numPr>
          <w:ilvl w:val="0"/>
          <w:numId w:val="86"/>
        </w:numPr>
        <w:spacing w:after="60" w:line="240" w:lineRule="atLeast"/>
        <w:ind w:left="284" w:hanging="284"/>
        <w:jc w:val="both"/>
        <w:rPr>
          <w:rFonts w:cs="Arial"/>
          <w:szCs w:val="20"/>
          <w:lang w:val="sl-SI" w:eastAsia="sl-SI"/>
        </w:rPr>
      </w:pPr>
      <w:r w:rsidRPr="0077619C">
        <w:rPr>
          <w:rFonts w:cs="Arial"/>
          <w:szCs w:val="20"/>
          <w:lang w:val="sl-SI" w:eastAsia="sl-SI"/>
        </w:rPr>
        <w:t xml:space="preserve">v bližini pomembnih cest – to je cest, kjer je gostota prometa 3 milijone vozil letno ali več, </w:t>
      </w:r>
    </w:p>
    <w:p w:rsidR="0077619C" w:rsidRPr="0077619C" w:rsidRDefault="0077619C" w:rsidP="0077619C">
      <w:pPr>
        <w:numPr>
          <w:ilvl w:val="0"/>
          <w:numId w:val="86"/>
        </w:numPr>
        <w:spacing w:after="60" w:line="240" w:lineRule="atLeast"/>
        <w:ind w:left="284" w:hanging="284"/>
        <w:jc w:val="both"/>
        <w:rPr>
          <w:rFonts w:cs="Arial"/>
          <w:szCs w:val="20"/>
          <w:lang w:val="sl-SI" w:eastAsia="sl-SI"/>
        </w:rPr>
      </w:pPr>
      <w:r w:rsidRPr="0077619C">
        <w:rPr>
          <w:rFonts w:cs="Arial"/>
          <w:szCs w:val="20"/>
          <w:lang w:val="sl-SI" w:eastAsia="sl-SI"/>
        </w:rPr>
        <w:t>v bližini pomembnih železniških prog – to je železniških prog, kjer je gostota prometa 30.000 prevozov vlakov letno ali več,</w:t>
      </w:r>
    </w:p>
    <w:p w:rsidR="0077619C" w:rsidRPr="0077619C" w:rsidRDefault="0077619C" w:rsidP="0077619C">
      <w:pPr>
        <w:numPr>
          <w:ilvl w:val="0"/>
          <w:numId w:val="86"/>
        </w:numPr>
        <w:spacing w:after="200" w:line="240" w:lineRule="atLeast"/>
        <w:ind w:left="284" w:hanging="284"/>
        <w:jc w:val="both"/>
        <w:rPr>
          <w:rFonts w:cs="Arial"/>
          <w:szCs w:val="20"/>
          <w:lang w:val="sl-SI" w:eastAsia="sl-SI"/>
        </w:rPr>
      </w:pPr>
      <w:r w:rsidRPr="0077619C">
        <w:rPr>
          <w:rFonts w:cs="Arial"/>
          <w:szCs w:val="20"/>
          <w:lang w:val="sl-SI" w:eastAsia="sl-SI"/>
        </w:rPr>
        <w:t xml:space="preserve">večjih strnjenih poselitev – to je za območja z več kot 100.000 prebivalci. V Sloveniji sta to območji Mestne občine Maribor (izdelana je karta hrupa za t. im. območje Urbanistične zasnove mesta Maribor) in Mestne občine Ljubljana.  </w:t>
      </w:r>
    </w:p>
    <w:p w:rsidR="0077619C" w:rsidRPr="0077619C" w:rsidRDefault="0077619C" w:rsidP="0077619C">
      <w:pPr>
        <w:spacing w:after="200" w:line="240" w:lineRule="atLeast"/>
        <w:jc w:val="both"/>
        <w:rPr>
          <w:rFonts w:cs="Arial"/>
          <w:szCs w:val="20"/>
          <w:lang w:val="sl-SI" w:eastAsia="sl-SI"/>
        </w:rPr>
      </w:pPr>
      <w:r w:rsidRPr="0077619C">
        <w:rPr>
          <w:rFonts w:cs="Arial"/>
          <w:szCs w:val="20"/>
          <w:lang w:val="sl-SI" w:eastAsia="sl-SI"/>
        </w:rPr>
        <w:t>Značilno za strateške karte hrupa je, da se hrup določi v točkah v višini 4 m nad tlemi in pred najbolj obremenjeno fasado stavb z varovanimi prostori v bližini vira hrupa. Za stavbe z varovanimi prostori se štejejo stavbe s prostori za stanovanjske, vzgojno-varstvene, izobraževalne ali zdravstvene namene.</w:t>
      </w:r>
    </w:p>
    <w:p w:rsidR="0077619C" w:rsidRPr="0077619C" w:rsidRDefault="0077619C" w:rsidP="0077619C">
      <w:pPr>
        <w:spacing w:after="200" w:line="240" w:lineRule="atLeast"/>
        <w:jc w:val="both"/>
        <w:rPr>
          <w:rFonts w:cs="Arial"/>
          <w:szCs w:val="20"/>
          <w:lang w:val="sl-SI" w:eastAsia="sl-SI"/>
        </w:rPr>
      </w:pPr>
      <w:r w:rsidRPr="0077619C">
        <w:rPr>
          <w:rFonts w:cs="Arial"/>
          <w:szCs w:val="20"/>
          <w:lang w:val="sl-SI" w:eastAsia="sl-SI"/>
        </w:rPr>
        <w:t>Strateške karte hrupa se ponavadi izdelajo z modelnim izračunom obremenjenosti površin in stavb na opazovanem območju, iz česar se oceni število ljudi, izpostavljenih določenim ravnem hrupa. Za tak račun je treba poznati značilnosti obratovanja virov hrupa oziroma obseg in razporeditev njihovih emisij hrupa</w:t>
      </w:r>
      <w:r w:rsidR="00CB5442">
        <w:rPr>
          <w:rFonts w:cs="Arial"/>
          <w:szCs w:val="20"/>
          <w:lang w:val="sl-SI" w:eastAsia="sl-SI"/>
        </w:rPr>
        <w:t>,</w:t>
      </w:r>
      <w:r w:rsidRPr="0077619C">
        <w:rPr>
          <w:rFonts w:cs="Arial"/>
          <w:szCs w:val="20"/>
          <w:lang w:val="sl-SI" w:eastAsia="sl-SI"/>
        </w:rPr>
        <w:t xml:space="preserve"> ter meteorološke, reliefne in poselitvene značilnosti obravnavanega območja, med njimi tudi podatke o ovirah za preprečevanje širjenja hrupa v okolju kot so protihrupne ograje in nasipi. </w:t>
      </w:r>
    </w:p>
    <w:p w:rsidR="0077619C" w:rsidRPr="0077619C" w:rsidRDefault="0077619C" w:rsidP="0077619C">
      <w:pPr>
        <w:spacing w:after="200" w:line="240" w:lineRule="atLeast"/>
        <w:jc w:val="both"/>
        <w:rPr>
          <w:rFonts w:cs="Arial"/>
          <w:szCs w:val="20"/>
          <w:lang w:val="sl-SI" w:eastAsia="sl-SI"/>
        </w:rPr>
      </w:pPr>
      <w:r w:rsidRPr="0077619C">
        <w:rPr>
          <w:rFonts w:cs="Arial"/>
          <w:szCs w:val="20"/>
          <w:lang w:val="sl-SI" w:eastAsia="sl-SI"/>
        </w:rPr>
        <w:t xml:space="preserve">Na podlagi strateških kart hrupa se načrtujejo ukrepi za obvladovanje hrupa v okolju, ki so lahko ukrepi za zmanjšanje emisij hrupa ali izpostavljenosti hrupu. Strateške karte hrupa so namenjene tudi obveščanju prebivalcev o stanju glede hrupa v okolju. </w:t>
      </w:r>
    </w:p>
    <w:p w:rsidR="0077619C" w:rsidRPr="0077619C" w:rsidRDefault="0077619C" w:rsidP="00CF356C">
      <w:pPr>
        <w:spacing w:after="360" w:line="240" w:lineRule="atLeast"/>
        <w:jc w:val="both"/>
        <w:rPr>
          <w:szCs w:val="20"/>
          <w:lang w:val="sl-SI" w:eastAsia="sl-SI"/>
        </w:rPr>
      </w:pPr>
      <w:r w:rsidRPr="0077619C">
        <w:rPr>
          <w:szCs w:val="20"/>
          <w:lang w:val="sl-SI" w:eastAsia="sl-SI"/>
        </w:rPr>
        <w:t xml:space="preserve">Rezultati strateških kart hrupa so v smislu prikaza ravni hrupa na obravnavanih območjih na voljo tudi v Atlasu okolja na spletni strani ARSO. </w:t>
      </w:r>
    </w:p>
    <w:p w:rsidR="0077619C" w:rsidRPr="0077619C" w:rsidRDefault="0077619C" w:rsidP="0077619C">
      <w:pPr>
        <w:keepNext/>
        <w:spacing w:after="200" w:line="240" w:lineRule="atLeast"/>
        <w:jc w:val="both"/>
        <w:outlineLvl w:val="2"/>
        <w:rPr>
          <w:rFonts w:cs="Arial"/>
          <w:b/>
          <w:bCs/>
          <w:szCs w:val="20"/>
          <w:lang w:val="sl-SI" w:eastAsia="sl-SI"/>
        </w:rPr>
      </w:pPr>
      <w:r w:rsidRPr="0077619C">
        <w:rPr>
          <w:rFonts w:cs="Arial"/>
          <w:b/>
          <w:bCs/>
          <w:szCs w:val="20"/>
          <w:lang w:val="sl-SI" w:eastAsia="sl-SI"/>
        </w:rPr>
        <w:t>1</w:t>
      </w:r>
      <w:r w:rsidR="00CF356C">
        <w:rPr>
          <w:rFonts w:cs="Arial"/>
          <w:b/>
          <w:bCs/>
          <w:szCs w:val="20"/>
          <w:lang w:val="sl-SI" w:eastAsia="sl-SI"/>
        </w:rPr>
        <w:t>1</w:t>
      </w:r>
      <w:r w:rsidRPr="0077619C">
        <w:rPr>
          <w:rFonts w:cs="Arial"/>
          <w:b/>
          <w:bCs/>
          <w:szCs w:val="20"/>
          <w:lang w:val="sl-SI" w:eastAsia="sl-SI"/>
        </w:rPr>
        <w:t xml:space="preserve">.2.1 Hrup v okolju v bližini pomembnih cest </w:t>
      </w:r>
      <w:bookmarkEnd w:id="41"/>
    </w:p>
    <w:p w:rsidR="0077619C" w:rsidRPr="0077619C" w:rsidRDefault="0077619C" w:rsidP="0077619C">
      <w:pPr>
        <w:spacing w:after="200" w:line="240" w:lineRule="atLeast"/>
        <w:jc w:val="both"/>
        <w:rPr>
          <w:rFonts w:cs="Arial"/>
          <w:bCs/>
          <w:szCs w:val="20"/>
          <w:lang w:val="sl-SI" w:eastAsia="sl-SI"/>
        </w:rPr>
      </w:pPr>
      <w:r w:rsidRPr="0077619C">
        <w:rPr>
          <w:rFonts w:cs="Arial"/>
          <w:bCs/>
          <w:szCs w:val="20"/>
          <w:lang w:val="sl-SI" w:eastAsia="sl-SI"/>
        </w:rPr>
        <w:t xml:space="preserve">Pomembne ceste v Sloveniji obsegajo večji del avtocest in hitri cest v upravljanju Družbe za avtoceste v RS (DARS d.d.) ter približno 10 % glavnih in regionalnih cest, ki jih upravlja Direkcija RS za infrastrukturo (DRSI). </w:t>
      </w:r>
    </w:p>
    <w:p w:rsidR="0077619C" w:rsidRPr="0077619C" w:rsidRDefault="0077619C" w:rsidP="0077619C">
      <w:pPr>
        <w:spacing w:after="200" w:line="240" w:lineRule="atLeast"/>
        <w:jc w:val="both"/>
        <w:rPr>
          <w:rFonts w:cs="Arial"/>
          <w:szCs w:val="20"/>
          <w:lang w:val="sl-SI" w:eastAsia="sl-SI"/>
        </w:rPr>
      </w:pPr>
      <w:r w:rsidRPr="0077619C">
        <w:rPr>
          <w:rFonts w:cs="Arial"/>
          <w:szCs w:val="20"/>
          <w:lang w:val="sl-SI" w:eastAsia="sl-SI"/>
        </w:rPr>
        <w:t xml:space="preserve">Strateške karte hrupa za območja ob pomembnih cestah so bile izdelane leta 2014 z upoštevanjem prometnih obremenitev za 2011. </w:t>
      </w:r>
    </w:p>
    <w:p w:rsidR="0077619C" w:rsidRPr="0077619C" w:rsidRDefault="0077619C" w:rsidP="0077619C">
      <w:pPr>
        <w:spacing w:after="200" w:line="240" w:lineRule="atLeast"/>
        <w:jc w:val="both"/>
        <w:rPr>
          <w:rFonts w:cs="Arial"/>
          <w:szCs w:val="20"/>
          <w:u w:val="single"/>
          <w:lang w:val="sl-SI" w:eastAsia="sl-SI"/>
        </w:rPr>
      </w:pPr>
      <w:r w:rsidRPr="0077619C">
        <w:rPr>
          <w:rFonts w:cs="Arial"/>
          <w:szCs w:val="20"/>
          <w:u w:val="single"/>
          <w:lang w:val="sl-SI" w:eastAsia="sl-SI"/>
        </w:rPr>
        <w:t xml:space="preserve">Hrup v okolju v bližini pomembnih avtocest in hitrih cest </w:t>
      </w:r>
    </w:p>
    <w:p w:rsidR="00CF356C" w:rsidRPr="0077619C" w:rsidRDefault="0077619C" w:rsidP="00CF356C">
      <w:pPr>
        <w:spacing w:after="200" w:line="240" w:lineRule="atLeast"/>
        <w:jc w:val="both"/>
        <w:rPr>
          <w:rFonts w:cs="Arial"/>
          <w:szCs w:val="20"/>
          <w:lang w:val="sl-SI" w:eastAsia="sl-SI"/>
        </w:rPr>
      </w:pPr>
      <w:r w:rsidRPr="0077619C">
        <w:rPr>
          <w:rFonts w:cs="Arial"/>
          <w:szCs w:val="20"/>
          <w:lang w:val="sl-SI" w:eastAsia="sl-SI"/>
        </w:rPr>
        <w:t xml:space="preserve">Leta 2011 je gostota prometa na praktično celotnem omrežju (607 km) </w:t>
      </w:r>
      <w:r w:rsidRPr="0077619C">
        <w:rPr>
          <w:rFonts w:cs="Arial"/>
          <w:b/>
          <w:szCs w:val="20"/>
          <w:lang w:val="sl-SI" w:eastAsia="sl-SI"/>
        </w:rPr>
        <w:t>avtocest in hitrih cest</w:t>
      </w:r>
      <w:r w:rsidRPr="0077619C">
        <w:rPr>
          <w:rFonts w:cs="Arial"/>
          <w:szCs w:val="20"/>
          <w:lang w:val="sl-SI" w:eastAsia="sl-SI"/>
        </w:rPr>
        <w:t xml:space="preserve"> v Sloveniji presegala 3 milijone prevozov vozil letno, izjema so le trije odseki na skrajnem severovzhodnem delu Slovenije v skupni dolžini 12,2 km. </w:t>
      </w:r>
    </w:p>
    <w:p w:rsidR="00CF356C" w:rsidRPr="0077619C" w:rsidRDefault="00CF356C" w:rsidP="00CF356C">
      <w:pPr>
        <w:spacing w:after="200" w:line="240" w:lineRule="atLeast"/>
        <w:jc w:val="both"/>
        <w:rPr>
          <w:rFonts w:cs="Arial"/>
          <w:szCs w:val="20"/>
          <w:lang w:val="sl-SI" w:eastAsia="sl-SI"/>
        </w:rPr>
      </w:pPr>
      <w:r w:rsidRPr="0077619C">
        <w:rPr>
          <w:rFonts w:cs="Arial"/>
          <w:szCs w:val="20"/>
          <w:lang w:val="sl-SI" w:eastAsia="sl-SI"/>
        </w:rPr>
        <w:t xml:space="preserve">Pomembne avtoceste in hitre ceste sestavljajo odseki na avtocestah A1 (Šentilj – Srmin), A2 (Karavanke – Obrežje), A3 (Divača – Fernetiči), A4 (Slivnica - Gruškovje), A5 (Maribor – Pince) ter hitrih cestah H2 (Pesnica - Maribor), H3 (Zadobrova – Koseze, Ljubljana), H4 (Razdrto-Vrtojba), H5 (Škofije - Koper) in H7 (Dolga vas – državna meja). 44 km pomembnih avtocest in hitrih cest je na območju Mestne občine Ljubljana in 16 km takih cest je na območju Mestne občine Maribor. </w:t>
      </w:r>
    </w:p>
    <w:p w:rsidR="00CF356C" w:rsidRPr="0077619C" w:rsidRDefault="00CF356C" w:rsidP="00CF356C">
      <w:pPr>
        <w:spacing w:after="200" w:line="240" w:lineRule="atLeast"/>
        <w:jc w:val="both"/>
        <w:rPr>
          <w:rFonts w:cs="Arial"/>
          <w:szCs w:val="20"/>
          <w:lang w:val="sl-SI" w:eastAsia="sl-SI"/>
        </w:rPr>
      </w:pPr>
      <w:r w:rsidRPr="0077619C">
        <w:rPr>
          <w:rFonts w:cs="Arial"/>
          <w:szCs w:val="20"/>
          <w:lang w:val="sl-SI" w:eastAsia="sl-SI"/>
        </w:rPr>
        <w:t xml:space="preserve">Na območjih do 1000 m od osi teh cest je v času izdelave strateških kart hrupa živelo okoli 413.700 prebivalcev s stalnim in začasnim prebivališčem in evidentiranih je bilo okoli 79.600 stavb z varovanimi prostori.  </w:t>
      </w:r>
    </w:p>
    <w:p w:rsidR="0077619C" w:rsidRPr="0077619C" w:rsidRDefault="0077619C" w:rsidP="0077619C">
      <w:pPr>
        <w:spacing w:after="200" w:line="240" w:lineRule="atLeast"/>
        <w:jc w:val="both"/>
        <w:rPr>
          <w:rFonts w:cs="Arial"/>
          <w:szCs w:val="20"/>
          <w:lang w:val="sl-SI" w:eastAsia="sl-SI"/>
        </w:rPr>
      </w:pPr>
    </w:p>
    <w:p w:rsidR="0077619C" w:rsidRPr="0077619C" w:rsidRDefault="0077619C" w:rsidP="0077619C">
      <w:pPr>
        <w:spacing w:after="200" w:line="240" w:lineRule="atLeast"/>
        <w:rPr>
          <w:rFonts w:cs="Arial"/>
          <w:szCs w:val="20"/>
          <w:lang w:val="sl-SI" w:eastAsia="sl-SI"/>
        </w:rPr>
      </w:pPr>
      <w:r w:rsidRPr="0077619C">
        <w:rPr>
          <w:noProof/>
          <w:sz w:val="22"/>
          <w:lang w:val="sl-SI" w:eastAsia="sl-SI"/>
        </w:rPr>
        <w:drawing>
          <wp:inline distT="0" distB="0" distL="0" distR="0" wp14:anchorId="419D6189" wp14:editId="4DB38D26">
            <wp:extent cx="4299045" cy="2695691"/>
            <wp:effectExtent l="0" t="0" r="6350" b="9525"/>
            <wp:docPr id="235" name="Slika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Odseki monitoring-mio vozil letno.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4299045" cy="2695691"/>
                    </a:xfrm>
                    <a:prstGeom prst="rect">
                      <a:avLst/>
                    </a:prstGeom>
                  </pic:spPr>
                </pic:pic>
              </a:graphicData>
            </a:graphic>
          </wp:inline>
        </w:drawing>
      </w:r>
    </w:p>
    <w:p w:rsidR="0077619C" w:rsidRPr="00CF356C" w:rsidRDefault="0077619C" w:rsidP="0077619C">
      <w:pPr>
        <w:spacing w:line="240" w:lineRule="auto"/>
        <w:rPr>
          <w:i/>
          <w:lang w:val="sl-SI" w:eastAsia="sl-SI"/>
        </w:rPr>
      </w:pPr>
      <w:r w:rsidRPr="00CF356C">
        <w:rPr>
          <w:i/>
          <w:lang w:val="sl-SI" w:eastAsia="sl-SI"/>
        </w:rPr>
        <w:t>Slika 1</w:t>
      </w:r>
      <w:r w:rsidR="00CF356C" w:rsidRPr="00CF356C">
        <w:rPr>
          <w:i/>
          <w:lang w:val="sl-SI" w:eastAsia="sl-SI"/>
        </w:rPr>
        <w:t>1</w:t>
      </w:r>
      <w:r w:rsidRPr="00CF356C">
        <w:rPr>
          <w:i/>
          <w:lang w:val="sl-SI" w:eastAsia="sl-SI"/>
        </w:rPr>
        <w:t>.1: Odseki cest v upravljanju DARS d.d. z več kot 3 milijoni prevozov v letu 2011</w:t>
      </w:r>
    </w:p>
    <w:p w:rsidR="0077619C" w:rsidRPr="0077619C" w:rsidRDefault="0077619C" w:rsidP="0077619C">
      <w:pPr>
        <w:spacing w:line="240" w:lineRule="auto"/>
        <w:rPr>
          <w:sz w:val="18"/>
          <w:szCs w:val="18"/>
          <w:lang w:val="sl-SI" w:eastAsia="sl-SI"/>
        </w:rPr>
      </w:pPr>
      <w:r w:rsidRPr="0077619C">
        <w:rPr>
          <w:sz w:val="18"/>
          <w:szCs w:val="18"/>
          <w:lang w:val="sl-SI" w:eastAsia="sl-SI"/>
        </w:rPr>
        <w:t>Vir: strateške karte hrupa</w:t>
      </w:r>
    </w:p>
    <w:p w:rsidR="00CF356C" w:rsidRDefault="00CF356C" w:rsidP="0077619C">
      <w:pPr>
        <w:spacing w:after="200" w:line="240" w:lineRule="atLeast"/>
        <w:jc w:val="both"/>
        <w:rPr>
          <w:rFonts w:cs="Arial"/>
          <w:i/>
          <w:szCs w:val="20"/>
          <w:lang w:val="sl-SI" w:eastAsia="sl-SI"/>
        </w:rPr>
      </w:pPr>
    </w:p>
    <w:p w:rsidR="0077619C" w:rsidRPr="00CF356C" w:rsidRDefault="0077619C" w:rsidP="0077619C">
      <w:pPr>
        <w:spacing w:after="200" w:line="240" w:lineRule="atLeast"/>
        <w:jc w:val="both"/>
        <w:rPr>
          <w:rFonts w:cs="Arial"/>
          <w:i/>
          <w:szCs w:val="20"/>
          <w:lang w:val="sl-SI" w:eastAsia="sl-SI"/>
        </w:rPr>
      </w:pPr>
      <w:r w:rsidRPr="00CF356C">
        <w:rPr>
          <w:rFonts w:cs="Arial"/>
          <w:i/>
          <w:szCs w:val="20"/>
          <w:lang w:val="sl-SI" w:eastAsia="sl-SI"/>
        </w:rPr>
        <w:t>Preglednica 1</w:t>
      </w:r>
      <w:r w:rsidR="00CF356C">
        <w:rPr>
          <w:rFonts w:cs="Arial"/>
          <w:i/>
          <w:szCs w:val="20"/>
          <w:lang w:val="sl-SI" w:eastAsia="sl-SI"/>
        </w:rPr>
        <w:t>1</w:t>
      </w:r>
      <w:r w:rsidRPr="00CF356C">
        <w:rPr>
          <w:rFonts w:cs="Arial"/>
          <w:i/>
          <w:szCs w:val="20"/>
          <w:lang w:val="sl-SI" w:eastAsia="sl-SI"/>
        </w:rPr>
        <w:t xml:space="preserve">.1: stavbe z varovanimi prostori in prebivalci v razredih obremenitev s celodnevnim / nočnim hrupom v okolju zaradi prometa po pomembnih avtocestah in hitrih cestah  </w:t>
      </w:r>
    </w:p>
    <w:tbl>
      <w:tblPr>
        <w:tblW w:w="0" w:type="auto"/>
        <w:jc w:val="center"/>
        <w:tblBorders>
          <w:top w:val="single" w:sz="8" w:space="0" w:color="auto"/>
          <w:bottom w:val="single" w:sz="8" w:space="0" w:color="auto"/>
          <w:insideH w:val="single" w:sz="4" w:space="0" w:color="auto"/>
          <w:insideV w:val="single" w:sz="4" w:space="0" w:color="auto"/>
        </w:tblBorders>
        <w:tblLayout w:type="fixed"/>
        <w:tblLook w:val="0000" w:firstRow="0" w:lastRow="0" w:firstColumn="0" w:lastColumn="0" w:noHBand="0" w:noVBand="0"/>
      </w:tblPr>
      <w:tblGrid>
        <w:gridCol w:w="1701"/>
        <w:gridCol w:w="2818"/>
        <w:gridCol w:w="3358"/>
      </w:tblGrid>
      <w:tr w:rsidR="0077619C" w:rsidRPr="0077619C" w:rsidTr="0077619C">
        <w:trPr>
          <w:cantSplit/>
          <w:jc w:val="center"/>
        </w:trPr>
        <w:tc>
          <w:tcPr>
            <w:tcW w:w="1701" w:type="dxa"/>
            <w:tcBorders>
              <w:bottom w:val="single" w:sz="4" w:space="0" w:color="auto"/>
            </w:tcBorders>
            <w:shd w:val="clear" w:color="auto" w:fill="D9D9D9" w:themeFill="background1" w:themeFillShade="D9"/>
            <w:noWrap/>
            <w:tcMar>
              <w:left w:w="57" w:type="dxa"/>
              <w:right w:w="57" w:type="dxa"/>
            </w:tcMar>
            <w:vAlign w:val="center"/>
          </w:tcPr>
          <w:p w:rsidR="0077619C" w:rsidRPr="0077619C" w:rsidRDefault="0077619C" w:rsidP="0077619C">
            <w:pPr>
              <w:spacing w:before="120" w:after="60" w:line="240" w:lineRule="auto"/>
              <w:jc w:val="center"/>
              <w:rPr>
                <w:rFonts w:ascii="Arial Narrow" w:hAnsi="Arial Narrow"/>
                <w:b/>
                <w:bCs/>
                <w:sz w:val="18"/>
                <w:szCs w:val="18"/>
                <w:lang w:val="sl-SI"/>
              </w:rPr>
            </w:pPr>
            <w:r w:rsidRPr="0077619C">
              <w:rPr>
                <w:rFonts w:ascii="Arial Narrow" w:hAnsi="Arial Narrow"/>
                <w:b/>
                <w:bCs/>
                <w:sz w:val="18"/>
                <w:szCs w:val="18"/>
                <w:lang w:val="sl-SI"/>
              </w:rPr>
              <w:t>Razred obremenitve (dB(A))</w:t>
            </w:r>
          </w:p>
        </w:tc>
        <w:tc>
          <w:tcPr>
            <w:tcW w:w="2818" w:type="dxa"/>
            <w:tcBorders>
              <w:bottom w:val="single" w:sz="4" w:space="0" w:color="auto"/>
            </w:tcBorders>
            <w:shd w:val="clear" w:color="auto" w:fill="D9D9D9" w:themeFill="background1" w:themeFillShade="D9"/>
            <w:noWrap/>
            <w:tcMar>
              <w:left w:w="57" w:type="dxa"/>
              <w:right w:w="57" w:type="dxa"/>
            </w:tcMar>
            <w:vAlign w:val="center"/>
          </w:tcPr>
          <w:p w:rsidR="0077619C" w:rsidRPr="0077619C" w:rsidRDefault="0077619C" w:rsidP="0077619C">
            <w:pPr>
              <w:spacing w:before="120" w:after="60" w:line="240" w:lineRule="auto"/>
              <w:jc w:val="center"/>
              <w:rPr>
                <w:rFonts w:ascii="Arial Narrow" w:hAnsi="Arial Narrow"/>
                <w:b/>
                <w:bCs/>
                <w:sz w:val="18"/>
                <w:szCs w:val="18"/>
                <w:lang w:val="sl-SI"/>
              </w:rPr>
            </w:pPr>
            <w:r w:rsidRPr="0077619C">
              <w:rPr>
                <w:rFonts w:ascii="Arial Narrow" w:hAnsi="Arial Narrow"/>
                <w:b/>
                <w:bCs/>
                <w:sz w:val="18"/>
                <w:szCs w:val="18"/>
                <w:lang w:val="sl-SI"/>
              </w:rPr>
              <w:t>Število stavb z varovanimi prostori</w:t>
            </w:r>
          </w:p>
        </w:tc>
        <w:tc>
          <w:tcPr>
            <w:tcW w:w="3358" w:type="dxa"/>
            <w:tcBorders>
              <w:bottom w:val="single" w:sz="4" w:space="0" w:color="auto"/>
            </w:tcBorders>
            <w:shd w:val="clear" w:color="auto" w:fill="D9D9D9" w:themeFill="background1" w:themeFillShade="D9"/>
            <w:vAlign w:val="center"/>
          </w:tcPr>
          <w:p w:rsidR="0077619C" w:rsidRPr="0077619C" w:rsidRDefault="0077619C" w:rsidP="0077619C">
            <w:pPr>
              <w:spacing w:before="120" w:after="60" w:line="240" w:lineRule="auto"/>
              <w:jc w:val="center"/>
              <w:rPr>
                <w:rFonts w:ascii="Arial Narrow" w:hAnsi="Arial Narrow"/>
                <w:b/>
                <w:bCs/>
                <w:sz w:val="18"/>
                <w:szCs w:val="18"/>
                <w:lang w:val="sl-SI"/>
              </w:rPr>
            </w:pPr>
            <w:r w:rsidRPr="0077619C">
              <w:rPr>
                <w:rFonts w:ascii="Arial Narrow" w:hAnsi="Arial Narrow"/>
                <w:b/>
                <w:bCs/>
                <w:sz w:val="18"/>
                <w:szCs w:val="18"/>
                <w:lang w:val="sl-SI"/>
              </w:rPr>
              <w:t>Število prebivalcev s stalnim in začasnim prebivališčem</w:t>
            </w:r>
          </w:p>
        </w:tc>
      </w:tr>
      <w:tr w:rsidR="0077619C" w:rsidRPr="0077619C" w:rsidTr="0077619C">
        <w:trPr>
          <w:cantSplit/>
          <w:jc w:val="center"/>
        </w:trPr>
        <w:tc>
          <w:tcPr>
            <w:tcW w:w="1701" w:type="dxa"/>
            <w:tcBorders>
              <w:top w:val="dotted" w:sz="4" w:space="0" w:color="auto"/>
              <w:bottom w:val="nil"/>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bCs/>
                <w:sz w:val="18"/>
                <w:szCs w:val="18"/>
                <w:lang w:val="sl-SI"/>
              </w:rPr>
              <w:t>≥ 50</w:t>
            </w:r>
            <w:r w:rsidRPr="0077619C">
              <w:rPr>
                <w:rFonts w:cs="Arial"/>
                <w:sz w:val="18"/>
                <w:szCs w:val="18"/>
                <w:lang w:val="sl-SI"/>
              </w:rPr>
              <w:t xml:space="preserve"> </w:t>
            </w:r>
          </w:p>
        </w:tc>
        <w:tc>
          <w:tcPr>
            <w:tcW w:w="2818" w:type="dxa"/>
            <w:tcBorders>
              <w:top w:val="dotted" w:sz="4" w:space="0" w:color="auto"/>
              <w:bottom w:val="nil"/>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43.700  / 8.600</w:t>
            </w:r>
          </w:p>
        </w:tc>
        <w:tc>
          <w:tcPr>
            <w:tcW w:w="3358" w:type="dxa"/>
            <w:tcBorders>
              <w:top w:val="dotted" w:sz="4" w:space="0" w:color="auto"/>
              <w:bottom w:val="nil"/>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197.500 / 38.700</w:t>
            </w:r>
          </w:p>
        </w:tc>
      </w:tr>
      <w:tr w:rsidR="0077619C" w:rsidRPr="0077619C" w:rsidTr="0077619C">
        <w:trPr>
          <w:cantSplit/>
          <w:jc w:val="center"/>
        </w:trPr>
        <w:tc>
          <w:tcPr>
            <w:tcW w:w="1701" w:type="dxa"/>
            <w:tcBorders>
              <w:top w:val="nil"/>
              <w:bottom w:val="nil"/>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bCs/>
                <w:sz w:val="18"/>
                <w:szCs w:val="18"/>
                <w:lang w:val="sl-SI"/>
              </w:rPr>
              <w:t>≥ 55</w:t>
            </w:r>
          </w:p>
        </w:tc>
        <w:tc>
          <w:tcPr>
            <w:tcW w:w="2818" w:type="dxa"/>
            <w:tcBorders>
              <w:top w:val="nil"/>
              <w:bottom w:val="nil"/>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16.100  / 2.300</w:t>
            </w:r>
          </w:p>
        </w:tc>
        <w:tc>
          <w:tcPr>
            <w:tcW w:w="3358" w:type="dxa"/>
            <w:tcBorders>
              <w:top w:val="nil"/>
              <w:bottom w:val="nil"/>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69.900 / 10.972</w:t>
            </w:r>
          </w:p>
        </w:tc>
      </w:tr>
      <w:tr w:rsidR="0077619C" w:rsidRPr="0077619C" w:rsidTr="0077619C">
        <w:trPr>
          <w:cantSplit/>
          <w:jc w:val="center"/>
        </w:trPr>
        <w:tc>
          <w:tcPr>
            <w:tcW w:w="1701" w:type="dxa"/>
            <w:tcBorders>
              <w:top w:val="nil"/>
              <w:bottom w:val="nil"/>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 60</w:t>
            </w:r>
          </w:p>
        </w:tc>
        <w:tc>
          <w:tcPr>
            <w:tcW w:w="2818" w:type="dxa"/>
            <w:tcBorders>
              <w:top w:val="nil"/>
              <w:bottom w:val="nil"/>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4.600 / 500</w:t>
            </w:r>
          </w:p>
        </w:tc>
        <w:tc>
          <w:tcPr>
            <w:tcW w:w="3358" w:type="dxa"/>
            <w:tcBorders>
              <w:top w:val="nil"/>
              <w:bottom w:val="nil"/>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21.600 / 2.900</w:t>
            </w:r>
          </w:p>
        </w:tc>
      </w:tr>
      <w:tr w:rsidR="0077619C" w:rsidRPr="0077619C" w:rsidTr="0077619C">
        <w:trPr>
          <w:cantSplit/>
          <w:jc w:val="center"/>
        </w:trPr>
        <w:tc>
          <w:tcPr>
            <w:tcW w:w="1701" w:type="dxa"/>
            <w:tcBorders>
              <w:top w:val="nil"/>
              <w:bottom w:val="nil"/>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 65</w:t>
            </w:r>
          </w:p>
        </w:tc>
        <w:tc>
          <w:tcPr>
            <w:tcW w:w="2818" w:type="dxa"/>
            <w:tcBorders>
              <w:top w:val="nil"/>
              <w:bottom w:val="nil"/>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1.200 / -</w:t>
            </w:r>
          </w:p>
        </w:tc>
        <w:tc>
          <w:tcPr>
            <w:tcW w:w="3358" w:type="dxa"/>
            <w:tcBorders>
              <w:top w:val="nil"/>
              <w:bottom w:val="nil"/>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6.300 / 200</w:t>
            </w:r>
          </w:p>
        </w:tc>
      </w:tr>
      <w:tr w:rsidR="0077619C" w:rsidRPr="0077619C" w:rsidTr="0077619C">
        <w:trPr>
          <w:cantSplit/>
          <w:jc w:val="center"/>
        </w:trPr>
        <w:tc>
          <w:tcPr>
            <w:tcW w:w="1701" w:type="dxa"/>
            <w:tcBorders>
              <w:top w:val="nil"/>
              <w:bottom w:val="nil"/>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 70</w:t>
            </w:r>
          </w:p>
        </w:tc>
        <w:tc>
          <w:tcPr>
            <w:tcW w:w="2818" w:type="dxa"/>
            <w:tcBorders>
              <w:top w:val="nil"/>
              <w:bottom w:val="nil"/>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200 / -</w:t>
            </w:r>
          </w:p>
        </w:tc>
        <w:tc>
          <w:tcPr>
            <w:tcW w:w="3358" w:type="dxa"/>
            <w:tcBorders>
              <w:top w:val="nil"/>
              <w:bottom w:val="nil"/>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1.500 / -</w:t>
            </w:r>
          </w:p>
        </w:tc>
      </w:tr>
      <w:tr w:rsidR="0077619C" w:rsidRPr="0077619C" w:rsidTr="0077619C">
        <w:trPr>
          <w:cantSplit/>
          <w:jc w:val="center"/>
        </w:trPr>
        <w:tc>
          <w:tcPr>
            <w:tcW w:w="1701" w:type="dxa"/>
            <w:tcBorders>
              <w:top w:val="nil"/>
              <w:bottom w:val="single" w:sz="4" w:space="0" w:color="auto"/>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 75</w:t>
            </w:r>
          </w:p>
        </w:tc>
        <w:tc>
          <w:tcPr>
            <w:tcW w:w="2818" w:type="dxa"/>
            <w:tcBorders>
              <w:top w:val="nil"/>
              <w:bottom w:val="single" w:sz="4" w:space="0" w:color="auto"/>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 / -</w:t>
            </w:r>
          </w:p>
        </w:tc>
        <w:tc>
          <w:tcPr>
            <w:tcW w:w="3358" w:type="dxa"/>
            <w:tcBorders>
              <w:top w:val="nil"/>
              <w:bottom w:val="single" w:sz="4" w:space="0" w:color="auto"/>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100 / -</w:t>
            </w:r>
          </w:p>
        </w:tc>
      </w:tr>
    </w:tbl>
    <w:p w:rsidR="0077619C" w:rsidRPr="0077619C" w:rsidRDefault="0077619C" w:rsidP="00CF356C">
      <w:pPr>
        <w:spacing w:after="360" w:line="240" w:lineRule="atLeast"/>
        <w:jc w:val="both"/>
        <w:rPr>
          <w:rFonts w:cs="Arial"/>
          <w:sz w:val="16"/>
          <w:szCs w:val="16"/>
          <w:lang w:val="sl-SI" w:eastAsia="sl-SI"/>
        </w:rPr>
      </w:pPr>
      <w:r w:rsidRPr="0077619C">
        <w:rPr>
          <w:rFonts w:cs="Arial"/>
          <w:sz w:val="16"/>
          <w:szCs w:val="16"/>
          <w:lang w:val="sl-SI" w:eastAsia="sl-SI"/>
        </w:rPr>
        <w:t>(števila v preglednici so zaokrožena na stotice)</w:t>
      </w:r>
    </w:p>
    <w:p w:rsidR="0077619C" w:rsidRPr="0077619C" w:rsidRDefault="0077619C" w:rsidP="0077619C">
      <w:pPr>
        <w:spacing w:after="200" w:line="240" w:lineRule="atLeast"/>
        <w:jc w:val="both"/>
        <w:rPr>
          <w:rFonts w:cs="Arial"/>
          <w:szCs w:val="20"/>
          <w:u w:val="single"/>
          <w:lang w:val="sl-SI" w:eastAsia="sl-SI"/>
        </w:rPr>
      </w:pPr>
      <w:r w:rsidRPr="0077619C">
        <w:rPr>
          <w:rFonts w:cs="Arial"/>
          <w:szCs w:val="20"/>
          <w:u w:val="single"/>
          <w:lang w:val="sl-SI" w:eastAsia="sl-SI"/>
        </w:rPr>
        <w:t xml:space="preserve">Hrup v okolju v bližini pomembnih državnih in regionalnih cest </w:t>
      </w:r>
    </w:p>
    <w:p w:rsidR="0077619C" w:rsidRDefault="0077619C" w:rsidP="0077619C">
      <w:pPr>
        <w:spacing w:after="200" w:line="240" w:lineRule="atLeast"/>
        <w:jc w:val="both"/>
        <w:rPr>
          <w:rFonts w:cs="Arial"/>
          <w:bCs/>
          <w:szCs w:val="20"/>
          <w:lang w:val="sl-SI" w:eastAsia="sl-SI"/>
        </w:rPr>
      </w:pPr>
      <w:r w:rsidRPr="0077619C">
        <w:rPr>
          <w:rFonts w:cs="Arial"/>
          <w:szCs w:val="20"/>
          <w:lang w:val="sl-SI" w:eastAsia="sl-SI"/>
        </w:rPr>
        <w:t xml:space="preserve">Glede na podatke o prometu je leta 2011 na omrežju </w:t>
      </w:r>
      <w:r w:rsidRPr="0077619C">
        <w:rPr>
          <w:rFonts w:cs="Arial"/>
          <w:b/>
          <w:szCs w:val="20"/>
          <w:lang w:val="sl-SI" w:eastAsia="sl-SI"/>
        </w:rPr>
        <w:t>državnih in regionalnih cest</w:t>
      </w:r>
      <w:r w:rsidRPr="0077619C">
        <w:rPr>
          <w:rFonts w:cs="Arial"/>
          <w:szCs w:val="20"/>
          <w:lang w:val="sl-SI" w:eastAsia="sl-SI"/>
        </w:rPr>
        <w:t xml:space="preserve"> (v skupni dolžini 6.454 km) gostota prometa presegla 3 milijone vozil letno na približno 560 km državnih in regionalnih cest, ki jih zaradi tega štejemo za pomembne državne in regionalne ceste. </w:t>
      </w:r>
      <w:r w:rsidRPr="0077619C">
        <w:rPr>
          <w:rFonts w:cs="Arial"/>
          <w:bCs/>
          <w:szCs w:val="20"/>
          <w:lang w:val="sl-SI" w:eastAsia="sl-SI"/>
        </w:rPr>
        <w:t>Upravljavec teh cest je DRSI.</w:t>
      </w:r>
    </w:p>
    <w:p w:rsidR="00CF356C" w:rsidRPr="00CF356C" w:rsidRDefault="00CF356C" w:rsidP="00CF356C">
      <w:pPr>
        <w:spacing w:after="200" w:line="240" w:lineRule="atLeast"/>
        <w:jc w:val="both"/>
        <w:rPr>
          <w:rFonts w:cs="Arial"/>
          <w:bCs/>
          <w:szCs w:val="20"/>
          <w:lang w:val="sl-SI" w:eastAsia="sl-SI"/>
        </w:rPr>
      </w:pPr>
      <w:r w:rsidRPr="00CF356C">
        <w:rPr>
          <w:rFonts w:cs="Arial"/>
          <w:bCs/>
          <w:szCs w:val="20"/>
          <w:lang w:val="sl-SI" w:eastAsia="sl-SI"/>
        </w:rPr>
        <w:t xml:space="preserve">Glavne in regionalne ceste so razpredene po celotni državi ter povezujejo regionalna središča in manjše kraje. Večina cest je s prometom zmerno obremenjena, gostota prometa je povečana v večjih poselitvenih območjih ali njihovem vplivnem območju. Tako je promet na državnih cestah največji v urbanih središčih Ljubljana, Maribor, Celje, Koper, Kranj, Nova Gorica, Novo mesto, Ptuj, Velenje in njihovih vpadnicah. </w:t>
      </w:r>
    </w:p>
    <w:p w:rsidR="00CF356C" w:rsidRPr="0077619C" w:rsidRDefault="00CF356C" w:rsidP="0077619C">
      <w:pPr>
        <w:spacing w:after="200" w:line="240" w:lineRule="atLeast"/>
        <w:jc w:val="both"/>
        <w:rPr>
          <w:rFonts w:cs="Arial"/>
          <w:szCs w:val="20"/>
          <w:lang w:val="sl-SI" w:eastAsia="sl-SI"/>
        </w:rPr>
      </w:pPr>
    </w:p>
    <w:p w:rsidR="0077619C" w:rsidRPr="0077619C" w:rsidRDefault="0077619C" w:rsidP="0077619C">
      <w:pPr>
        <w:spacing w:after="200" w:line="240" w:lineRule="atLeast"/>
        <w:jc w:val="both"/>
        <w:rPr>
          <w:rFonts w:cs="Arial"/>
          <w:bCs/>
          <w:szCs w:val="20"/>
          <w:lang w:val="sl-SI" w:eastAsia="sl-SI"/>
        </w:rPr>
      </w:pPr>
      <w:r w:rsidRPr="0077619C">
        <w:rPr>
          <w:rFonts w:cs="Arial"/>
          <w:bCs/>
          <w:noProof/>
          <w:szCs w:val="20"/>
          <w:lang w:val="sl-SI" w:eastAsia="sl-SI"/>
        </w:rPr>
        <w:drawing>
          <wp:inline distT="0" distB="0" distL="0" distR="0" wp14:anchorId="7C3AD679" wp14:editId="7842E0D5">
            <wp:extent cx="4615111" cy="3257029"/>
            <wp:effectExtent l="0" t="0" r="0" b="635"/>
            <wp:docPr id="236" name="Slika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4620168" cy="3260598"/>
                    </a:xfrm>
                    <a:prstGeom prst="rect">
                      <a:avLst/>
                    </a:prstGeom>
                    <a:noFill/>
                    <a:ln>
                      <a:noFill/>
                    </a:ln>
                  </pic:spPr>
                </pic:pic>
              </a:graphicData>
            </a:graphic>
          </wp:inline>
        </w:drawing>
      </w:r>
    </w:p>
    <w:p w:rsidR="0077619C" w:rsidRPr="00CF356C" w:rsidRDefault="0077619C" w:rsidP="0077619C">
      <w:pPr>
        <w:spacing w:line="240" w:lineRule="auto"/>
        <w:rPr>
          <w:i/>
          <w:lang w:val="sl-SI" w:eastAsia="sl-SI"/>
        </w:rPr>
      </w:pPr>
      <w:r w:rsidRPr="00CF356C">
        <w:rPr>
          <w:i/>
          <w:lang w:val="sl-SI" w:eastAsia="sl-SI"/>
        </w:rPr>
        <w:t>Slika 1</w:t>
      </w:r>
      <w:r w:rsidR="00CF356C" w:rsidRPr="00CF356C">
        <w:rPr>
          <w:i/>
          <w:lang w:val="sl-SI" w:eastAsia="sl-SI"/>
        </w:rPr>
        <w:t>1</w:t>
      </w:r>
      <w:r w:rsidRPr="00CF356C">
        <w:rPr>
          <w:i/>
          <w:lang w:val="sl-SI" w:eastAsia="sl-SI"/>
        </w:rPr>
        <w:t>.2: Odseki cest v upravljanju DRSI z več kot 3 milijoni prevozov letno v letu 2011</w:t>
      </w:r>
    </w:p>
    <w:p w:rsidR="0077619C" w:rsidRPr="0077619C" w:rsidRDefault="0077619C" w:rsidP="0077619C">
      <w:pPr>
        <w:spacing w:line="240" w:lineRule="auto"/>
        <w:rPr>
          <w:sz w:val="18"/>
          <w:szCs w:val="18"/>
          <w:lang w:val="sl-SI" w:eastAsia="sl-SI"/>
        </w:rPr>
      </w:pPr>
      <w:r w:rsidRPr="0077619C">
        <w:rPr>
          <w:sz w:val="18"/>
          <w:szCs w:val="18"/>
          <w:lang w:val="sl-SI" w:eastAsia="sl-SI"/>
        </w:rPr>
        <w:t>Vir: strateške karte hrupa</w:t>
      </w:r>
    </w:p>
    <w:p w:rsidR="0077619C" w:rsidRPr="0077619C" w:rsidRDefault="0077619C" w:rsidP="0077619C">
      <w:pPr>
        <w:spacing w:after="200" w:line="240" w:lineRule="atLeast"/>
        <w:jc w:val="both"/>
        <w:rPr>
          <w:rFonts w:cs="Arial"/>
          <w:bCs/>
          <w:szCs w:val="20"/>
          <w:lang w:val="sl-SI" w:eastAsia="sl-SI"/>
        </w:rPr>
      </w:pPr>
    </w:p>
    <w:p w:rsidR="0077619C" w:rsidRPr="0077619C" w:rsidRDefault="0077619C" w:rsidP="0077619C">
      <w:pPr>
        <w:spacing w:after="200" w:line="240" w:lineRule="atLeast"/>
        <w:jc w:val="both"/>
        <w:rPr>
          <w:rFonts w:cs="Arial"/>
          <w:bCs/>
          <w:szCs w:val="20"/>
          <w:lang w:val="sl-SI" w:eastAsia="sl-SI"/>
        </w:rPr>
      </w:pPr>
      <w:r w:rsidRPr="0077619C">
        <w:rPr>
          <w:rFonts w:cs="Arial"/>
          <w:bCs/>
          <w:szCs w:val="20"/>
          <w:lang w:val="sl-SI" w:eastAsia="sl-SI"/>
        </w:rPr>
        <w:t xml:space="preserve">Na območjih do 1000 m od osi teh cest je v času izdelave strateških kart hrupa živelo okoli 612.400 prebivalcev s stalnim prebivališčem in evidentiranih je bilo okoli 119.000 stavb z varovanimi prostori. </w:t>
      </w:r>
    </w:p>
    <w:p w:rsidR="0077619C" w:rsidRPr="00CF356C" w:rsidRDefault="0077619C" w:rsidP="0077619C">
      <w:pPr>
        <w:spacing w:after="200" w:line="240" w:lineRule="atLeast"/>
        <w:jc w:val="both"/>
        <w:rPr>
          <w:rFonts w:cs="Arial"/>
          <w:i/>
          <w:szCs w:val="20"/>
          <w:lang w:val="sl-SI" w:eastAsia="sl-SI"/>
        </w:rPr>
      </w:pPr>
      <w:r w:rsidRPr="00CF356C">
        <w:rPr>
          <w:rFonts w:cs="Arial"/>
          <w:i/>
          <w:szCs w:val="20"/>
          <w:lang w:val="sl-SI" w:eastAsia="sl-SI"/>
        </w:rPr>
        <w:t>Preglednica 1</w:t>
      </w:r>
      <w:r w:rsidR="00CF356C">
        <w:rPr>
          <w:rFonts w:cs="Arial"/>
          <w:i/>
          <w:szCs w:val="20"/>
          <w:lang w:val="sl-SI" w:eastAsia="sl-SI"/>
        </w:rPr>
        <w:t>1</w:t>
      </w:r>
      <w:r w:rsidRPr="00CF356C">
        <w:rPr>
          <w:rFonts w:cs="Arial"/>
          <w:i/>
          <w:szCs w:val="20"/>
          <w:lang w:val="sl-SI" w:eastAsia="sl-SI"/>
        </w:rPr>
        <w:t xml:space="preserve">.2: stavbe z varovanimi prostori in prebivalci v razredih obremenitev s celodnevnim / nočnim hrupom v okolju zaradi prometa po pomembnih glavnih in regionalnih cestah  </w:t>
      </w:r>
    </w:p>
    <w:tbl>
      <w:tblPr>
        <w:tblW w:w="0" w:type="auto"/>
        <w:jc w:val="center"/>
        <w:tblBorders>
          <w:top w:val="single" w:sz="8" w:space="0" w:color="auto"/>
          <w:bottom w:val="single" w:sz="8" w:space="0" w:color="auto"/>
          <w:insideH w:val="single" w:sz="4" w:space="0" w:color="auto"/>
          <w:insideV w:val="single" w:sz="4" w:space="0" w:color="auto"/>
        </w:tblBorders>
        <w:tblLayout w:type="fixed"/>
        <w:tblLook w:val="0000" w:firstRow="0" w:lastRow="0" w:firstColumn="0" w:lastColumn="0" w:noHBand="0" w:noVBand="0"/>
      </w:tblPr>
      <w:tblGrid>
        <w:gridCol w:w="1701"/>
        <w:gridCol w:w="2818"/>
        <w:gridCol w:w="3358"/>
      </w:tblGrid>
      <w:tr w:rsidR="0077619C" w:rsidRPr="0077619C" w:rsidTr="0077619C">
        <w:trPr>
          <w:cantSplit/>
          <w:jc w:val="center"/>
        </w:trPr>
        <w:tc>
          <w:tcPr>
            <w:tcW w:w="1701" w:type="dxa"/>
            <w:tcBorders>
              <w:bottom w:val="single" w:sz="4" w:space="0" w:color="auto"/>
            </w:tcBorders>
            <w:shd w:val="clear" w:color="auto" w:fill="D9D9D9" w:themeFill="background1" w:themeFillShade="D9"/>
            <w:noWrap/>
            <w:tcMar>
              <w:left w:w="57" w:type="dxa"/>
              <w:right w:w="57" w:type="dxa"/>
            </w:tcMar>
            <w:vAlign w:val="center"/>
          </w:tcPr>
          <w:p w:rsidR="0077619C" w:rsidRPr="0077619C" w:rsidRDefault="0077619C" w:rsidP="0077619C">
            <w:pPr>
              <w:spacing w:before="120" w:after="60" w:line="240" w:lineRule="auto"/>
              <w:jc w:val="center"/>
              <w:rPr>
                <w:rFonts w:ascii="Arial Narrow" w:hAnsi="Arial Narrow"/>
                <w:b/>
                <w:bCs/>
                <w:sz w:val="18"/>
                <w:szCs w:val="18"/>
                <w:lang w:val="sl-SI"/>
              </w:rPr>
            </w:pPr>
            <w:r w:rsidRPr="0077619C">
              <w:rPr>
                <w:rFonts w:ascii="Arial Narrow" w:hAnsi="Arial Narrow"/>
                <w:b/>
                <w:bCs/>
                <w:sz w:val="18"/>
                <w:szCs w:val="18"/>
                <w:lang w:val="sl-SI"/>
              </w:rPr>
              <w:t>Razred obremenitve (dB(A))</w:t>
            </w:r>
          </w:p>
        </w:tc>
        <w:tc>
          <w:tcPr>
            <w:tcW w:w="2818" w:type="dxa"/>
            <w:tcBorders>
              <w:bottom w:val="single" w:sz="4" w:space="0" w:color="auto"/>
            </w:tcBorders>
            <w:shd w:val="clear" w:color="auto" w:fill="D9D9D9" w:themeFill="background1" w:themeFillShade="D9"/>
            <w:noWrap/>
            <w:tcMar>
              <w:left w:w="57" w:type="dxa"/>
              <w:right w:w="57" w:type="dxa"/>
            </w:tcMar>
            <w:vAlign w:val="center"/>
          </w:tcPr>
          <w:p w:rsidR="0077619C" w:rsidRPr="0077619C" w:rsidRDefault="0077619C" w:rsidP="0077619C">
            <w:pPr>
              <w:spacing w:before="120" w:after="60" w:line="240" w:lineRule="auto"/>
              <w:jc w:val="center"/>
              <w:rPr>
                <w:rFonts w:ascii="Arial Narrow" w:hAnsi="Arial Narrow"/>
                <w:b/>
                <w:bCs/>
                <w:sz w:val="18"/>
                <w:szCs w:val="18"/>
                <w:lang w:val="sl-SI"/>
              </w:rPr>
            </w:pPr>
            <w:r w:rsidRPr="0077619C">
              <w:rPr>
                <w:rFonts w:ascii="Arial Narrow" w:hAnsi="Arial Narrow"/>
                <w:b/>
                <w:bCs/>
                <w:sz w:val="18"/>
                <w:szCs w:val="18"/>
                <w:lang w:val="sl-SI"/>
              </w:rPr>
              <w:t xml:space="preserve">Skupno število stavb z varovanimi prostori </w:t>
            </w:r>
          </w:p>
        </w:tc>
        <w:tc>
          <w:tcPr>
            <w:tcW w:w="3358" w:type="dxa"/>
            <w:tcBorders>
              <w:bottom w:val="single" w:sz="4" w:space="0" w:color="auto"/>
            </w:tcBorders>
            <w:shd w:val="clear" w:color="auto" w:fill="D9D9D9" w:themeFill="background1" w:themeFillShade="D9"/>
            <w:vAlign w:val="center"/>
          </w:tcPr>
          <w:p w:rsidR="0077619C" w:rsidRPr="0077619C" w:rsidRDefault="0077619C" w:rsidP="0077619C">
            <w:pPr>
              <w:spacing w:before="120" w:after="60" w:line="240" w:lineRule="auto"/>
              <w:jc w:val="center"/>
              <w:rPr>
                <w:rFonts w:ascii="Arial Narrow" w:hAnsi="Arial Narrow"/>
                <w:b/>
                <w:bCs/>
                <w:sz w:val="18"/>
                <w:szCs w:val="18"/>
                <w:lang w:val="sl-SI"/>
              </w:rPr>
            </w:pPr>
            <w:r w:rsidRPr="0077619C">
              <w:rPr>
                <w:rFonts w:ascii="Arial Narrow" w:hAnsi="Arial Narrow"/>
                <w:b/>
                <w:bCs/>
                <w:sz w:val="18"/>
                <w:szCs w:val="18"/>
                <w:lang w:val="sl-SI"/>
              </w:rPr>
              <w:t>Število prebivalcev s stalnim prebivališčem</w:t>
            </w:r>
          </w:p>
        </w:tc>
      </w:tr>
      <w:tr w:rsidR="0077619C" w:rsidRPr="0077619C" w:rsidTr="0077619C">
        <w:trPr>
          <w:cantSplit/>
          <w:jc w:val="center"/>
        </w:trPr>
        <w:tc>
          <w:tcPr>
            <w:tcW w:w="1701" w:type="dxa"/>
            <w:tcBorders>
              <w:top w:val="dotted" w:sz="4" w:space="0" w:color="auto"/>
              <w:bottom w:val="nil"/>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bCs/>
                <w:sz w:val="18"/>
                <w:szCs w:val="18"/>
                <w:lang w:val="sl-SI"/>
              </w:rPr>
              <w:t>≥ 50</w:t>
            </w:r>
            <w:r w:rsidRPr="0077619C">
              <w:rPr>
                <w:rFonts w:cs="Arial"/>
                <w:sz w:val="18"/>
                <w:szCs w:val="18"/>
                <w:lang w:val="sl-SI"/>
              </w:rPr>
              <w:t xml:space="preserve"> </w:t>
            </w:r>
          </w:p>
        </w:tc>
        <w:tc>
          <w:tcPr>
            <w:tcW w:w="2818" w:type="dxa"/>
            <w:tcBorders>
              <w:top w:val="dotted" w:sz="4" w:space="0" w:color="auto"/>
              <w:bottom w:val="nil"/>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38.200 /14.370</w:t>
            </w:r>
          </w:p>
        </w:tc>
        <w:tc>
          <w:tcPr>
            <w:tcW w:w="3358" w:type="dxa"/>
            <w:tcBorders>
              <w:top w:val="dotted" w:sz="4" w:space="0" w:color="auto"/>
              <w:bottom w:val="nil"/>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215.900 / 90.500</w:t>
            </w:r>
          </w:p>
        </w:tc>
      </w:tr>
      <w:tr w:rsidR="0077619C" w:rsidRPr="0077619C" w:rsidTr="0077619C">
        <w:trPr>
          <w:cantSplit/>
          <w:jc w:val="center"/>
        </w:trPr>
        <w:tc>
          <w:tcPr>
            <w:tcW w:w="1701" w:type="dxa"/>
            <w:tcBorders>
              <w:top w:val="nil"/>
              <w:bottom w:val="nil"/>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bCs/>
                <w:sz w:val="18"/>
                <w:szCs w:val="18"/>
                <w:lang w:val="sl-SI"/>
              </w:rPr>
              <w:t>≥ 55</w:t>
            </w:r>
          </w:p>
        </w:tc>
        <w:tc>
          <w:tcPr>
            <w:tcW w:w="2818" w:type="dxa"/>
            <w:tcBorders>
              <w:top w:val="nil"/>
              <w:bottom w:val="nil"/>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21.400 / 8.500</w:t>
            </w:r>
          </w:p>
        </w:tc>
        <w:tc>
          <w:tcPr>
            <w:tcW w:w="3358" w:type="dxa"/>
            <w:tcBorders>
              <w:top w:val="nil"/>
              <w:bottom w:val="nil"/>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130.300 / 57.600</w:t>
            </w:r>
          </w:p>
        </w:tc>
      </w:tr>
      <w:tr w:rsidR="0077619C" w:rsidRPr="0077619C" w:rsidTr="0077619C">
        <w:trPr>
          <w:cantSplit/>
          <w:jc w:val="center"/>
        </w:trPr>
        <w:tc>
          <w:tcPr>
            <w:tcW w:w="1701" w:type="dxa"/>
            <w:tcBorders>
              <w:top w:val="nil"/>
              <w:bottom w:val="nil"/>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 60</w:t>
            </w:r>
          </w:p>
        </w:tc>
        <w:tc>
          <w:tcPr>
            <w:tcW w:w="2818" w:type="dxa"/>
            <w:tcBorders>
              <w:top w:val="nil"/>
              <w:bottom w:val="nil"/>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12.800 / 3.500</w:t>
            </w:r>
          </w:p>
        </w:tc>
        <w:tc>
          <w:tcPr>
            <w:tcW w:w="3358" w:type="dxa"/>
            <w:tcBorders>
              <w:top w:val="nil"/>
              <w:bottom w:val="nil"/>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 xml:space="preserve">82.900 / 20.500 </w:t>
            </w:r>
          </w:p>
        </w:tc>
      </w:tr>
      <w:tr w:rsidR="0077619C" w:rsidRPr="0077619C" w:rsidTr="0077619C">
        <w:trPr>
          <w:cantSplit/>
          <w:jc w:val="center"/>
        </w:trPr>
        <w:tc>
          <w:tcPr>
            <w:tcW w:w="1701" w:type="dxa"/>
            <w:tcBorders>
              <w:top w:val="nil"/>
              <w:bottom w:val="nil"/>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 65</w:t>
            </w:r>
          </w:p>
        </w:tc>
        <w:tc>
          <w:tcPr>
            <w:tcW w:w="2818" w:type="dxa"/>
            <w:tcBorders>
              <w:top w:val="nil"/>
              <w:bottom w:val="nil"/>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7.700 / 400</w:t>
            </w:r>
          </w:p>
        </w:tc>
        <w:tc>
          <w:tcPr>
            <w:tcW w:w="3358" w:type="dxa"/>
            <w:tcBorders>
              <w:top w:val="nil"/>
              <w:bottom w:val="nil"/>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52.100 / 2.200</w:t>
            </w:r>
          </w:p>
        </w:tc>
      </w:tr>
      <w:tr w:rsidR="0077619C" w:rsidRPr="0077619C" w:rsidTr="0077619C">
        <w:trPr>
          <w:cantSplit/>
          <w:jc w:val="center"/>
        </w:trPr>
        <w:tc>
          <w:tcPr>
            <w:tcW w:w="1701" w:type="dxa"/>
            <w:tcBorders>
              <w:top w:val="nil"/>
              <w:bottom w:val="nil"/>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 70</w:t>
            </w:r>
          </w:p>
        </w:tc>
        <w:tc>
          <w:tcPr>
            <w:tcW w:w="2818" w:type="dxa"/>
            <w:tcBorders>
              <w:top w:val="nil"/>
              <w:bottom w:val="nil"/>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2.700 / -</w:t>
            </w:r>
          </w:p>
        </w:tc>
        <w:tc>
          <w:tcPr>
            <w:tcW w:w="3358" w:type="dxa"/>
            <w:tcBorders>
              <w:top w:val="nil"/>
              <w:bottom w:val="nil"/>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15.000 / -</w:t>
            </w:r>
          </w:p>
        </w:tc>
      </w:tr>
      <w:tr w:rsidR="0077619C" w:rsidRPr="0077619C" w:rsidTr="0077619C">
        <w:trPr>
          <w:cantSplit/>
          <w:jc w:val="center"/>
        </w:trPr>
        <w:tc>
          <w:tcPr>
            <w:tcW w:w="1701" w:type="dxa"/>
            <w:tcBorders>
              <w:top w:val="nil"/>
              <w:bottom w:val="single" w:sz="4" w:space="0" w:color="auto"/>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 75</w:t>
            </w:r>
          </w:p>
        </w:tc>
        <w:tc>
          <w:tcPr>
            <w:tcW w:w="2818" w:type="dxa"/>
            <w:tcBorders>
              <w:top w:val="nil"/>
              <w:bottom w:val="single" w:sz="4" w:space="0" w:color="auto"/>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200 / 0</w:t>
            </w:r>
          </w:p>
        </w:tc>
        <w:tc>
          <w:tcPr>
            <w:tcW w:w="3358" w:type="dxa"/>
            <w:tcBorders>
              <w:top w:val="nil"/>
              <w:bottom w:val="single" w:sz="4" w:space="0" w:color="auto"/>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800 / -</w:t>
            </w:r>
          </w:p>
        </w:tc>
      </w:tr>
    </w:tbl>
    <w:p w:rsidR="0077619C" w:rsidRPr="0077619C" w:rsidRDefault="0077619C" w:rsidP="0077619C">
      <w:pPr>
        <w:spacing w:after="200" w:line="240" w:lineRule="atLeast"/>
        <w:jc w:val="both"/>
        <w:rPr>
          <w:rFonts w:cs="Arial"/>
          <w:sz w:val="16"/>
          <w:szCs w:val="16"/>
          <w:lang w:val="sl-SI" w:eastAsia="sl-SI"/>
        </w:rPr>
      </w:pPr>
      <w:r w:rsidRPr="0077619C">
        <w:rPr>
          <w:rFonts w:cs="Arial"/>
          <w:sz w:val="16"/>
          <w:szCs w:val="16"/>
          <w:lang w:val="sl-SI" w:eastAsia="sl-SI"/>
        </w:rPr>
        <w:t>(števila v preglednici so zaokrožena na stotice)</w:t>
      </w:r>
    </w:p>
    <w:p w:rsidR="0077619C" w:rsidRPr="0077619C" w:rsidRDefault="0077619C" w:rsidP="0077619C">
      <w:pPr>
        <w:spacing w:after="200" w:line="240" w:lineRule="atLeast"/>
        <w:jc w:val="both"/>
        <w:rPr>
          <w:rFonts w:cs="Arial"/>
          <w:b/>
          <w:szCs w:val="20"/>
          <w:lang w:val="sl-SI" w:eastAsia="sl-SI"/>
        </w:rPr>
      </w:pPr>
    </w:p>
    <w:p w:rsidR="0077619C" w:rsidRPr="0077619C" w:rsidRDefault="0077619C" w:rsidP="0077619C">
      <w:pPr>
        <w:spacing w:after="200" w:line="240" w:lineRule="atLeast"/>
        <w:jc w:val="both"/>
        <w:rPr>
          <w:rFonts w:cs="Arial"/>
          <w:b/>
          <w:bCs/>
          <w:szCs w:val="20"/>
          <w:lang w:val="sl-SI" w:eastAsia="sl-SI"/>
        </w:rPr>
      </w:pPr>
      <w:r w:rsidRPr="0077619C">
        <w:rPr>
          <w:rFonts w:cs="Arial"/>
          <w:b/>
          <w:szCs w:val="20"/>
          <w:lang w:val="sl-SI" w:eastAsia="sl-SI"/>
        </w:rPr>
        <w:t>1</w:t>
      </w:r>
      <w:r w:rsidR="00CF356C">
        <w:rPr>
          <w:rFonts w:cs="Arial"/>
          <w:b/>
          <w:szCs w:val="20"/>
          <w:lang w:val="sl-SI" w:eastAsia="sl-SI"/>
        </w:rPr>
        <w:t>1</w:t>
      </w:r>
      <w:r w:rsidRPr="0077619C">
        <w:rPr>
          <w:rFonts w:cs="Arial"/>
          <w:b/>
          <w:szCs w:val="20"/>
          <w:lang w:val="sl-SI" w:eastAsia="sl-SI"/>
        </w:rPr>
        <w:t xml:space="preserve">.2.2 Hrup v okolju, ki ga povzročajo pomembne železniške proge </w:t>
      </w:r>
      <w:r w:rsidRPr="0077619C">
        <w:rPr>
          <w:rFonts w:cs="Arial"/>
          <w:b/>
          <w:bCs/>
          <w:szCs w:val="20"/>
          <w:lang w:val="sl-SI" w:eastAsia="sl-SI"/>
        </w:rPr>
        <w:t xml:space="preserve">  </w:t>
      </w:r>
    </w:p>
    <w:p w:rsidR="0077619C" w:rsidRPr="0077619C" w:rsidRDefault="0077619C" w:rsidP="0077619C">
      <w:pPr>
        <w:spacing w:after="200" w:line="240" w:lineRule="atLeast"/>
        <w:jc w:val="both"/>
        <w:rPr>
          <w:rFonts w:cs="Arial"/>
          <w:szCs w:val="20"/>
          <w:lang w:val="sl-SI" w:eastAsia="sl-SI"/>
        </w:rPr>
      </w:pPr>
      <w:r w:rsidRPr="0077619C">
        <w:rPr>
          <w:rFonts w:cs="Arial"/>
          <w:szCs w:val="20"/>
          <w:lang w:val="sl-SI" w:eastAsia="sl-SI"/>
        </w:rPr>
        <w:t xml:space="preserve">Prikazane so obremenitve s hrupom v okolju, ki ga povzročajo pomembne železniške proge v Sloveniji – to so železniške proge, na katerih je več kot 30.000 prevozov vlakov letno. Od skupno 1.227 km železniškega omrežja v državi so bili glede na število prevozov leta 2012 kot pomembne železniške proge evidentirani odseki na glavni progi št. 10 (Ljubljana - Zidani most), št. 20 (Ljubljana - Kranj), št. 30 (Zidani most – Maribor) in št. 50 (Ljubljana – Divača). Od naštetih glavnih prog poteka 32 km na območju Mestne občine Ljubljana in 8,6 km na območju Urbanistične zasnove mesta Maribor. </w:t>
      </w:r>
    </w:p>
    <w:p w:rsidR="0077619C" w:rsidRPr="0077619C" w:rsidRDefault="0077619C" w:rsidP="0077619C">
      <w:pPr>
        <w:spacing w:after="200" w:line="240" w:lineRule="atLeast"/>
        <w:jc w:val="both"/>
        <w:rPr>
          <w:rFonts w:cs="Arial"/>
          <w:szCs w:val="20"/>
          <w:lang w:val="sl-SI" w:eastAsia="sl-SI"/>
        </w:rPr>
      </w:pPr>
      <w:r w:rsidRPr="0077619C">
        <w:rPr>
          <w:rFonts w:cs="Arial"/>
          <w:noProof/>
          <w:szCs w:val="20"/>
          <w:lang w:val="sl-SI" w:eastAsia="sl-SI"/>
        </w:rPr>
        <w:drawing>
          <wp:inline distT="0" distB="0" distL="0" distR="0" wp14:anchorId="38B83567" wp14:editId="0DE58B29">
            <wp:extent cx="4851870" cy="3428814"/>
            <wp:effectExtent l="0" t="0" r="6350" b="635"/>
            <wp:docPr id="237" name="Slika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851352" cy="3428448"/>
                    </a:xfrm>
                    <a:prstGeom prst="rect">
                      <a:avLst/>
                    </a:prstGeom>
                    <a:noFill/>
                  </pic:spPr>
                </pic:pic>
              </a:graphicData>
            </a:graphic>
          </wp:inline>
        </w:drawing>
      </w:r>
    </w:p>
    <w:p w:rsidR="0077619C" w:rsidRPr="00CF356C" w:rsidRDefault="0077619C" w:rsidP="0077619C">
      <w:pPr>
        <w:spacing w:line="240" w:lineRule="atLeast"/>
        <w:jc w:val="both"/>
        <w:rPr>
          <w:rFonts w:cs="Arial"/>
          <w:i/>
          <w:szCs w:val="20"/>
          <w:lang w:val="sl-SI" w:eastAsia="sl-SI"/>
        </w:rPr>
      </w:pPr>
      <w:r w:rsidRPr="00CF356C">
        <w:rPr>
          <w:rFonts w:cs="Arial"/>
          <w:i/>
          <w:szCs w:val="20"/>
          <w:lang w:val="sl-SI" w:eastAsia="sl-SI"/>
        </w:rPr>
        <w:t>Slika 1</w:t>
      </w:r>
      <w:r w:rsidR="00CF356C" w:rsidRPr="00CF356C">
        <w:rPr>
          <w:rFonts w:cs="Arial"/>
          <w:i/>
          <w:szCs w:val="20"/>
          <w:lang w:val="sl-SI" w:eastAsia="sl-SI"/>
        </w:rPr>
        <w:t>1</w:t>
      </w:r>
      <w:r w:rsidRPr="00CF356C">
        <w:rPr>
          <w:rFonts w:cs="Arial"/>
          <w:i/>
          <w:szCs w:val="20"/>
          <w:lang w:val="sl-SI" w:eastAsia="sl-SI"/>
        </w:rPr>
        <w:t xml:space="preserve">.3: Železniške proge v Sloveniji z označenimi pomembnimi progami </w:t>
      </w:r>
    </w:p>
    <w:p w:rsidR="0077619C" w:rsidRPr="0077619C" w:rsidRDefault="0077619C" w:rsidP="0077619C">
      <w:pPr>
        <w:spacing w:after="200" w:line="240" w:lineRule="atLeast"/>
        <w:jc w:val="both"/>
        <w:rPr>
          <w:rFonts w:cs="Arial"/>
          <w:szCs w:val="20"/>
          <w:lang w:val="sl-SI" w:eastAsia="sl-SI"/>
        </w:rPr>
      </w:pPr>
      <w:r w:rsidRPr="0077619C">
        <w:rPr>
          <w:rFonts w:cs="Arial"/>
          <w:szCs w:val="20"/>
          <w:lang w:val="sl-SI" w:eastAsia="sl-SI"/>
        </w:rPr>
        <w:t>Vir: strateške karte hrupa</w:t>
      </w:r>
    </w:p>
    <w:p w:rsidR="002B6ED6" w:rsidRDefault="002B6ED6" w:rsidP="0077619C">
      <w:pPr>
        <w:spacing w:after="200" w:line="240" w:lineRule="atLeast"/>
        <w:jc w:val="both"/>
        <w:rPr>
          <w:rFonts w:cs="Arial"/>
          <w:bCs/>
          <w:szCs w:val="20"/>
          <w:lang w:val="sl-SI" w:eastAsia="sl-SI"/>
        </w:rPr>
      </w:pPr>
    </w:p>
    <w:p w:rsidR="0077619C" w:rsidRPr="0077619C" w:rsidRDefault="0077619C" w:rsidP="0077619C">
      <w:pPr>
        <w:spacing w:after="200" w:line="240" w:lineRule="atLeast"/>
        <w:jc w:val="both"/>
        <w:rPr>
          <w:rFonts w:cs="Arial"/>
          <w:bCs/>
          <w:szCs w:val="20"/>
          <w:lang w:val="sl-SI" w:eastAsia="sl-SI"/>
        </w:rPr>
      </w:pPr>
      <w:r w:rsidRPr="0077619C">
        <w:rPr>
          <w:rFonts w:cs="Arial"/>
          <w:bCs/>
          <w:szCs w:val="20"/>
          <w:lang w:val="sl-SI" w:eastAsia="sl-SI"/>
        </w:rPr>
        <w:t xml:space="preserve">Na območjih do 1000 m od osi teh železniških proga je v času izdelave strateških kart hrupa živelo okoli 337.300 prebivalcev s stalnim in začasnim prebivališčem in evidentiranih je bilo okoli 47.000 stavb z varovanimi prostori. </w:t>
      </w:r>
    </w:p>
    <w:p w:rsidR="0077619C" w:rsidRPr="00CF356C" w:rsidRDefault="0077619C" w:rsidP="0077619C">
      <w:pPr>
        <w:spacing w:after="200" w:line="240" w:lineRule="atLeast"/>
        <w:jc w:val="both"/>
        <w:rPr>
          <w:rFonts w:cs="Arial"/>
          <w:i/>
          <w:szCs w:val="20"/>
          <w:lang w:val="sl-SI" w:eastAsia="sl-SI"/>
        </w:rPr>
      </w:pPr>
      <w:r w:rsidRPr="00CF356C">
        <w:rPr>
          <w:rFonts w:cs="Arial"/>
          <w:i/>
          <w:szCs w:val="20"/>
          <w:lang w:val="sl-SI" w:eastAsia="sl-SI"/>
        </w:rPr>
        <w:t>Preglednica 1</w:t>
      </w:r>
      <w:r w:rsidR="00CF356C" w:rsidRPr="00CF356C">
        <w:rPr>
          <w:rFonts w:cs="Arial"/>
          <w:i/>
          <w:szCs w:val="20"/>
          <w:lang w:val="sl-SI" w:eastAsia="sl-SI"/>
        </w:rPr>
        <w:t>1</w:t>
      </w:r>
      <w:r w:rsidRPr="00CF356C">
        <w:rPr>
          <w:rFonts w:cs="Arial"/>
          <w:i/>
          <w:szCs w:val="20"/>
          <w:lang w:val="sl-SI" w:eastAsia="sl-SI"/>
        </w:rPr>
        <w:t xml:space="preserve">.3: stavbe z varovanimi prostori in prebivalci v razredih obremenitev s celodnevnim / nočnim hrupom v okolju zaradi prometa po pomembnih železniških progah  </w:t>
      </w:r>
    </w:p>
    <w:tbl>
      <w:tblPr>
        <w:tblW w:w="0" w:type="auto"/>
        <w:jc w:val="center"/>
        <w:tblBorders>
          <w:top w:val="single" w:sz="8" w:space="0" w:color="auto"/>
          <w:bottom w:val="single" w:sz="8" w:space="0" w:color="auto"/>
          <w:insideH w:val="single" w:sz="4" w:space="0" w:color="auto"/>
          <w:insideV w:val="single" w:sz="4" w:space="0" w:color="auto"/>
        </w:tblBorders>
        <w:tblLayout w:type="fixed"/>
        <w:tblLook w:val="0000" w:firstRow="0" w:lastRow="0" w:firstColumn="0" w:lastColumn="0" w:noHBand="0" w:noVBand="0"/>
      </w:tblPr>
      <w:tblGrid>
        <w:gridCol w:w="1701"/>
        <w:gridCol w:w="2818"/>
        <w:gridCol w:w="3358"/>
      </w:tblGrid>
      <w:tr w:rsidR="0077619C" w:rsidRPr="0077619C" w:rsidTr="0077619C">
        <w:trPr>
          <w:cantSplit/>
          <w:jc w:val="center"/>
        </w:trPr>
        <w:tc>
          <w:tcPr>
            <w:tcW w:w="1701" w:type="dxa"/>
            <w:tcBorders>
              <w:bottom w:val="single" w:sz="4" w:space="0" w:color="auto"/>
            </w:tcBorders>
            <w:shd w:val="clear" w:color="auto" w:fill="D9D9D9" w:themeFill="background1" w:themeFillShade="D9"/>
            <w:noWrap/>
            <w:tcMar>
              <w:left w:w="57" w:type="dxa"/>
              <w:right w:w="57" w:type="dxa"/>
            </w:tcMar>
            <w:vAlign w:val="center"/>
          </w:tcPr>
          <w:p w:rsidR="0077619C" w:rsidRPr="0077619C" w:rsidRDefault="0077619C" w:rsidP="0077619C">
            <w:pPr>
              <w:spacing w:before="120" w:after="60" w:line="240" w:lineRule="auto"/>
              <w:jc w:val="center"/>
              <w:rPr>
                <w:rFonts w:ascii="Arial Narrow" w:hAnsi="Arial Narrow"/>
                <w:b/>
                <w:bCs/>
                <w:sz w:val="18"/>
                <w:szCs w:val="18"/>
                <w:lang w:val="sl-SI"/>
              </w:rPr>
            </w:pPr>
            <w:r w:rsidRPr="0077619C">
              <w:rPr>
                <w:rFonts w:ascii="Arial Narrow" w:hAnsi="Arial Narrow"/>
                <w:b/>
                <w:bCs/>
                <w:sz w:val="18"/>
                <w:szCs w:val="18"/>
                <w:lang w:val="sl-SI"/>
              </w:rPr>
              <w:t>Razred obremenitve (dB(A))</w:t>
            </w:r>
          </w:p>
        </w:tc>
        <w:tc>
          <w:tcPr>
            <w:tcW w:w="2818" w:type="dxa"/>
            <w:tcBorders>
              <w:bottom w:val="single" w:sz="4" w:space="0" w:color="auto"/>
            </w:tcBorders>
            <w:shd w:val="clear" w:color="auto" w:fill="D9D9D9" w:themeFill="background1" w:themeFillShade="D9"/>
            <w:noWrap/>
            <w:tcMar>
              <w:left w:w="57" w:type="dxa"/>
              <w:right w:w="57" w:type="dxa"/>
            </w:tcMar>
            <w:vAlign w:val="center"/>
          </w:tcPr>
          <w:p w:rsidR="0077619C" w:rsidRPr="0077619C" w:rsidRDefault="0077619C" w:rsidP="0077619C">
            <w:pPr>
              <w:spacing w:before="120" w:after="60" w:line="240" w:lineRule="auto"/>
              <w:jc w:val="center"/>
              <w:rPr>
                <w:rFonts w:ascii="Arial Narrow" w:hAnsi="Arial Narrow"/>
                <w:b/>
                <w:bCs/>
                <w:sz w:val="18"/>
                <w:szCs w:val="18"/>
                <w:lang w:val="sl-SI"/>
              </w:rPr>
            </w:pPr>
            <w:r w:rsidRPr="0077619C">
              <w:rPr>
                <w:rFonts w:ascii="Arial Narrow" w:hAnsi="Arial Narrow"/>
                <w:b/>
                <w:bCs/>
                <w:sz w:val="18"/>
                <w:szCs w:val="18"/>
                <w:lang w:val="sl-SI"/>
              </w:rPr>
              <w:t xml:space="preserve">Skupno število stavb z varovanimi prostori </w:t>
            </w:r>
          </w:p>
        </w:tc>
        <w:tc>
          <w:tcPr>
            <w:tcW w:w="3358" w:type="dxa"/>
            <w:tcBorders>
              <w:bottom w:val="single" w:sz="4" w:space="0" w:color="auto"/>
            </w:tcBorders>
            <w:shd w:val="clear" w:color="auto" w:fill="D9D9D9" w:themeFill="background1" w:themeFillShade="D9"/>
            <w:vAlign w:val="center"/>
          </w:tcPr>
          <w:p w:rsidR="0077619C" w:rsidRPr="0077619C" w:rsidRDefault="0077619C" w:rsidP="0077619C">
            <w:pPr>
              <w:spacing w:before="120" w:after="60" w:line="240" w:lineRule="auto"/>
              <w:jc w:val="center"/>
              <w:rPr>
                <w:rFonts w:ascii="Arial Narrow" w:hAnsi="Arial Narrow"/>
                <w:b/>
                <w:bCs/>
                <w:sz w:val="18"/>
                <w:szCs w:val="18"/>
                <w:lang w:val="sl-SI"/>
              </w:rPr>
            </w:pPr>
            <w:r w:rsidRPr="0077619C">
              <w:rPr>
                <w:rFonts w:ascii="Arial Narrow" w:hAnsi="Arial Narrow"/>
                <w:b/>
                <w:bCs/>
                <w:sz w:val="18"/>
                <w:szCs w:val="18"/>
                <w:lang w:val="sl-SI"/>
              </w:rPr>
              <w:t>Število prebivalcev s stalnim in začasnim prebivališčem</w:t>
            </w:r>
          </w:p>
        </w:tc>
      </w:tr>
      <w:tr w:rsidR="0077619C" w:rsidRPr="0077619C" w:rsidTr="0077619C">
        <w:trPr>
          <w:cantSplit/>
          <w:jc w:val="center"/>
        </w:trPr>
        <w:tc>
          <w:tcPr>
            <w:tcW w:w="1701" w:type="dxa"/>
            <w:tcBorders>
              <w:top w:val="dotted" w:sz="4" w:space="0" w:color="auto"/>
              <w:bottom w:val="nil"/>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bCs/>
                <w:sz w:val="18"/>
                <w:szCs w:val="18"/>
                <w:lang w:val="sl-SI"/>
              </w:rPr>
              <w:t>≥ 50</w:t>
            </w:r>
            <w:r w:rsidRPr="0077619C">
              <w:rPr>
                <w:rFonts w:cs="Arial"/>
                <w:sz w:val="18"/>
                <w:szCs w:val="18"/>
                <w:lang w:val="sl-SI"/>
              </w:rPr>
              <w:t xml:space="preserve"> </w:t>
            </w:r>
          </w:p>
        </w:tc>
        <w:tc>
          <w:tcPr>
            <w:tcW w:w="2818" w:type="dxa"/>
            <w:tcBorders>
              <w:top w:val="dotted" w:sz="4" w:space="0" w:color="auto"/>
              <w:bottom w:val="nil"/>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14.500 / 6.800</w:t>
            </w:r>
          </w:p>
        </w:tc>
        <w:tc>
          <w:tcPr>
            <w:tcW w:w="3358" w:type="dxa"/>
            <w:tcBorders>
              <w:top w:val="dotted" w:sz="4" w:space="0" w:color="auto"/>
              <w:bottom w:val="nil"/>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92.000 / 41.600</w:t>
            </w:r>
          </w:p>
        </w:tc>
      </w:tr>
      <w:tr w:rsidR="0077619C" w:rsidRPr="0077619C" w:rsidTr="0077619C">
        <w:trPr>
          <w:cantSplit/>
          <w:jc w:val="center"/>
        </w:trPr>
        <w:tc>
          <w:tcPr>
            <w:tcW w:w="1701" w:type="dxa"/>
            <w:tcBorders>
              <w:top w:val="nil"/>
              <w:bottom w:val="nil"/>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bCs/>
                <w:sz w:val="18"/>
                <w:szCs w:val="18"/>
                <w:lang w:val="sl-SI"/>
              </w:rPr>
              <w:t>≥ 55</w:t>
            </w:r>
          </w:p>
        </w:tc>
        <w:tc>
          <w:tcPr>
            <w:tcW w:w="2818" w:type="dxa"/>
            <w:tcBorders>
              <w:top w:val="nil"/>
              <w:bottom w:val="nil"/>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8.000 / 3.900</w:t>
            </w:r>
          </w:p>
        </w:tc>
        <w:tc>
          <w:tcPr>
            <w:tcW w:w="3358" w:type="dxa"/>
            <w:tcBorders>
              <w:top w:val="nil"/>
              <w:bottom w:val="nil"/>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49.300 / 22.200</w:t>
            </w:r>
          </w:p>
        </w:tc>
      </w:tr>
      <w:tr w:rsidR="0077619C" w:rsidRPr="0077619C" w:rsidTr="0077619C">
        <w:trPr>
          <w:cantSplit/>
          <w:jc w:val="center"/>
        </w:trPr>
        <w:tc>
          <w:tcPr>
            <w:tcW w:w="1701" w:type="dxa"/>
            <w:tcBorders>
              <w:top w:val="nil"/>
              <w:bottom w:val="nil"/>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 60</w:t>
            </w:r>
          </w:p>
        </w:tc>
        <w:tc>
          <w:tcPr>
            <w:tcW w:w="2818" w:type="dxa"/>
            <w:tcBorders>
              <w:top w:val="nil"/>
              <w:bottom w:val="nil"/>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4.500 / 2.200</w:t>
            </w:r>
          </w:p>
        </w:tc>
        <w:tc>
          <w:tcPr>
            <w:tcW w:w="3358" w:type="dxa"/>
            <w:tcBorders>
              <w:top w:val="nil"/>
              <w:bottom w:val="nil"/>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27.100 / 12.800</w:t>
            </w:r>
          </w:p>
        </w:tc>
      </w:tr>
      <w:tr w:rsidR="0077619C" w:rsidRPr="0077619C" w:rsidTr="0077619C">
        <w:trPr>
          <w:cantSplit/>
          <w:jc w:val="center"/>
        </w:trPr>
        <w:tc>
          <w:tcPr>
            <w:tcW w:w="1701" w:type="dxa"/>
            <w:tcBorders>
              <w:top w:val="nil"/>
              <w:bottom w:val="nil"/>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 65</w:t>
            </w:r>
          </w:p>
        </w:tc>
        <w:tc>
          <w:tcPr>
            <w:tcW w:w="2818" w:type="dxa"/>
            <w:tcBorders>
              <w:top w:val="nil"/>
              <w:bottom w:val="nil"/>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2.500 / 1.000</w:t>
            </w:r>
          </w:p>
        </w:tc>
        <w:tc>
          <w:tcPr>
            <w:tcW w:w="3358" w:type="dxa"/>
            <w:tcBorders>
              <w:top w:val="nil"/>
              <w:bottom w:val="nil"/>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14.800 / 6.000</w:t>
            </w:r>
          </w:p>
        </w:tc>
      </w:tr>
      <w:tr w:rsidR="0077619C" w:rsidRPr="0077619C" w:rsidTr="0077619C">
        <w:trPr>
          <w:cantSplit/>
          <w:jc w:val="center"/>
        </w:trPr>
        <w:tc>
          <w:tcPr>
            <w:tcW w:w="1701" w:type="dxa"/>
            <w:tcBorders>
              <w:top w:val="nil"/>
              <w:bottom w:val="nil"/>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 70</w:t>
            </w:r>
          </w:p>
        </w:tc>
        <w:tc>
          <w:tcPr>
            <w:tcW w:w="2818" w:type="dxa"/>
            <w:tcBorders>
              <w:top w:val="nil"/>
              <w:bottom w:val="nil"/>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1.300 / 300</w:t>
            </w:r>
          </w:p>
        </w:tc>
        <w:tc>
          <w:tcPr>
            <w:tcW w:w="3358" w:type="dxa"/>
            <w:tcBorders>
              <w:top w:val="nil"/>
              <w:bottom w:val="nil"/>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7.100 / 1.600</w:t>
            </w:r>
          </w:p>
        </w:tc>
      </w:tr>
      <w:tr w:rsidR="0077619C" w:rsidRPr="0077619C" w:rsidTr="0077619C">
        <w:trPr>
          <w:cantSplit/>
          <w:jc w:val="center"/>
        </w:trPr>
        <w:tc>
          <w:tcPr>
            <w:tcW w:w="1701" w:type="dxa"/>
            <w:tcBorders>
              <w:top w:val="nil"/>
              <w:bottom w:val="single" w:sz="4" w:space="0" w:color="auto"/>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 75</w:t>
            </w:r>
          </w:p>
        </w:tc>
        <w:tc>
          <w:tcPr>
            <w:tcW w:w="2818" w:type="dxa"/>
            <w:tcBorders>
              <w:top w:val="nil"/>
              <w:bottom w:val="single" w:sz="4" w:space="0" w:color="auto"/>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400 / 100</w:t>
            </w:r>
          </w:p>
        </w:tc>
        <w:tc>
          <w:tcPr>
            <w:tcW w:w="3358" w:type="dxa"/>
            <w:tcBorders>
              <w:top w:val="nil"/>
              <w:bottom w:val="single" w:sz="4" w:space="0" w:color="auto"/>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2.200 / 200</w:t>
            </w:r>
          </w:p>
        </w:tc>
      </w:tr>
    </w:tbl>
    <w:p w:rsidR="0077619C" w:rsidRPr="0077619C" w:rsidRDefault="0077619C" w:rsidP="0077619C">
      <w:pPr>
        <w:spacing w:after="200" w:line="240" w:lineRule="atLeast"/>
        <w:jc w:val="both"/>
        <w:rPr>
          <w:rFonts w:cs="Arial"/>
          <w:sz w:val="16"/>
          <w:szCs w:val="16"/>
          <w:lang w:val="sl-SI" w:eastAsia="sl-SI"/>
        </w:rPr>
      </w:pPr>
      <w:r w:rsidRPr="0077619C">
        <w:rPr>
          <w:rFonts w:cs="Arial"/>
          <w:sz w:val="16"/>
          <w:szCs w:val="16"/>
          <w:lang w:val="sl-SI" w:eastAsia="sl-SI"/>
        </w:rPr>
        <w:t>(števila v preglednici so zaokrožena na stotice)</w:t>
      </w:r>
    </w:p>
    <w:p w:rsidR="0077619C" w:rsidRPr="0077619C" w:rsidRDefault="0077619C" w:rsidP="0077619C">
      <w:pPr>
        <w:spacing w:after="200" w:line="240" w:lineRule="atLeast"/>
        <w:jc w:val="both"/>
        <w:rPr>
          <w:rFonts w:cs="Arial"/>
          <w:szCs w:val="20"/>
          <w:lang w:val="sl-SI" w:eastAsia="sl-SI"/>
        </w:rPr>
      </w:pPr>
    </w:p>
    <w:p w:rsidR="0077619C" w:rsidRPr="0077619C" w:rsidRDefault="00CF356C" w:rsidP="0077619C">
      <w:pPr>
        <w:keepNext/>
        <w:spacing w:after="200" w:line="240" w:lineRule="atLeast"/>
        <w:outlineLvl w:val="2"/>
        <w:rPr>
          <w:rFonts w:cs="Arial"/>
          <w:b/>
          <w:bCs/>
          <w:szCs w:val="20"/>
          <w:u w:val="single"/>
          <w:lang w:val="sl-SI" w:eastAsia="sl-SI"/>
        </w:rPr>
      </w:pPr>
      <w:r>
        <w:rPr>
          <w:rFonts w:cs="Arial"/>
          <w:b/>
          <w:bCs/>
          <w:szCs w:val="20"/>
          <w:u w:val="single"/>
          <w:lang w:val="sl-SI" w:eastAsia="sl-SI"/>
        </w:rPr>
        <w:t>1</w:t>
      </w:r>
      <w:r w:rsidR="002B6ED6">
        <w:rPr>
          <w:rFonts w:cs="Arial"/>
          <w:b/>
          <w:bCs/>
          <w:szCs w:val="20"/>
          <w:u w:val="single"/>
          <w:lang w:val="sl-SI" w:eastAsia="sl-SI"/>
        </w:rPr>
        <w:t>1</w:t>
      </w:r>
      <w:r w:rsidR="0077619C" w:rsidRPr="0077619C">
        <w:rPr>
          <w:rFonts w:cs="Arial"/>
          <w:b/>
          <w:bCs/>
          <w:szCs w:val="20"/>
          <w:u w:val="single"/>
          <w:lang w:val="sl-SI" w:eastAsia="sl-SI"/>
        </w:rPr>
        <w:t xml:space="preserve">.2.3 Hrup v okolju na območju Mestne občine Maribor   </w:t>
      </w:r>
    </w:p>
    <w:p w:rsidR="0077619C" w:rsidRPr="0077619C" w:rsidRDefault="0077619C" w:rsidP="0077619C">
      <w:pPr>
        <w:autoSpaceDE w:val="0"/>
        <w:autoSpaceDN w:val="0"/>
        <w:adjustRightInd w:val="0"/>
        <w:spacing w:after="200" w:line="240" w:lineRule="atLeast"/>
        <w:jc w:val="both"/>
        <w:rPr>
          <w:rFonts w:eastAsiaTheme="minorHAnsi" w:cs="Arial"/>
          <w:szCs w:val="20"/>
          <w:lang w:val="sl-SI"/>
        </w:rPr>
      </w:pPr>
      <w:r w:rsidRPr="0077619C">
        <w:rPr>
          <w:rFonts w:eastAsiaTheme="minorHAnsi" w:cs="Arial"/>
          <w:szCs w:val="20"/>
          <w:lang w:val="sl-SI"/>
        </w:rPr>
        <w:t xml:space="preserve">Za območje občine Maribor je bila strateška karta hrupa izdelana za t. im. poselitveno območje Urbanistične zasnove mesta Maribor (v nadaljevanju: UZ MB), na katerem je leta 2011 živelo približno 101.600 prebivalcev. </w:t>
      </w:r>
    </w:p>
    <w:p w:rsidR="0077619C" w:rsidRPr="0077619C" w:rsidRDefault="0077619C" w:rsidP="0077619C">
      <w:pPr>
        <w:autoSpaceDE w:val="0"/>
        <w:autoSpaceDN w:val="0"/>
        <w:adjustRightInd w:val="0"/>
        <w:spacing w:after="120" w:line="240" w:lineRule="atLeast"/>
        <w:jc w:val="both"/>
        <w:rPr>
          <w:rFonts w:eastAsiaTheme="minorHAnsi" w:cs="Arial"/>
          <w:szCs w:val="20"/>
          <w:lang w:val="sl-SI"/>
        </w:rPr>
      </w:pPr>
      <w:r w:rsidRPr="0077619C">
        <w:rPr>
          <w:rFonts w:eastAsiaTheme="minorHAnsi" w:cs="Arial"/>
          <w:szCs w:val="20"/>
          <w:lang w:val="sl-SI"/>
        </w:rPr>
        <w:t>Prevladujo</w:t>
      </w:r>
      <w:r w:rsidRPr="0077619C">
        <w:rPr>
          <w:rFonts w:eastAsia="TimesNewRoman" w:cs="Arial"/>
          <w:szCs w:val="20"/>
          <w:lang w:val="sl-SI"/>
        </w:rPr>
        <w:t>č</w:t>
      </w:r>
      <w:r w:rsidRPr="0077619C">
        <w:rPr>
          <w:rFonts w:eastAsiaTheme="minorHAnsi" w:cs="Arial"/>
          <w:szCs w:val="20"/>
          <w:lang w:val="sl-SI"/>
        </w:rPr>
        <w:t>i vir hrupa na obmo</w:t>
      </w:r>
      <w:r w:rsidRPr="0077619C">
        <w:rPr>
          <w:rFonts w:eastAsia="TimesNewRoman" w:cs="Arial"/>
          <w:szCs w:val="20"/>
          <w:lang w:val="sl-SI"/>
        </w:rPr>
        <w:t>č</w:t>
      </w:r>
      <w:r w:rsidRPr="0077619C">
        <w:rPr>
          <w:rFonts w:eastAsiaTheme="minorHAnsi" w:cs="Arial"/>
          <w:szCs w:val="20"/>
          <w:lang w:val="sl-SI"/>
        </w:rPr>
        <w:t xml:space="preserve">ju mesta Maribor sta cestni, v manjši meri železniški promet, prispevek industrijskih in proizvodnih virov je manjši in lokalno omejen. Podatki o obremenitvi površin v okolici industrijskih virov kažejo, da le-ti ne vplivajo pomembno na obremenitev stavb in prebivalcev s hrupom. </w:t>
      </w:r>
    </w:p>
    <w:p w:rsidR="0077619C" w:rsidRPr="0077619C" w:rsidRDefault="0077619C" w:rsidP="0077619C">
      <w:pPr>
        <w:autoSpaceDE w:val="0"/>
        <w:autoSpaceDN w:val="0"/>
        <w:adjustRightInd w:val="0"/>
        <w:spacing w:after="120" w:line="240" w:lineRule="atLeast"/>
        <w:jc w:val="both"/>
        <w:rPr>
          <w:rFonts w:eastAsiaTheme="minorHAnsi" w:cs="Arial"/>
          <w:szCs w:val="20"/>
          <w:lang w:val="sl-SI"/>
        </w:rPr>
      </w:pPr>
      <w:r w:rsidRPr="0077619C">
        <w:rPr>
          <w:rFonts w:eastAsiaTheme="minorHAnsi" w:cs="Arial"/>
          <w:szCs w:val="20"/>
          <w:lang w:val="sl-SI"/>
        </w:rPr>
        <w:t>Obremenitve s hrupom so bile ocenjene za hrup cest, na katerih je promet presegel 1 milijon prevozov letno in za vse železniške proge na območju UZ MB.</w:t>
      </w:r>
    </w:p>
    <w:p w:rsidR="0077619C" w:rsidRPr="0077619C" w:rsidRDefault="0077619C" w:rsidP="0077619C">
      <w:pPr>
        <w:autoSpaceDE w:val="0"/>
        <w:autoSpaceDN w:val="0"/>
        <w:adjustRightInd w:val="0"/>
        <w:spacing w:after="120" w:line="240" w:lineRule="atLeast"/>
        <w:jc w:val="both"/>
        <w:rPr>
          <w:rFonts w:eastAsiaTheme="minorHAnsi" w:cs="Arial"/>
          <w:szCs w:val="20"/>
          <w:lang w:val="sl-SI"/>
        </w:rPr>
      </w:pPr>
      <w:r w:rsidRPr="0077619C">
        <w:rPr>
          <w:rFonts w:eastAsiaTheme="minorHAnsi" w:cs="Arial"/>
          <w:szCs w:val="20"/>
          <w:lang w:val="sl-SI"/>
        </w:rPr>
        <w:t>Z upoštevanjem podatkov o cestnem in železniškem prometu leta 2011 je bilo na območju UZ</w:t>
      </w:r>
      <w:r w:rsidR="00CB5442">
        <w:rPr>
          <w:rFonts w:eastAsiaTheme="minorHAnsi" w:cs="Arial"/>
          <w:szCs w:val="20"/>
          <w:lang w:val="sl-SI"/>
        </w:rPr>
        <w:t xml:space="preserve"> </w:t>
      </w:r>
      <w:r w:rsidRPr="0077619C">
        <w:rPr>
          <w:rFonts w:eastAsiaTheme="minorHAnsi" w:cs="Arial"/>
          <w:szCs w:val="20"/>
          <w:lang w:val="sl-SI"/>
        </w:rPr>
        <w:t>MB:</w:t>
      </w:r>
    </w:p>
    <w:p w:rsidR="0077619C" w:rsidRPr="0077619C" w:rsidRDefault="0077619C" w:rsidP="0077619C">
      <w:pPr>
        <w:numPr>
          <w:ilvl w:val="0"/>
          <w:numId w:val="86"/>
        </w:numPr>
        <w:autoSpaceDE w:val="0"/>
        <w:autoSpaceDN w:val="0"/>
        <w:adjustRightInd w:val="0"/>
        <w:spacing w:after="200" w:line="240" w:lineRule="atLeast"/>
        <w:ind w:left="284" w:hanging="284"/>
        <w:contextualSpacing/>
        <w:jc w:val="both"/>
        <w:rPr>
          <w:rFonts w:eastAsiaTheme="minorHAnsi" w:cs="Arial"/>
          <w:szCs w:val="20"/>
          <w:lang w:val="sl-SI"/>
        </w:rPr>
      </w:pPr>
      <w:r w:rsidRPr="0077619C">
        <w:rPr>
          <w:rFonts w:eastAsiaTheme="minorHAnsi" w:cs="Arial"/>
          <w:szCs w:val="20"/>
          <w:lang w:val="sl-SI"/>
        </w:rPr>
        <w:t>183,6 km državnih in lokalnih cest različnih kategorij, od tega 12,1 km avtocest in hitrih cest ter 18,7 km ostalih državnih cest, na katerih je promet presegel 1 milijon prevozov na leto,</w:t>
      </w:r>
    </w:p>
    <w:p w:rsidR="0077619C" w:rsidRPr="0077619C" w:rsidRDefault="0077619C" w:rsidP="0077619C">
      <w:pPr>
        <w:numPr>
          <w:ilvl w:val="0"/>
          <w:numId w:val="86"/>
        </w:numPr>
        <w:autoSpaceDE w:val="0"/>
        <w:autoSpaceDN w:val="0"/>
        <w:adjustRightInd w:val="0"/>
        <w:spacing w:after="200" w:line="240" w:lineRule="atLeast"/>
        <w:ind w:left="284" w:hanging="284"/>
        <w:contextualSpacing/>
        <w:jc w:val="both"/>
        <w:rPr>
          <w:rFonts w:eastAsiaTheme="minorHAnsi" w:cs="Arial"/>
          <w:szCs w:val="20"/>
          <w:lang w:val="sl-SI"/>
        </w:rPr>
      </w:pPr>
      <w:r w:rsidRPr="0077619C">
        <w:rPr>
          <w:rFonts w:eastAsiaTheme="minorHAnsi" w:cs="Arial"/>
          <w:szCs w:val="20"/>
          <w:lang w:val="sl-SI"/>
        </w:rPr>
        <w:t>15 km železniških prog, od tega 7,9 km glavnih in 7,1 km regionalnih železniških prog.</w:t>
      </w:r>
    </w:p>
    <w:p w:rsidR="00CF356C" w:rsidRDefault="00CF356C" w:rsidP="0077619C">
      <w:pPr>
        <w:autoSpaceDE w:val="0"/>
        <w:autoSpaceDN w:val="0"/>
        <w:adjustRightInd w:val="0"/>
        <w:spacing w:after="200" w:line="240" w:lineRule="atLeast"/>
        <w:jc w:val="both"/>
        <w:rPr>
          <w:rFonts w:eastAsiaTheme="minorHAnsi" w:cs="Arial"/>
          <w:szCs w:val="20"/>
          <w:lang w:val="sl-SI"/>
        </w:rPr>
      </w:pPr>
    </w:p>
    <w:p w:rsidR="0077619C" w:rsidRPr="00CF356C" w:rsidRDefault="0077619C" w:rsidP="0077619C">
      <w:pPr>
        <w:spacing w:after="200" w:line="240" w:lineRule="atLeast"/>
        <w:jc w:val="both"/>
        <w:rPr>
          <w:rFonts w:cs="Arial"/>
          <w:i/>
          <w:szCs w:val="20"/>
          <w:lang w:val="sl-SI" w:eastAsia="sl-SI"/>
        </w:rPr>
      </w:pPr>
      <w:r w:rsidRPr="00CF356C">
        <w:rPr>
          <w:rFonts w:cs="Arial"/>
          <w:i/>
          <w:szCs w:val="20"/>
          <w:lang w:val="sl-SI" w:eastAsia="sl-SI"/>
        </w:rPr>
        <w:t>Preglednica 1</w:t>
      </w:r>
      <w:r w:rsidR="00CF356C" w:rsidRPr="00CF356C">
        <w:rPr>
          <w:rFonts w:cs="Arial"/>
          <w:i/>
          <w:szCs w:val="20"/>
          <w:lang w:val="sl-SI" w:eastAsia="sl-SI"/>
        </w:rPr>
        <w:t>1</w:t>
      </w:r>
      <w:r w:rsidRPr="00CF356C">
        <w:rPr>
          <w:rFonts w:cs="Arial"/>
          <w:i/>
          <w:szCs w:val="20"/>
          <w:lang w:val="sl-SI" w:eastAsia="sl-SI"/>
        </w:rPr>
        <w:t xml:space="preserve">.4: stavbe z varovanimi prostori in prebivalci v razredih obremenitev s celodnevnim / nočnim hrupom v okolju na območju UZ MB zaradi cestnega prometa </w:t>
      </w:r>
    </w:p>
    <w:tbl>
      <w:tblPr>
        <w:tblW w:w="0" w:type="auto"/>
        <w:jc w:val="center"/>
        <w:tblBorders>
          <w:top w:val="single" w:sz="8" w:space="0" w:color="auto"/>
          <w:bottom w:val="single" w:sz="8" w:space="0" w:color="auto"/>
          <w:insideH w:val="single" w:sz="4" w:space="0" w:color="auto"/>
          <w:insideV w:val="single" w:sz="4" w:space="0" w:color="auto"/>
        </w:tblBorders>
        <w:tblLayout w:type="fixed"/>
        <w:tblLook w:val="0000" w:firstRow="0" w:lastRow="0" w:firstColumn="0" w:lastColumn="0" w:noHBand="0" w:noVBand="0"/>
      </w:tblPr>
      <w:tblGrid>
        <w:gridCol w:w="1701"/>
        <w:gridCol w:w="2818"/>
        <w:gridCol w:w="3358"/>
      </w:tblGrid>
      <w:tr w:rsidR="0077619C" w:rsidRPr="0077619C" w:rsidTr="0077619C">
        <w:trPr>
          <w:cantSplit/>
          <w:jc w:val="center"/>
        </w:trPr>
        <w:tc>
          <w:tcPr>
            <w:tcW w:w="1701" w:type="dxa"/>
            <w:tcBorders>
              <w:bottom w:val="single" w:sz="4" w:space="0" w:color="auto"/>
            </w:tcBorders>
            <w:shd w:val="clear" w:color="auto" w:fill="D9D9D9" w:themeFill="background1" w:themeFillShade="D9"/>
            <w:noWrap/>
            <w:tcMar>
              <w:left w:w="57" w:type="dxa"/>
              <w:right w:w="57" w:type="dxa"/>
            </w:tcMar>
            <w:vAlign w:val="center"/>
          </w:tcPr>
          <w:p w:rsidR="0077619C" w:rsidRPr="0077619C" w:rsidRDefault="0077619C" w:rsidP="0077619C">
            <w:pPr>
              <w:spacing w:before="120" w:after="60" w:line="240" w:lineRule="auto"/>
              <w:jc w:val="center"/>
              <w:rPr>
                <w:rFonts w:ascii="Arial Narrow" w:hAnsi="Arial Narrow"/>
                <w:b/>
                <w:bCs/>
                <w:sz w:val="18"/>
                <w:szCs w:val="18"/>
                <w:lang w:val="sl-SI"/>
              </w:rPr>
            </w:pPr>
            <w:r w:rsidRPr="0077619C">
              <w:rPr>
                <w:rFonts w:ascii="Arial Narrow" w:hAnsi="Arial Narrow"/>
                <w:b/>
                <w:bCs/>
                <w:sz w:val="18"/>
                <w:szCs w:val="18"/>
                <w:lang w:val="sl-SI"/>
              </w:rPr>
              <w:t>Razred obremenitve (dB(A))</w:t>
            </w:r>
          </w:p>
        </w:tc>
        <w:tc>
          <w:tcPr>
            <w:tcW w:w="2818" w:type="dxa"/>
            <w:tcBorders>
              <w:bottom w:val="single" w:sz="4" w:space="0" w:color="auto"/>
            </w:tcBorders>
            <w:shd w:val="clear" w:color="auto" w:fill="D9D9D9" w:themeFill="background1" w:themeFillShade="D9"/>
            <w:noWrap/>
            <w:tcMar>
              <w:left w:w="57" w:type="dxa"/>
              <w:right w:w="57" w:type="dxa"/>
            </w:tcMar>
            <w:vAlign w:val="center"/>
          </w:tcPr>
          <w:p w:rsidR="0077619C" w:rsidRPr="0077619C" w:rsidRDefault="0077619C" w:rsidP="0077619C">
            <w:pPr>
              <w:spacing w:before="120" w:after="60" w:line="240" w:lineRule="auto"/>
              <w:jc w:val="center"/>
              <w:rPr>
                <w:rFonts w:ascii="Arial Narrow" w:hAnsi="Arial Narrow"/>
                <w:b/>
                <w:bCs/>
                <w:sz w:val="18"/>
                <w:szCs w:val="18"/>
                <w:lang w:val="sl-SI"/>
              </w:rPr>
            </w:pPr>
            <w:r w:rsidRPr="0077619C">
              <w:rPr>
                <w:rFonts w:ascii="Arial Narrow" w:hAnsi="Arial Narrow"/>
                <w:b/>
                <w:bCs/>
                <w:sz w:val="18"/>
                <w:szCs w:val="18"/>
                <w:lang w:val="sl-SI"/>
              </w:rPr>
              <w:t xml:space="preserve">Skupno število stavb z varovanimi prostori </w:t>
            </w:r>
          </w:p>
        </w:tc>
        <w:tc>
          <w:tcPr>
            <w:tcW w:w="3358" w:type="dxa"/>
            <w:tcBorders>
              <w:bottom w:val="single" w:sz="4" w:space="0" w:color="auto"/>
            </w:tcBorders>
            <w:shd w:val="clear" w:color="auto" w:fill="D9D9D9" w:themeFill="background1" w:themeFillShade="D9"/>
            <w:vAlign w:val="center"/>
          </w:tcPr>
          <w:p w:rsidR="0077619C" w:rsidRPr="0077619C" w:rsidRDefault="0077619C" w:rsidP="0077619C">
            <w:pPr>
              <w:spacing w:before="120" w:after="60" w:line="240" w:lineRule="auto"/>
              <w:jc w:val="center"/>
              <w:rPr>
                <w:rFonts w:ascii="Arial Narrow" w:hAnsi="Arial Narrow"/>
                <w:b/>
                <w:bCs/>
                <w:sz w:val="18"/>
                <w:szCs w:val="18"/>
                <w:lang w:val="sl-SI"/>
              </w:rPr>
            </w:pPr>
            <w:r w:rsidRPr="0077619C">
              <w:rPr>
                <w:rFonts w:ascii="Arial Narrow" w:hAnsi="Arial Narrow"/>
                <w:b/>
                <w:bCs/>
                <w:sz w:val="18"/>
                <w:szCs w:val="18"/>
                <w:lang w:val="sl-SI"/>
              </w:rPr>
              <w:t xml:space="preserve">Število prebivalcev </w:t>
            </w:r>
          </w:p>
        </w:tc>
      </w:tr>
      <w:tr w:rsidR="0077619C" w:rsidRPr="0077619C" w:rsidTr="0077619C">
        <w:trPr>
          <w:cantSplit/>
          <w:jc w:val="center"/>
        </w:trPr>
        <w:tc>
          <w:tcPr>
            <w:tcW w:w="1701" w:type="dxa"/>
            <w:tcBorders>
              <w:top w:val="dotted" w:sz="4" w:space="0" w:color="auto"/>
              <w:bottom w:val="nil"/>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bCs/>
                <w:sz w:val="18"/>
                <w:szCs w:val="18"/>
                <w:lang w:val="sl-SI"/>
              </w:rPr>
              <w:t>≥ 50</w:t>
            </w:r>
            <w:r w:rsidRPr="0077619C">
              <w:rPr>
                <w:rFonts w:cs="Arial"/>
                <w:sz w:val="18"/>
                <w:szCs w:val="18"/>
                <w:lang w:val="sl-SI"/>
              </w:rPr>
              <w:t xml:space="preserve"> </w:t>
            </w:r>
          </w:p>
        </w:tc>
        <w:tc>
          <w:tcPr>
            <w:tcW w:w="2818" w:type="dxa"/>
            <w:tcBorders>
              <w:top w:val="dotted" w:sz="4" w:space="0" w:color="auto"/>
              <w:bottom w:val="nil"/>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8.700 / 3.800</w:t>
            </w:r>
          </w:p>
        </w:tc>
        <w:tc>
          <w:tcPr>
            <w:tcW w:w="3358" w:type="dxa"/>
            <w:tcBorders>
              <w:top w:val="dotted" w:sz="4" w:space="0" w:color="auto"/>
              <w:bottom w:val="nil"/>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83.300 / 48.800</w:t>
            </w:r>
          </w:p>
        </w:tc>
      </w:tr>
      <w:tr w:rsidR="0077619C" w:rsidRPr="0077619C" w:rsidTr="0077619C">
        <w:trPr>
          <w:cantSplit/>
          <w:jc w:val="center"/>
        </w:trPr>
        <w:tc>
          <w:tcPr>
            <w:tcW w:w="1701" w:type="dxa"/>
            <w:tcBorders>
              <w:top w:val="nil"/>
              <w:bottom w:val="nil"/>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bCs/>
                <w:sz w:val="18"/>
                <w:szCs w:val="18"/>
                <w:lang w:val="sl-SI"/>
              </w:rPr>
              <w:t>≥ 55</w:t>
            </w:r>
          </w:p>
        </w:tc>
        <w:tc>
          <w:tcPr>
            <w:tcW w:w="2818" w:type="dxa"/>
            <w:tcBorders>
              <w:top w:val="nil"/>
              <w:bottom w:val="nil"/>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5.600 / 1.800</w:t>
            </w:r>
          </w:p>
        </w:tc>
        <w:tc>
          <w:tcPr>
            <w:tcW w:w="3358" w:type="dxa"/>
            <w:tcBorders>
              <w:top w:val="nil"/>
              <w:bottom w:val="nil"/>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66.000 / 28.400</w:t>
            </w:r>
          </w:p>
        </w:tc>
      </w:tr>
      <w:tr w:rsidR="0077619C" w:rsidRPr="0077619C" w:rsidTr="0077619C">
        <w:trPr>
          <w:cantSplit/>
          <w:jc w:val="center"/>
        </w:trPr>
        <w:tc>
          <w:tcPr>
            <w:tcW w:w="1701" w:type="dxa"/>
            <w:tcBorders>
              <w:top w:val="nil"/>
              <w:bottom w:val="nil"/>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 60</w:t>
            </w:r>
          </w:p>
        </w:tc>
        <w:tc>
          <w:tcPr>
            <w:tcW w:w="2818" w:type="dxa"/>
            <w:tcBorders>
              <w:top w:val="nil"/>
              <w:bottom w:val="nil"/>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3.400 / 400</w:t>
            </w:r>
          </w:p>
        </w:tc>
        <w:tc>
          <w:tcPr>
            <w:tcW w:w="3358" w:type="dxa"/>
            <w:tcBorders>
              <w:top w:val="nil"/>
              <w:bottom w:val="nil"/>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45.300 / 5.200</w:t>
            </w:r>
          </w:p>
        </w:tc>
      </w:tr>
      <w:tr w:rsidR="0077619C" w:rsidRPr="0077619C" w:rsidTr="0077619C">
        <w:trPr>
          <w:cantSplit/>
          <w:jc w:val="center"/>
        </w:trPr>
        <w:tc>
          <w:tcPr>
            <w:tcW w:w="1701" w:type="dxa"/>
            <w:tcBorders>
              <w:top w:val="nil"/>
              <w:bottom w:val="nil"/>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 65</w:t>
            </w:r>
          </w:p>
        </w:tc>
        <w:tc>
          <w:tcPr>
            <w:tcW w:w="2818" w:type="dxa"/>
            <w:tcBorders>
              <w:top w:val="nil"/>
              <w:bottom w:val="nil"/>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1.500 / -</w:t>
            </w:r>
          </w:p>
        </w:tc>
        <w:tc>
          <w:tcPr>
            <w:tcW w:w="3358" w:type="dxa"/>
            <w:tcBorders>
              <w:top w:val="nil"/>
              <w:bottom w:val="nil"/>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25.400 / 400</w:t>
            </w:r>
          </w:p>
        </w:tc>
      </w:tr>
      <w:tr w:rsidR="0077619C" w:rsidRPr="0077619C" w:rsidTr="0077619C">
        <w:trPr>
          <w:cantSplit/>
          <w:jc w:val="center"/>
        </w:trPr>
        <w:tc>
          <w:tcPr>
            <w:tcW w:w="1701" w:type="dxa"/>
            <w:tcBorders>
              <w:top w:val="nil"/>
              <w:bottom w:val="nil"/>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 70</w:t>
            </w:r>
          </w:p>
        </w:tc>
        <w:tc>
          <w:tcPr>
            <w:tcW w:w="2818" w:type="dxa"/>
            <w:tcBorders>
              <w:top w:val="nil"/>
              <w:bottom w:val="nil"/>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300 / -</w:t>
            </w:r>
          </w:p>
        </w:tc>
        <w:tc>
          <w:tcPr>
            <w:tcW w:w="3358" w:type="dxa"/>
            <w:tcBorders>
              <w:top w:val="nil"/>
              <w:bottom w:val="nil"/>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3.900 / -</w:t>
            </w:r>
          </w:p>
        </w:tc>
      </w:tr>
      <w:tr w:rsidR="0077619C" w:rsidRPr="0077619C" w:rsidTr="0077619C">
        <w:trPr>
          <w:cantSplit/>
          <w:jc w:val="center"/>
        </w:trPr>
        <w:tc>
          <w:tcPr>
            <w:tcW w:w="1701" w:type="dxa"/>
            <w:tcBorders>
              <w:top w:val="nil"/>
              <w:bottom w:val="single" w:sz="4" w:space="0" w:color="auto"/>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 75</w:t>
            </w:r>
          </w:p>
        </w:tc>
        <w:tc>
          <w:tcPr>
            <w:tcW w:w="2818" w:type="dxa"/>
            <w:tcBorders>
              <w:top w:val="nil"/>
              <w:bottom w:val="single" w:sz="4" w:space="0" w:color="auto"/>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 / -</w:t>
            </w:r>
          </w:p>
        </w:tc>
        <w:tc>
          <w:tcPr>
            <w:tcW w:w="3358" w:type="dxa"/>
            <w:tcBorders>
              <w:top w:val="nil"/>
              <w:bottom w:val="single" w:sz="4" w:space="0" w:color="auto"/>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  / -</w:t>
            </w:r>
          </w:p>
        </w:tc>
      </w:tr>
    </w:tbl>
    <w:p w:rsidR="0077619C" w:rsidRPr="0077619C" w:rsidRDefault="0077619C" w:rsidP="0077619C">
      <w:pPr>
        <w:spacing w:after="200" w:line="240" w:lineRule="atLeast"/>
        <w:jc w:val="both"/>
        <w:rPr>
          <w:rFonts w:cs="Arial"/>
          <w:sz w:val="16"/>
          <w:szCs w:val="16"/>
          <w:lang w:val="sl-SI" w:eastAsia="sl-SI"/>
        </w:rPr>
      </w:pPr>
      <w:r w:rsidRPr="0077619C">
        <w:rPr>
          <w:rFonts w:cs="Arial"/>
          <w:sz w:val="16"/>
          <w:szCs w:val="16"/>
          <w:lang w:val="sl-SI" w:eastAsia="sl-SI"/>
        </w:rPr>
        <w:t>(števila v preglednici so zaokrožena na stotice)</w:t>
      </w:r>
    </w:p>
    <w:p w:rsidR="0077619C" w:rsidRPr="0077619C" w:rsidRDefault="0077619C" w:rsidP="0077619C">
      <w:pPr>
        <w:tabs>
          <w:tab w:val="left" w:pos="3057"/>
        </w:tabs>
        <w:autoSpaceDE w:val="0"/>
        <w:autoSpaceDN w:val="0"/>
        <w:adjustRightInd w:val="0"/>
        <w:spacing w:after="200" w:line="240" w:lineRule="atLeast"/>
        <w:jc w:val="both"/>
        <w:rPr>
          <w:rFonts w:eastAsiaTheme="minorHAnsi" w:cs="Arial"/>
          <w:szCs w:val="20"/>
          <w:lang w:val="sl-SI"/>
        </w:rPr>
      </w:pPr>
      <w:r w:rsidRPr="0077619C">
        <w:rPr>
          <w:rFonts w:eastAsiaTheme="minorHAnsi" w:cs="Arial"/>
          <w:szCs w:val="20"/>
          <w:lang w:val="sl-SI"/>
        </w:rPr>
        <w:tab/>
      </w:r>
    </w:p>
    <w:p w:rsidR="0077619C" w:rsidRPr="00CF356C" w:rsidRDefault="0077619C" w:rsidP="0077619C">
      <w:pPr>
        <w:spacing w:after="200" w:line="240" w:lineRule="atLeast"/>
        <w:jc w:val="both"/>
        <w:rPr>
          <w:rFonts w:cs="Arial"/>
          <w:i/>
          <w:szCs w:val="20"/>
          <w:lang w:val="sl-SI" w:eastAsia="sl-SI"/>
        </w:rPr>
      </w:pPr>
      <w:r w:rsidRPr="00CF356C">
        <w:rPr>
          <w:rFonts w:cs="Arial"/>
          <w:i/>
          <w:szCs w:val="20"/>
          <w:lang w:val="sl-SI" w:eastAsia="sl-SI"/>
        </w:rPr>
        <w:t>Preglednica 1</w:t>
      </w:r>
      <w:r w:rsidR="00CF356C" w:rsidRPr="00CF356C">
        <w:rPr>
          <w:rFonts w:cs="Arial"/>
          <w:i/>
          <w:szCs w:val="20"/>
          <w:lang w:val="sl-SI" w:eastAsia="sl-SI"/>
        </w:rPr>
        <w:t>1</w:t>
      </w:r>
      <w:r w:rsidRPr="00CF356C">
        <w:rPr>
          <w:rFonts w:cs="Arial"/>
          <w:i/>
          <w:szCs w:val="20"/>
          <w:lang w:val="sl-SI" w:eastAsia="sl-SI"/>
        </w:rPr>
        <w:t xml:space="preserve">.5: stavbe z varovanimi prostori in prebivalci v razredih obremenitev s celodnevnim / nočnim hrupom v okolju na območju UZ MB zaradi prometa po pomembnih železniških progah  </w:t>
      </w:r>
    </w:p>
    <w:tbl>
      <w:tblPr>
        <w:tblW w:w="0" w:type="auto"/>
        <w:jc w:val="center"/>
        <w:tblBorders>
          <w:top w:val="single" w:sz="8" w:space="0" w:color="auto"/>
          <w:bottom w:val="single" w:sz="8" w:space="0" w:color="auto"/>
          <w:insideH w:val="single" w:sz="4" w:space="0" w:color="auto"/>
          <w:insideV w:val="single" w:sz="4" w:space="0" w:color="auto"/>
        </w:tblBorders>
        <w:tblLayout w:type="fixed"/>
        <w:tblLook w:val="0000" w:firstRow="0" w:lastRow="0" w:firstColumn="0" w:lastColumn="0" w:noHBand="0" w:noVBand="0"/>
      </w:tblPr>
      <w:tblGrid>
        <w:gridCol w:w="1701"/>
        <w:gridCol w:w="2818"/>
        <w:gridCol w:w="3358"/>
      </w:tblGrid>
      <w:tr w:rsidR="0077619C" w:rsidRPr="0077619C" w:rsidTr="0077619C">
        <w:trPr>
          <w:cantSplit/>
          <w:jc w:val="center"/>
        </w:trPr>
        <w:tc>
          <w:tcPr>
            <w:tcW w:w="1701" w:type="dxa"/>
            <w:tcBorders>
              <w:bottom w:val="single" w:sz="4" w:space="0" w:color="auto"/>
            </w:tcBorders>
            <w:shd w:val="clear" w:color="auto" w:fill="D9D9D9" w:themeFill="background1" w:themeFillShade="D9"/>
            <w:noWrap/>
            <w:tcMar>
              <w:left w:w="57" w:type="dxa"/>
              <w:right w:w="57" w:type="dxa"/>
            </w:tcMar>
            <w:vAlign w:val="center"/>
          </w:tcPr>
          <w:p w:rsidR="0077619C" w:rsidRPr="0077619C" w:rsidRDefault="0077619C" w:rsidP="0077619C">
            <w:pPr>
              <w:spacing w:before="120" w:after="60" w:line="240" w:lineRule="auto"/>
              <w:jc w:val="center"/>
              <w:rPr>
                <w:rFonts w:ascii="Arial Narrow" w:hAnsi="Arial Narrow"/>
                <w:b/>
                <w:bCs/>
                <w:sz w:val="18"/>
                <w:szCs w:val="18"/>
                <w:lang w:val="sl-SI"/>
              </w:rPr>
            </w:pPr>
            <w:r w:rsidRPr="0077619C">
              <w:rPr>
                <w:rFonts w:ascii="Arial Narrow" w:hAnsi="Arial Narrow"/>
                <w:b/>
                <w:bCs/>
                <w:sz w:val="18"/>
                <w:szCs w:val="18"/>
                <w:lang w:val="sl-SI"/>
              </w:rPr>
              <w:t>Razred obremenitve (dB(A))</w:t>
            </w:r>
          </w:p>
        </w:tc>
        <w:tc>
          <w:tcPr>
            <w:tcW w:w="2818" w:type="dxa"/>
            <w:tcBorders>
              <w:bottom w:val="single" w:sz="4" w:space="0" w:color="auto"/>
            </w:tcBorders>
            <w:shd w:val="clear" w:color="auto" w:fill="D9D9D9" w:themeFill="background1" w:themeFillShade="D9"/>
            <w:noWrap/>
            <w:tcMar>
              <w:left w:w="57" w:type="dxa"/>
              <w:right w:w="57" w:type="dxa"/>
            </w:tcMar>
            <w:vAlign w:val="center"/>
          </w:tcPr>
          <w:p w:rsidR="0077619C" w:rsidRPr="0077619C" w:rsidRDefault="0077619C" w:rsidP="0077619C">
            <w:pPr>
              <w:spacing w:before="120" w:after="60" w:line="240" w:lineRule="auto"/>
              <w:jc w:val="center"/>
              <w:rPr>
                <w:rFonts w:ascii="Arial Narrow" w:hAnsi="Arial Narrow"/>
                <w:b/>
                <w:bCs/>
                <w:sz w:val="18"/>
                <w:szCs w:val="18"/>
                <w:lang w:val="sl-SI"/>
              </w:rPr>
            </w:pPr>
            <w:r w:rsidRPr="0077619C">
              <w:rPr>
                <w:rFonts w:ascii="Arial Narrow" w:hAnsi="Arial Narrow"/>
                <w:b/>
                <w:bCs/>
                <w:sz w:val="18"/>
                <w:szCs w:val="18"/>
                <w:lang w:val="sl-SI"/>
              </w:rPr>
              <w:t xml:space="preserve">Skupno število stavb z varovanimi prostori </w:t>
            </w:r>
          </w:p>
        </w:tc>
        <w:tc>
          <w:tcPr>
            <w:tcW w:w="3358" w:type="dxa"/>
            <w:tcBorders>
              <w:bottom w:val="single" w:sz="4" w:space="0" w:color="auto"/>
            </w:tcBorders>
            <w:shd w:val="clear" w:color="auto" w:fill="D9D9D9" w:themeFill="background1" w:themeFillShade="D9"/>
            <w:vAlign w:val="center"/>
          </w:tcPr>
          <w:p w:rsidR="0077619C" w:rsidRPr="0077619C" w:rsidRDefault="0077619C" w:rsidP="0077619C">
            <w:pPr>
              <w:spacing w:before="120" w:after="60" w:line="240" w:lineRule="auto"/>
              <w:jc w:val="center"/>
              <w:rPr>
                <w:rFonts w:ascii="Arial Narrow" w:hAnsi="Arial Narrow"/>
                <w:b/>
                <w:bCs/>
                <w:sz w:val="18"/>
                <w:szCs w:val="18"/>
                <w:lang w:val="sl-SI"/>
              </w:rPr>
            </w:pPr>
            <w:r w:rsidRPr="0077619C">
              <w:rPr>
                <w:rFonts w:ascii="Arial Narrow" w:hAnsi="Arial Narrow"/>
                <w:b/>
                <w:bCs/>
                <w:sz w:val="18"/>
                <w:szCs w:val="18"/>
                <w:lang w:val="sl-SI"/>
              </w:rPr>
              <w:t xml:space="preserve">Število prebivalcev </w:t>
            </w:r>
          </w:p>
        </w:tc>
      </w:tr>
      <w:tr w:rsidR="0077619C" w:rsidRPr="0077619C" w:rsidTr="0077619C">
        <w:trPr>
          <w:cantSplit/>
          <w:jc w:val="center"/>
        </w:trPr>
        <w:tc>
          <w:tcPr>
            <w:tcW w:w="1701" w:type="dxa"/>
            <w:tcBorders>
              <w:top w:val="dotted" w:sz="4" w:space="0" w:color="auto"/>
              <w:bottom w:val="nil"/>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bCs/>
                <w:sz w:val="18"/>
                <w:szCs w:val="18"/>
                <w:lang w:val="sl-SI"/>
              </w:rPr>
              <w:t>≥ 50</w:t>
            </w:r>
            <w:r w:rsidRPr="0077619C">
              <w:rPr>
                <w:rFonts w:cs="Arial"/>
                <w:sz w:val="18"/>
                <w:szCs w:val="18"/>
                <w:lang w:val="sl-SI"/>
              </w:rPr>
              <w:t xml:space="preserve"> </w:t>
            </w:r>
          </w:p>
        </w:tc>
        <w:tc>
          <w:tcPr>
            <w:tcW w:w="2818" w:type="dxa"/>
            <w:tcBorders>
              <w:top w:val="dotted" w:sz="4" w:space="0" w:color="auto"/>
              <w:bottom w:val="nil"/>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700 / 230</w:t>
            </w:r>
          </w:p>
        </w:tc>
        <w:tc>
          <w:tcPr>
            <w:tcW w:w="3358" w:type="dxa"/>
            <w:tcBorders>
              <w:top w:val="dotted" w:sz="4" w:space="0" w:color="auto"/>
              <w:bottom w:val="nil"/>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6.310 / 2.560</w:t>
            </w:r>
          </w:p>
        </w:tc>
      </w:tr>
      <w:tr w:rsidR="0077619C" w:rsidRPr="0077619C" w:rsidTr="0077619C">
        <w:trPr>
          <w:cantSplit/>
          <w:jc w:val="center"/>
        </w:trPr>
        <w:tc>
          <w:tcPr>
            <w:tcW w:w="1701" w:type="dxa"/>
            <w:tcBorders>
              <w:top w:val="nil"/>
              <w:bottom w:val="nil"/>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bCs/>
                <w:sz w:val="18"/>
                <w:szCs w:val="18"/>
                <w:lang w:val="sl-SI"/>
              </w:rPr>
              <w:t>≥ 55</w:t>
            </w:r>
          </w:p>
        </w:tc>
        <w:tc>
          <w:tcPr>
            <w:tcW w:w="2818" w:type="dxa"/>
            <w:tcBorders>
              <w:top w:val="nil"/>
              <w:bottom w:val="nil"/>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300 / 110</w:t>
            </w:r>
          </w:p>
        </w:tc>
        <w:tc>
          <w:tcPr>
            <w:tcW w:w="3358" w:type="dxa"/>
            <w:tcBorders>
              <w:top w:val="nil"/>
              <w:bottom w:val="nil"/>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2.850 / 1.180</w:t>
            </w:r>
          </w:p>
        </w:tc>
      </w:tr>
      <w:tr w:rsidR="0077619C" w:rsidRPr="0077619C" w:rsidTr="0077619C">
        <w:trPr>
          <w:cantSplit/>
          <w:jc w:val="center"/>
        </w:trPr>
        <w:tc>
          <w:tcPr>
            <w:tcW w:w="1701" w:type="dxa"/>
            <w:tcBorders>
              <w:top w:val="nil"/>
              <w:bottom w:val="nil"/>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 60</w:t>
            </w:r>
          </w:p>
        </w:tc>
        <w:tc>
          <w:tcPr>
            <w:tcW w:w="2818" w:type="dxa"/>
            <w:tcBorders>
              <w:top w:val="nil"/>
              <w:bottom w:val="nil"/>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140 / 40</w:t>
            </w:r>
          </w:p>
        </w:tc>
        <w:tc>
          <w:tcPr>
            <w:tcW w:w="3358" w:type="dxa"/>
            <w:tcBorders>
              <w:top w:val="nil"/>
              <w:bottom w:val="nil"/>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1.460 / 120</w:t>
            </w:r>
          </w:p>
        </w:tc>
      </w:tr>
      <w:tr w:rsidR="0077619C" w:rsidRPr="0077619C" w:rsidTr="0077619C">
        <w:trPr>
          <w:cantSplit/>
          <w:jc w:val="center"/>
        </w:trPr>
        <w:tc>
          <w:tcPr>
            <w:tcW w:w="1701" w:type="dxa"/>
            <w:tcBorders>
              <w:top w:val="nil"/>
              <w:bottom w:val="nil"/>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 65</w:t>
            </w:r>
          </w:p>
        </w:tc>
        <w:tc>
          <w:tcPr>
            <w:tcW w:w="2818" w:type="dxa"/>
            <w:tcBorders>
              <w:top w:val="nil"/>
              <w:bottom w:val="nil"/>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60 / 10</w:t>
            </w:r>
          </w:p>
        </w:tc>
        <w:tc>
          <w:tcPr>
            <w:tcW w:w="3358" w:type="dxa"/>
            <w:tcBorders>
              <w:top w:val="nil"/>
              <w:bottom w:val="nil"/>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270 / 30</w:t>
            </w:r>
          </w:p>
        </w:tc>
      </w:tr>
      <w:tr w:rsidR="0077619C" w:rsidRPr="0077619C" w:rsidTr="0077619C">
        <w:trPr>
          <w:cantSplit/>
          <w:jc w:val="center"/>
        </w:trPr>
        <w:tc>
          <w:tcPr>
            <w:tcW w:w="1701" w:type="dxa"/>
            <w:tcBorders>
              <w:top w:val="nil"/>
              <w:bottom w:val="nil"/>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 70</w:t>
            </w:r>
          </w:p>
        </w:tc>
        <w:tc>
          <w:tcPr>
            <w:tcW w:w="2818" w:type="dxa"/>
            <w:tcBorders>
              <w:top w:val="nil"/>
              <w:bottom w:val="nil"/>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10 / -</w:t>
            </w:r>
          </w:p>
        </w:tc>
        <w:tc>
          <w:tcPr>
            <w:tcW w:w="3358" w:type="dxa"/>
            <w:tcBorders>
              <w:top w:val="nil"/>
              <w:bottom w:val="nil"/>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30 / 1</w:t>
            </w:r>
          </w:p>
        </w:tc>
      </w:tr>
      <w:tr w:rsidR="0077619C" w:rsidRPr="0077619C" w:rsidTr="0077619C">
        <w:trPr>
          <w:cantSplit/>
          <w:jc w:val="center"/>
        </w:trPr>
        <w:tc>
          <w:tcPr>
            <w:tcW w:w="1701" w:type="dxa"/>
            <w:tcBorders>
              <w:top w:val="nil"/>
              <w:bottom w:val="single" w:sz="4" w:space="0" w:color="auto"/>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 75</w:t>
            </w:r>
          </w:p>
        </w:tc>
        <w:tc>
          <w:tcPr>
            <w:tcW w:w="2818" w:type="dxa"/>
            <w:tcBorders>
              <w:top w:val="nil"/>
              <w:bottom w:val="single" w:sz="4" w:space="0" w:color="auto"/>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 / -</w:t>
            </w:r>
          </w:p>
        </w:tc>
        <w:tc>
          <w:tcPr>
            <w:tcW w:w="3358" w:type="dxa"/>
            <w:tcBorders>
              <w:top w:val="nil"/>
              <w:bottom w:val="single" w:sz="4" w:space="0" w:color="auto"/>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10 / -</w:t>
            </w:r>
          </w:p>
        </w:tc>
      </w:tr>
    </w:tbl>
    <w:p w:rsidR="0077619C" w:rsidRPr="0077619C" w:rsidRDefault="0077619C" w:rsidP="0077619C">
      <w:pPr>
        <w:spacing w:after="200" w:line="240" w:lineRule="atLeast"/>
        <w:jc w:val="both"/>
        <w:rPr>
          <w:rFonts w:cs="Arial"/>
          <w:sz w:val="16"/>
          <w:szCs w:val="16"/>
          <w:lang w:val="sl-SI" w:eastAsia="sl-SI"/>
        </w:rPr>
      </w:pPr>
      <w:r w:rsidRPr="0077619C">
        <w:rPr>
          <w:rFonts w:cs="Arial"/>
          <w:sz w:val="16"/>
          <w:szCs w:val="16"/>
          <w:lang w:val="sl-SI" w:eastAsia="sl-SI"/>
        </w:rPr>
        <w:t>(števila v preglednici so zaokrožena na desetice)</w:t>
      </w:r>
    </w:p>
    <w:p w:rsidR="00CF356C" w:rsidRDefault="00CF356C" w:rsidP="0077619C">
      <w:pPr>
        <w:autoSpaceDE w:val="0"/>
        <w:autoSpaceDN w:val="0"/>
        <w:adjustRightInd w:val="0"/>
        <w:spacing w:after="200" w:line="240" w:lineRule="atLeast"/>
        <w:jc w:val="both"/>
        <w:rPr>
          <w:rFonts w:eastAsiaTheme="minorHAnsi" w:cs="Arial"/>
          <w:szCs w:val="20"/>
          <w:lang w:val="sl-SI"/>
        </w:rPr>
      </w:pPr>
      <w:r w:rsidRPr="0077619C">
        <w:rPr>
          <w:rFonts w:eastAsiaTheme="minorHAnsi" w:cs="Arial"/>
          <w:noProof/>
          <w:szCs w:val="20"/>
          <w:lang w:val="sl-SI" w:eastAsia="sl-SI"/>
        </w:rPr>
        <w:drawing>
          <wp:inline distT="0" distB="0" distL="0" distR="0" wp14:anchorId="3A185619" wp14:editId="52ABCB62">
            <wp:extent cx="4585648" cy="3237647"/>
            <wp:effectExtent l="0" t="0" r="5715" b="1270"/>
            <wp:docPr id="238" name="Slika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586795" cy="3238457"/>
                    </a:xfrm>
                    <a:prstGeom prst="rect">
                      <a:avLst/>
                    </a:prstGeom>
                    <a:noFill/>
                  </pic:spPr>
                </pic:pic>
              </a:graphicData>
            </a:graphic>
          </wp:inline>
        </w:drawing>
      </w:r>
    </w:p>
    <w:p w:rsidR="00CF356C" w:rsidRPr="0077619C" w:rsidRDefault="00CF356C" w:rsidP="00CF356C">
      <w:pPr>
        <w:autoSpaceDE w:val="0"/>
        <w:autoSpaceDN w:val="0"/>
        <w:adjustRightInd w:val="0"/>
        <w:spacing w:line="240" w:lineRule="atLeast"/>
        <w:jc w:val="both"/>
        <w:rPr>
          <w:rFonts w:eastAsiaTheme="minorHAnsi" w:cs="Arial"/>
          <w:szCs w:val="20"/>
          <w:lang w:val="sl-SI"/>
        </w:rPr>
      </w:pPr>
      <w:r w:rsidRPr="0077619C">
        <w:rPr>
          <w:rFonts w:eastAsiaTheme="minorHAnsi" w:cs="Arial"/>
          <w:szCs w:val="20"/>
          <w:lang w:val="sl-SI"/>
        </w:rPr>
        <w:t>Slika 1</w:t>
      </w:r>
      <w:r>
        <w:rPr>
          <w:rFonts w:eastAsiaTheme="minorHAnsi" w:cs="Arial"/>
          <w:szCs w:val="20"/>
          <w:lang w:val="sl-SI"/>
        </w:rPr>
        <w:t>1</w:t>
      </w:r>
      <w:r w:rsidRPr="0077619C">
        <w:rPr>
          <w:rFonts w:eastAsiaTheme="minorHAnsi" w:cs="Arial"/>
          <w:szCs w:val="20"/>
          <w:lang w:val="sl-SI"/>
        </w:rPr>
        <w:t xml:space="preserve">.4: območje Urbanistične zasnove mesta Maribor </w:t>
      </w:r>
    </w:p>
    <w:p w:rsidR="00CF356C" w:rsidRPr="0077619C" w:rsidRDefault="00CF356C" w:rsidP="00CF356C">
      <w:pPr>
        <w:autoSpaceDE w:val="0"/>
        <w:autoSpaceDN w:val="0"/>
        <w:adjustRightInd w:val="0"/>
        <w:spacing w:after="360" w:line="240" w:lineRule="atLeast"/>
        <w:jc w:val="both"/>
        <w:rPr>
          <w:rFonts w:eastAsiaTheme="minorHAnsi" w:cs="Arial"/>
          <w:szCs w:val="20"/>
          <w:lang w:val="sl-SI"/>
        </w:rPr>
      </w:pPr>
      <w:r w:rsidRPr="0077619C">
        <w:rPr>
          <w:rFonts w:eastAsiaTheme="minorHAnsi" w:cs="Arial"/>
          <w:szCs w:val="20"/>
          <w:lang w:val="sl-SI"/>
        </w:rPr>
        <w:t>Vir: strateške karte hrupa</w:t>
      </w:r>
    </w:p>
    <w:p w:rsidR="0077619C" w:rsidRPr="0077619C" w:rsidRDefault="0077619C" w:rsidP="0077619C">
      <w:pPr>
        <w:keepNext/>
        <w:spacing w:after="200" w:line="240" w:lineRule="atLeast"/>
        <w:outlineLvl w:val="2"/>
        <w:rPr>
          <w:rFonts w:cs="Arial"/>
          <w:b/>
          <w:bCs/>
          <w:szCs w:val="20"/>
          <w:u w:val="single"/>
          <w:lang w:val="sl-SI" w:eastAsia="sl-SI"/>
        </w:rPr>
      </w:pPr>
      <w:r w:rsidRPr="0077619C">
        <w:rPr>
          <w:rFonts w:cs="Arial"/>
          <w:b/>
          <w:bCs/>
          <w:szCs w:val="20"/>
          <w:u w:val="single"/>
          <w:lang w:val="sl-SI" w:eastAsia="sl-SI"/>
        </w:rPr>
        <w:t>1</w:t>
      </w:r>
      <w:r w:rsidR="00CF356C">
        <w:rPr>
          <w:rFonts w:cs="Arial"/>
          <w:b/>
          <w:bCs/>
          <w:szCs w:val="20"/>
          <w:u w:val="single"/>
          <w:lang w:val="sl-SI" w:eastAsia="sl-SI"/>
        </w:rPr>
        <w:t>1</w:t>
      </w:r>
      <w:r w:rsidRPr="0077619C">
        <w:rPr>
          <w:rFonts w:cs="Arial"/>
          <w:b/>
          <w:bCs/>
          <w:szCs w:val="20"/>
          <w:u w:val="single"/>
          <w:lang w:val="sl-SI" w:eastAsia="sl-SI"/>
        </w:rPr>
        <w:t xml:space="preserve">.2.4 Hrup v okolju na območju Mestne občine Ljubljana    </w:t>
      </w:r>
    </w:p>
    <w:p w:rsidR="0077619C" w:rsidRPr="0077619C" w:rsidRDefault="0077619C" w:rsidP="0077619C">
      <w:pPr>
        <w:autoSpaceDE w:val="0"/>
        <w:autoSpaceDN w:val="0"/>
        <w:adjustRightInd w:val="0"/>
        <w:spacing w:after="200" w:line="240" w:lineRule="atLeast"/>
        <w:jc w:val="both"/>
        <w:rPr>
          <w:rFonts w:eastAsiaTheme="minorHAnsi" w:cs="Arial"/>
          <w:szCs w:val="20"/>
          <w:lang w:val="sl-SI"/>
        </w:rPr>
      </w:pPr>
      <w:r w:rsidRPr="0077619C">
        <w:rPr>
          <w:rFonts w:eastAsiaTheme="minorHAnsi" w:cs="Arial"/>
          <w:szCs w:val="20"/>
          <w:lang w:val="sl-SI"/>
        </w:rPr>
        <w:t>Območje Mestne občine Ljubljana obsega 275 km</w:t>
      </w:r>
      <w:r w:rsidRPr="0077619C">
        <w:rPr>
          <w:rFonts w:eastAsiaTheme="minorHAnsi" w:cs="Arial"/>
          <w:szCs w:val="20"/>
          <w:vertAlign w:val="superscript"/>
          <w:lang w:val="sl-SI"/>
        </w:rPr>
        <w:t>2</w:t>
      </w:r>
      <w:r w:rsidRPr="0077619C">
        <w:rPr>
          <w:rFonts w:eastAsiaTheme="minorHAnsi" w:cs="Arial"/>
          <w:szCs w:val="20"/>
          <w:lang w:val="sl-SI"/>
        </w:rPr>
        <w:t xml:space="preserve"> in okoli 275.000 prebivalcev s stalnim prebivališčem in 33.000 prebivalcev z začasnim prebivališčem. </w:t>
      </w:r>
    </w:p>
    <w:p w:rsidR="0077619C" w:rsidRPr="0077619C" w:rsidRDefault="0077619C" w:rsidP="0077619C">
      <w:pPr>
        <w:spacing w:after="200" w:line="240" w:lineRule="atLeast"/>
        <w:jc w:val="both"/>
        <w:rPr>
          <w:rFonts w:cs="Arial"/>
          <w:szCs w:val="20"/>
          <w:lang w:val="sl-SI" w:eastAsia="sl-SI"/>
        </w:rPr>
      </w:pPr>
      <w:r w:rsidRPr="0077619C">
        <w:rPr>
          <w:rFonts w:cs="Arial"/>
          <w:szCs w:val="20"/>
          <w:lang w:val="sl-SI" w:eastAsia="sl-SI"/>
        </w:rPr>
        <w:t xml:space="preserve">Prikazane so obremenitve s hrupom v okolju zaradi prometa po cestah, na katerih je promet leta 2012 presegel 1 milijon prevozov, t. j. za 353 km državnih in lokalnih cest različnih kategorij. Od teh je bilo 71 km avtocest in hitrih cest ter 48 km glavnih in regionalnih cest. </w:t>
      </w:r>
    </w:p>
    <w:p w:rsidR="0077619C" w:rsidRPr="00CF356C" w:rsidRDefault="0077619C" w:rsidP="0077619C">
      <w:pPr>
        <w:spacing w:after="200" w:line="240" w:lineRule="atLeast"/>
        <w:jc w:val="both"/>
        <w:rPr>
          <w:rFonts w:cs="Arial"/>
          <w:i/>
          <w:szCs w:val="20"/>
          <w:lang w:val="sl-SI" w:eastAsia="sl-SI"/>
        </w:rPr>
      </w:pPr>
      <w:r w:rsidRPr="00CF356C">
        <w:rPr>
          <w:rFonts w:cs="Arial"/>
          <w:i/>
          <w:szCs w:val="20"/>
          <w:lang w:val="sl-SI" w:eastAsia="sl-SI"/>
        </w:rPr>
        <w:t>Preglednica 1</w:t>
      </w:r>
      <w:r w:rsidR="00CF356C" w:rsidRPr="00CF356C">
        <w:rPr>
          <w:rFonts w:cs="Arial"/>
          <w:i/>
          <w:szCs w:val="20"/>
          <w:lang w:val="sl-SI" w:eastAsia="sl-SI"/>
        </w:rPr>
        <w:t>1</w:t>
      </w:r>
      <w:r w:rsidRPr="00CF356C">
        <w:rPr>
          <w:rFonts w:cs="Arial"/>
          <w:i/>
          <w:szCs w:val="20"/>
          <w:lang w:val="sl-SI" w:eastAsia="sl-SI"/>
        </w:rPr>
        <w:t>.6: obremenjenost stavb z varovanimi prostori in prebivalcev v MOL s celodnevnim hrupom / hrupom v nočnem času zaradi cestnega prometa:</w:t>
      </w:r>
    </w:p>
    <w:tbl>
      <w:tblPr>
        <w:tblW w:w="0" w:type="auto"/>
        <w:jc w:val="center"/>
        <w:tblBorders>
          <w:top w:val="single" w:sz="8" w:space="0" w:color="auto"/>
          <w:bottom w:val="single" w:sz="8" w:space="0" w:color="auto"/>
          <w:insideH w:val="single" w:sz="4" w:space="0" w:color="auto"/>
          <w:insideV w:val="single" w:sz="4" w:space="0" w:color="auto"/>
        </w:tblBorders>
        <w:tblLayout w:type="fixed"/>
        <w:tblLook w:val="0000" w:firstRow="0" w:lastRow="0" w:firstColumn="0" w:lastColumn="0" w:noHBand="0" w:noVBand="0"/>
      </w:tblPr>
      <w:tblGrid>
        <w:gridCol w:w="1701"/>
        <w:gridCol w:w="2818"/>
        <w:gridCol w:w="3358"/>
      </w:tblGrid>
      <w:tr w:rsidR="0077619C" w:rsidRPr="0077619C" w:rsidTr="0077619C">
        <w:trPr>
          <w:cantSplit/>
          <w:jc w:val="center"/>
        </w:trPr>
        <w:tc>
          <w:tcPr>
            <w:tcW w:w="1701" w:type="dxa"/>
            <w:tcBorders>
              <w:bottom w:val="single" w:sz="4" w:space="0" w:color="auto"/>
            </w:tcBorders>
            <w:shd w:val="clear" w:color="auto" w:fill="D9D9D9" w:themeFill="background1" w:themeFillShade="D9"/>
            <w:noWrap/>
            <w:tcMar>
              <w:left w:w="57" w:type="dxa"/>
              <w:right w:w="57" w:type="dxa"/>
            </w:tcMar>
            <w:vAlign w:val="center"/>
          </w:tcPr>
          <w:p w:rsidR="0077619C" w:rsidRPr="0077619C" w:rsidRDefault="0077619C" w:rsidP="0077619C">
            <w:pPr>
              <w:spacing w:before="120" w:after="60" w:line="240" w:lineRule="auto"/>
              <w:jc w:val="center"/>
              <w:rPr>
                <w:rFonts w:ascii="Arial Narrow" w:hAnsi="Arial Narrow"/>
                <w:b/>
                <w:bCs/>
                <w:sz w:val="18"/>
                <w:szCs w:val="18"/>
                <w:lang w:val="sl-SI"/>
              </w:rPr>
            </w:pPr>
            <w:r w:rsidRPr="0077619C">
              <w:rPr>
                <w:rFonts w:ascii="Arial Narrow" w:hAnsi="Arial Narrow"/>
                <w:b/>
                <w:bCs/>
                <w:sz w:val="18"/>
                <w:szCs w:val="18"/>
                <w:lang w:val="sl-SI"/>
              </w:rPr>
              <w:t>Razred obremenitve (dB(A))</w:t>
            </w:r>
          </w:p>
        </w:tc>
        <w:tc>
          <w:tcPr>
            <w:tcW w:w="2818" w:type="dxa"/>
            <w:tcBorders>
              <w:bottom w:val="single" w:sz="4" w:space="0" w:color="auto"/>
            </w:tcBorders>
            <w:shd w:val="clear" w:color="auto" w:fill="D9D9D9" w:themeFill="background1" w:themeFillShade="D9"/>
            <w:noWrap/>
            <w:tcMar>
              <w:left w:w="57" w:type="dxa"/>
              <w:right w:w="57" w:type="dxa"/>
            </w:tcMar>
            <w:vAlign w:val="center"/>
          </w:tcPr>
          <w:p w:rsidR="0077619C" w:rsidRPr="0077619C" w:rsidRDefault="0077619C" w:rsidP="0077619C">
            <w:pPr>
              <w:spacing w:before="120" w:after="60" w:line="240" w:lineRule="auto"/>
              <w:jc w:val="center"/>
              <w:rPr>
                <w:rFonts w:ascii="Arial Narrow" w:hAnsi="Arial Narrow"/>
                <w:b/>
                <w:bCs/>
                <w:sz w:val="18"/>
                <w:szCs w:val="18"/>
                <w:lang w:val="sl-SI"/>
              </w:rPr>
            </w:pPr>
            <w:r w:rsidRPr="0077619C">
              <w:rPr>
                <w:rFonts w:ascii="Arial Narrow" w:hAnsi="Arial Narrow"/>
                <w:b/>
                <w:bCs/>
                <w:sz w:val="18"/>
                <w:szCs w:val="18"/>
                <w:lang w:val="sl-SI"/>
              </w:rPr>
              <w:t xml:space="preserve">Skupno število stavb z varovanimi prostori </w:t>
            </w:r>
          </w:p>
        </w:tc>
        <w:tc>
          <w:tcPr>
            <w:tcW w:w="3358" w:type="dxa"/>
            <w:tcBorders>
              <w:bottom w:val="single" w:sz="4" w:space="0" w:color="auto"/>
            </w:tcBorders>
            <w:shd w:val="clear" w:color="auto" w:fill="D9D9D9" w:themeFill="background1" w:themeFillShade="D9"/>
            <w:vAlign w:val="center"/>
          </w:tcPr>
          <w:p w:rsidR="0077619C" w:rsidRPr="0077619C" w:rsidRDefault="0077619C" w:rsidP="0077619C">
            <w:pPr>
              <w:spacing w:before="120" w:after="60" w:line="240" w:lineRule="auto"/>
              <w:jc w:val="center"/>
              <w:rPr>
                <w:rFonts w:ascii="Arial Narrow" w:hAnsi="Arial Narrow"/>
                <w:b/>
                <w:bCs/>
                <w:sz w:val="18"/>
                <w:szCs w:val="18"/>
                <w:lang w:val="sl-SI"/>
              </w:rPr>
            </w:pPr>
            <w:r w:rsidRPr="0077619C">
              <w:rPr>
                <w:rFonts w:ascii="Arial Narrow" w:hAnsi="Arial Narrow"/>
                <w:b/>
                <w:bCs/>
                <w:sz w:val="18"/>
                <w:szCs w:val="18"/>
                <w:lang w:val="sl-SI"/>
              </w:rPr>
              <w:t>Število prebivalcev s stalnim in začasnim prebivališčem</w:t>
            </w:r>
          </w:p>
        </w:tc>
      </w:tr>
      <w:tr w:rsidR="0077619C" w:rsidRPr="0077619C" w:rsidTr="0077619C">
        <w:trPr>
          <w:cantSplit/>
          <w:jc w:val="center"/>
        </w:trPr>
        <w:tc>
          <w:tcPr>
            <w:tcW w:w="1701" w:type="dxa"/>
            <w:tcBorders>
              <w:top w:val="dotted" w:sz="4" w:space="0" w:color="auto"/>
              <w:bottom w:val="nil"/>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bCs/>
                <w:sz w:val="18"/>
                <w:szCs w:val="18"/>
                <w:lang w:val="sl-SI"/>
              </w:rPr>
              <w:t>≥ 50</w:t>
            </w:r>
            <w:r w:rsidRPr="0077619C">
              <w:rPr>
                <w:rFonts w:cs="Arial"/>
                <w:sz w:val="18"/>
                <w:szCs w:val="18"/>
                <w:lang w:val="sl-SI"/>
              </w:rPr>
              <w:t xml:space="preserve"> </w:t>
            </w:r>
          </w:p>
        </w:tc>
        <w:tc>
          <w:tcPr>
            <w:tcW w:w="2818" w:type="dxa"/>
            <w:tcBorders>
              <w:top w:val="dotted" w:sz="4" w:space="0" w:color="auto"/>
              <w:bottom w:val="nil"/>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28.900 / 9.600</w:t>
            </w:r>
          </w:p>
        </w:tc>
        <w:tc>
          <w:tcPr>
            <w:tcW w:w="3358" w:type="dxa"/>
            <w:tcBorders>
              <w:top w:val="dotted" w:sz="4" w:space="0" w:color="auto"/>
              <w:bottom w:val="nil"/>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247.600 / 105.700</w:t>
            </w:r>
          </w:p>
        </w:tc>
      </w:tr>
      <w:tr w:rsidR="0077619C" w:rsidRPr="0077619C" w:rsidTr="0077619C">
        <w:trPr>
          <w:cantSplit/>
          <w:jc w:val="center"/>
        </w:trPr>
        <w:tc>
          <w:tcPr>
            <w:tcW w:w="1701" w:type="dxa"/>
            <w:tcBorders>
              <w:top w:val="nil"/>
              <w:bottom w:val="nil"/>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bCs/>
                <w:sz w:val="18"/>
                <w:szCs w:val="18"/>
                <w:lang w:val="sl-SI"/>
              </w:rPr>
              <w:t>≥ 55</w:t>
            </w:r>
          </w:p>
        </w:tc>
        <w:tc>
          <w:tcPr>
            <w:tcW w:w="2818" w:type="dxa"/>
            <w:tcBorders>
              <w:top w:val="nil"/>
              <w:bottom w:val="nil"/>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17.200 / 3.100</w:t>
            </w:r>
          </w:p>
        </w:tc>
        <w:tc>
          <w:tcPr>
            <w:tcW w:w="3358" w:type="dxa"/>
            <w:tcBorders>
              <w:top w:val="nil"/>
              <w:bottom w:val="nil"/>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165.900 / 42.000</w:t>
            </w:r>
          </w:p>
        </w:tc>
      </w:tr>
      <w:tr w:rsidR="0077619C" w:rsidRPr="0077619C" w:rsidTr="0077619C">
        <w:trPr>
          <w:cantSplit/>
          <w:jc w:val="center"/>
        </w:trPr>
        <w:tc>
          <w:tcPr>
            <w:tcW w:w="1701" w:type="dxa"/>
            <w:tcBorders>
              <w:top w:val="nil"/>
              <w:bottom w:val="nil"/>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 60</w:t>
            </w:r>
          </w:p>
        </w:tc>
        <w:tc>
          <w:tcPr>
            <w:tcW w:w="2818" w:type="dxa"/>
            <w:tcBorders>
              <w:top w:val="nil"/>
              <w:bottom w:val="nil"/>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8.400 / 600</w:t>
            </w:r>
          </w:p>
        </w:tc>
        <w:tc>
          <w:tcPr>
            <w:tcW w:w="3358" w:type="dxa"/>
            <w:tcBorders>
              <w:top w:val="nil"/>
              <w:bottom w:val="nil"/>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103.300 / 8.300</w:t>
            </w:r>
          </w:p>
        </w:tc>
      </w:tr>
      <w:tr w:rsidR="0077619C" w:rsidRPr="0077619C" w:rsidTr="0077619C">
        <w:trPr>
          <w:cantSplit/>
          <w:jc w:val="center"/>
        </w:trPr>
        <w:tc>
          <w:tcPr>
            <w:tcW w:w="1701" w:type="dxa"/>
            <w:tcBorders>
              <w:top w:val="nil"/>
              <w:bottom w:val="nil"/>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 65</w:t>
            </w:r>
          </w:p>
        </w:tc>
        <w:tc>
          <w:tcPr>
            <w:tcW w:w="2818" w:type="dxa"/>
            <w:tcBorders>
              <w:top w:val="nil"/>
              <w:bottom w:val="nil"/>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3.500 / -</w:t>
            </w:r>
          </w:p>
        </w:tc>
        <w:tc>
          <w:tcPr>
            <w:tcW w:w="3358" w:type="dxa"/>
            <w:tcBorders>
              <w:top w:val="nil"/>
              <w:bottom w:val="nil"/>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48.800 / 50</w:t>
            </w:r>
          </w:p>
        </w:tc>
      </w:tr>
      <w:tr w:rsidR="0077619C" w:rsidRPr="0077619C" w:rsidTr="0077619C">
        <w:trPr>
          <w:cantSplit/>
          <w:jc w:val="center"/>
        </w:trPr>
        <w:tc>
          <w:tcPr>
            <w:tcW w:w="1701" w:type="dxa"/>
            <w:tcBorders>
              <w:top w:val="nil"/>
              <w:bottom w:val="nil"/>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 70</w:t>
            </w:r>
          </w:p>
        </w:tc>
        <w:tc>
          <w:tcPr>
            <w:tcW w:w="2818" w:type="dxa"/>
            <w:tcBorders>
              <w:top w:val="nil"/>
              <w:bottom w:val="nil"/>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600/ -</w:t>
            </w:r>
          </w:p>
        </w:tc>
        <w:tc>
          <w:tcPr>
            <w:tcW w:w="3358" w:type="dxa"/>
            <w:tcBorders>
              <w:top w:val="nil"/>
              <w:bottom w:val="nil"/>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9.000 / -</w:t>
            </w:r>
          </w:p>
        </w:tc>
      </w:tr>
      <w:tr w:rsidR="0077619C" w:rsidRPr="0077619C" w:rsidTr="0077619C">
        <w:trPr>
          <w:cantSplit/>
          <w:jc w:val="center"/>
        </w:trPr>
        <w:tc>
          <w:tcPr>
            <w:tcW w:w="1701" w:type="dxa"/>
            <w:tcBorders>
              <w:top w:val="nil"/>
              <w:bottom w:val="single" w:sz="4" w:space="0" w:color="auto"/>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 75</w:t>
            </w:r>
          </w:p>
        </w:tc>
        <w:tc>
          <w:tcPr>
            <w:tcW w:w="2818" w:type="dxa"/>
            <w:tcBorders>
              <w:top w:val="nil"/>
              <w:bottom w:val="single" w:sz="4" w:space="0" w:color="auto"/>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 / -</w:t>
            </w:r>
          </w:p>
        </w:tc>
        <w:tc>
          <w:tcPr>
            <w:tcW w:w="3358" w:type="dxa"/>
            <w:tcBorders>
              <w:top w:val="nil"/>
              <w:bottom w:val="single" w:sz="4" w:space="0" w:color="auto"/>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100 / -</w:t>
            </w:r>
          </w:p>
        </w:tc>
      </w:tr>
    </w:tbl>
    <w:p w:rsidR="0077619C" w:rsidRPr="0077619C" w:rsidRDefault="0077619C" w:rsidP="0077619C">
      <w:pPr>
        <w:spacing w:after="200" w:line="240" w:lineRule="atLeast"/>
        <w:jc w:val="both"/>
        <w:rPr>
          <w:rFonts w:cs="Arial"/>
          <w:sz w:val="16"/>
          <w:szCs w:val="16"/>
          <w:lang w:val="sl-SI" w:eastAsia="sl-SI"/>
        </w:rPr>
      </w:pPr>
      <w:r w:rsidRPr="0077619C">
        <w:rPr>
          <w:rFonts w:cs="Arial"/>
          <w:sz w:val="16"/>
          <w:szCs w:val="16"/>
          <w:lang w:val="sl-SI" w:eastAsia="sl-SI"/>
        </w:rPr>
        <w:t>(števila v preglednici so zaokrožena na stotice)</w:t>
      </w:r>
    </w:p>
    <w:p w:rsidR="0077619C" w:rsidRPr="0077619C" w:rsidRDefault="0077619C" w:rsidP="0077619C">
      <w:pPr>
        <w:tabs>
          <w:tab w:val="left" w:pos="3057"/>
        </w:tabs>
        <w:autoSpaceDE w:val="0"/>
        <w:autoSpaceDN w:val="0"/>
        <w:adjustRightInd w:val="0"/>
        <w:spacing w:after="200" w:line="240" w:lineRule="atLeast"/>
        <w:jc w:val="both"/>
        <w:rPr>
          <w:rFonts w:eastAsiaTheme="minorHAnsi" w:cs="Arial"/>
          <w:szCs w:val="20"/>
          <w:lang w:val="sl-SI"/>
        </w:rPr>
      </w:pPr>
      <w:r w:rsidRPr="0077619C">
        <w:rPr>
          <w:rFonts w:eastAsiaTheme="minorHAnsi" w:cs="Arial"/>
          <w:szCs w:val="20"/>
          <w:lang w:val="sl-SI"/>
        </w:rPr>
        <w:tab/>
      </w:r>
    </w:p>
    <w:p w:rsidR="0077619C" w:rsidRPr="0077619C" w:rsidRDefault="0077619C" w:rsidP="0077619C">
      <w:pPr>
        <w:tabs>
          <w:tab w:val="left" w:pos="3057"/>
        </w:tabs>
        <w:autoSpaceDE w:val="0"/>
        <w:autoSpaceDN w:val="0"/>
        <w:adjustRightInd w:val="0"/>
        <w:spacing w:after="200" w:line="240" w:lineRule="atLeast"/>
        <w:rPr>
          <w:rFonts w:eastAsiaTheme="minorHAnsi" w:cs="Arial"/>
          <w:noProof/>
          <w:szCs w:val="20"/>
          <w:lang w:val="en-GB" w:eastAsia="en-GB"/>
        </w:rPr>
      </w:pPr>
    </w:p>
    <w:p w:rsidR="0077619C" w:rsidRPr="0077619C" w:rsidRDefault="0077619C" w:rsidP="0077619C">
      <w:pPr>
        <w:tabs>
          <w:tab w:val="left" w:pos="3057"/>
        </w:tabs>
        <w:autoSpaceDE w:val="0"/>
        <w:autoSpaceDN w:val="0"/>
        <w:adjustRightInd w:val="0"/>
        <w:spacing w:after="200" w:line="240" w:lineRule="atLeast"/>
        <w:rPr>
          <w:rFonts w:eastAsiaTheme="minorHAnsi" w:cs="Arial"/>
          <w:noProof/>
          <w:szCs w:val="20"/>
          <w:lang w:val="en-GB" w:eastAsia="en-GB"/>
        </w:rPr>
      </w:pPr>
      <w:r w:rsidRPr="0077619C">
        <w:rPr>
          <w:rFonts w:eastAsiaTheme="minorHAnsi" w:cs="Arial"/>
          <w:noProof/>
          <w:szCs w:val="20"/>
          <w:lang w:val="sl-SI" w:eastAsia="sl-SI"/>
        </w:rPr>
        <w:drawing>
          <wp:inline distT="0" distB="0" distL="0" distR="0" wp14:anchorId="23A64153" wp14:editId="3C24D502">
            <wp:extent cx="4801902" cy="3486150"/>
            <wp:effectExtent l="0" t="0" r="0" b="0"/>
            <wp:docPr id="239" name="Slika 239" descr="D:\Dokumenti\slika MOL - celodnevni hrup - ceste - boljš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okumenti\slika MOL - celodnevni hrup - ceste - boljša.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4802786" cy="3486792"/>
                    </a:xfrm>
                    <a:prstGeom prst="rect">
                      <a:avLst/>
                    </a:prstGeom>
                    <a:noFill/>
                    <a:ln>
                      <a:noFill/>
                    </a:ln>
                  </pic:spPr>
                </pic:pic>
              </a:graphicData>
            </a:graphic>
          </wp:inline>
        </w:drawing>
      </w:r>
    </w:p>
    <w:p w:rsidR="0077619C" w:rsidRPr="00406445" w:rsidRDefault="0077619C" w:rsidP="0077619C">
      <w:pPr>
        <w:autoSpaceDE w:val="0"/>
        <w:autoSpaceDN w:val="0"/>
        <w:adjustRightInd w:val="0"/>
        <w:spacing w:line="240" w:lineRule="atLeast"/>
        <w:jc w:val="both"/>
        <w:rPr>
          <w:rFonts w:eastAsiaTheme="minorHAnsi" w:cs="Arial"/>
          <w:i/>
          <w:szCs w:val="20"/>
          <w:lang w:val="sl-SI"/>
        </w:rPr>
      </w:pPr>
      <w:r w:rsidRPr="00406445">
        <w:rPr>
          <w:rFonts w:eastAsiaTheme="minorHAnsi" w:cs="Arial"/>
          <w:i/>
          <w:szCs w:val="20"/>
          <w:lang w:val="sl-SI"/>
        </w:rPr>
        <w:t>Slika 1</w:t>
      </w:r>
      <w:r w:rsidR="00CF356C" w:rsidRPr="00406445">
        <w:rPr>
          <w:rFonts w:eastAsiaTheme="minorHAnsi" w:cs="Arial"/>
          <w:i/>
          <w:szCs w:val="20"/>
          <w:lang w:val="sl-SI"/>
        </w:rPr>
        <w:t>1</w:t>
      </w:r>
      <w:r w:rsidRPr="00406445">
        <w:rPr>
          <w:rFonts w:eastAsiaTheme="minorHAnsi" w:cs="Arial"/>
          <w:i/>
          <w:szCs w:val="20"/>
          <w:lang w:val="sl-SI"/>
        </w:rPr>
        <w:t xml:space="preserve">.5: MOL – obremenitev s celodnevnim hrupom zaradi cestnega prometa  </w:t>
      </w:r>
    </w:p>
    <w:p w:rsidR="0077619C" w:rsidRPr="0077619C" w:rsidRDefault="0077619C" w:rsidP="0077619C">
      <w:pPr>
        <w:autoSpaceDE w:val="0"/>
        <w:autoSpaceDN w:val="0"/>
        <w:adjustRightInd w:val="0"/>
        <w:spacing w:after="200" w:line="240" w:lineRule="atLeast"/>
        <w:jc w:val="both"/>
        <w:rPr>
          <w:rFonts w:eastAsiaTheme="minorHAnsi" w:cs="Arial"/>
          <w:szCs w:val="20"/>
          <w:lang w:val="sl-SI"/>
        </w:rPr>
      </w:pPr>
      <w:r w:rsidRPr="0077619C">
        <w:rPr>
          <w:rFonts w:eastAsiaTheme="minorHAnsi" w:cs="Arial"/>
          <w:szCs w:val="20"/>
          <w:lang w:val="sl-SI"/>
        </w:rPr>
        <w:t xml:space="preserve">Vir: Atlas okolja, ARSO </w:t>
      </w:r>
    </w:p>
    <w:p w:rsidR="0077619C" w:rsidRPr="0077619C" w:rsidRDefault="0077619C" w:rsidP="0077619C">
      <w:pPr>
        <w:spacing w:after="200" w:line="240" w:lineRule="atLeast"/>
        <w:jc w:val="both"/>
        <w:rPr>
          <w:rFonts w:cs="Arial"/>
          <w:szCs w:val="20"/>
          <w:lang w:val="sl-SI" w:eastAsia="sl-SI"/>
        </w:rPr>
      </w:pPr>
      <w:r w:rsidRPr="0077619C">
        <w:rPr>
          <w:rFonts w:cs="Arial"/>
          <w:szCs w:val="20"/>
          <w:lang w:val="sl-SI" w:eastAsia="sl-SI"/>
        </w:rPr>
        <w:t>Obremenitve zaradi železniškega hrupa so ocenjene z upoštevanjem prometa po 54,2 km železniških prog, ki obsegajo odseke glavnih prog št. 10</w:t>
      </w:r>
      <w:r w:rsidRPr="0077619C">
        <w:rPr>
          <w:rFonts w:eastAsia="Calibri"/>
          <w:szCs w:val="20"/>
          <w:lang w:val="sl-SI" w:eastAsia="sl-SI"/>
        </w:rPr>
        <w:t xml:space="preserve"> (Dobova – Zidani Most – Ljubljana), št. 20 (Ljubljana – Jesenice -d.m.), št. 50 (Ljubljana – Sežana – d.m.) in regionalnih prog št. 21 (Ljubljana – Graben – Kamnik), št. 80 (Ljubljana – Novo mesto – Črnomelj), št. 11 (Ljubljana Zalog Ljubljana – P4) in št. 12 (Ljubljana Zalog Ljubljana – P5). </w:t>
      </w:r>
    </w:p>
    <w:p w:rsidR="0077619C" w:rsidRPr="0077619C" w:rsidRDefault="0077619C" w:rsidP="0077619C">
      <w:pPr>
        <w:spacing w:after="200" w:line="240" w:lineRule="atLeast"/>
        <w:jc w:val="both"/>
        <w:rPr>
          <w:rFonts w:cs="Arial"/>
          <w:szCs w:val="20"/>
          <w:lang w:val="sl-SI" w:eastAsia="sl-SI"/>
        </w:rPr>
      </w:pPr>
      <w:r w:rsidRPr="0077619C">
        <w:rPr>
          <w:rFonts w:cs="Arial"/>
          <w:noProof/>
          <w:szCs w:val="20"/>
          <w:lang w:val="sl-SI" w:eastAsia="sl-SI"/>
        </w:rPr>
        <w:drawing>
          <wp:inline distT="0" distB="0" distL="0" distR="0" wp14:anchorId="6C0C8EFB" wp14:editId="38D62A8C">
            <wp:extent cx="4326340" cy="3054564"/>
            <wp:effectExtent l="0" t="0" r="0" b="0"/>
            <wp:docPr id="240" name="Slika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325347" cy="3053863"/>
                    </a:xfrm>
                    <a:prstGeom prst="rect">
                      <a:avLst/>
                    </a:prstGeom>
                    <a:noFill/>
                  </pic:spPr>
                </pic:pic>
              </a:graphicData>
            </a:graphic>
          </wp:inline>
        </w:drawing>
      </w:r>
    </w:p>
    <w:p w:rsidR="0077619C" w:rsidRPr="00406445" w:rsidRDefault="0077619C" w:rsidP="0077619C">
      <w:pPr>
        <w:spacing w:after="200" w:line="240" w:lineRule="atLeast"/>
        <w:jc w:val="both"/>
        <w:rPr>
          <w:rFonts w:cs="Arial"/>
          <w:i/>
          <w:szCs w:val="20"/>
          <w:lang w:val="sl-SI" w:eastAsia="sl-SI"/>
        </w:rPr>
      </w:pPr>
      <w:r w:rsidRPr="00406445">
        <w:rPr>
          <w:rFonts w:cs="Arial"/>
          <w:i/>
          <w:szCs w:val="20"/>
          <w:lang w:val="sl-SI" w:eastAsia="sl-SI"/>
        </w:rPr>
        <w:t>Slika 1</w:t>
      </w:r>
      <w:r w:rsidR="00406445" w:rsidRPr="00406445">
        <w:rPr>
          <w:rFonts w:cs="Arial"/>
          <w:i/>
          <w:szCs w:val="20"/>
          <w:lang w:val="sl-SI" w:eastAsia="sl-SI"/>
        </w:rPr>
        <w:t>1</w:t>
      </w:r>
      <w:r w:rsidRPr="00406445">
        <w:rPr>
          <w:rFonts w:cs="Arial"/>
          <w:i/>
          <w:szCs w:val="20"/>
          <w:lang w:val="sl-SI" w:eastAsia="sl-SI"/>
        </w:rPr>
        <w:t>.</w:t>
      </w:r>
      <w:r w:rsidR="00CB5442">
        <w:rPr>
          <w:rFonts w:cs="Arial"/>
          <w:i/>
          <w:szCs w:val="20"/>
          <w:lang w:val="sl-SI" w:eastAsia="sl-SI"/>
        </w:rPr>
        <w:t>6</w:t>
      </w:r>
      <w:r w:rsidRPr="00406445">
        <w:rPr>
          <w:rFonts w:cs="Arial"/>
          <w:i/>
          <w:szCs w:val="20"/>
          <w:lang w:val="sl-SI" w:eastAsia="sl-SI"/>
        </w:rPr>
        <w:t>: železniške proge na območju Mestne občine Ljubljana</w:t>
      </w:r>
    </w:p>
    <w:p w:rsidR="0077619C" w:rsidRPr="00406445" w:rsidRDefault="0077619C" w:rsidP="0077619C">
      <w:pPr>
        <w:spacing w:after="200" w:line="240" w:lineRule="atLeast"/>
        <w:jc w:val="both"/>
        <w:rPr>
          <w:rFonts w:cs="Arial"/>
          <w:i/>
          <w:szCs w:val="20"/>
          <w:lang w:val="sl-SI" w:eastAsia="sl-SI"/>
        </w:rPr>
      </w:pPr>
      <w:r w:rsidRPr="00406445">
        <w:rPr>
          <w:rFonts w:cs="Arial"/>
          <w:i/>
          <w:szCs w:val="20"/>
          <w:lang w:val="sl-SI" w:eastAsia="sl-SI"/>
        </w:rPr>
        <w:t>Preglednica 1</w:t>
      </w:r>
      <w:r w:rsidR="00406445" w:rsidRPr="00406445">
        <w:rPr>
          <w:rFonts w:cs="Arial"/>
          <w:i/>
          <w:szCs w:val="20"/>
          <w:lang w:val="sl-SI" w:eastAsia="sl-SI"/>
        </w:rPr>
        <w:t>1</w:t>
      </w:r>
      <w:r w:rsidRPr="00406445">
        <w:rPr>
          <w:rFonts w:cs="Arial"/>
          <w:i/>
          <w:szCs w:val="20"/>
          <w:lang w:val="sl-SI" w:eastAsia="sl-SI"/>
        </w:rPr>
        <w:t>.7: stavbe z varovanimi prostori in prebivalci MOL v razredih obremenitev s celodnevnim/nočnim hrupom zaradi železniškega prometa</w:t>
      </w:r>
    </w:p>
    <w:tbl>
      <w:tblPr>
        <w:tblW w:w="0" w:type="auto"/>
        <w:jc w:val="center"/>
        <w:tblBorders>
          <w:top w:val="single" w:sz="8" w:space="0" w:color="auto"/>
          <w:bottom w:val="single" w:sz="8" w:space="0" w:color="auto"/>
          <w:insideH w:val="single" w:sz="4" w:space="0" w:color="auto"/>
          <w:insideV w:val="single" w:sz="4" w:space="0" w:color="auto"/>
        </w:tblBorders>
        <w:tblLayout w:type="fixed"/>
        <w:tblLook w:val="0000" w:firstRow="0" w:lastRow="0" w:firstColumn="0" w:lastColumn="0" w:noHBand="0" w:noVBand="0"/>
      </w:tblPr>
      <w:tblGrid>
        <w:gridCol w:w="1701"/>
        <w:gridCol w:w="2818"/>
        <w:gridCol w:w="3358"/>
      </w:tblGrid>
      <w:tr w:rsidR="0077619C" w:rsidRPr="0077619C" w:rsidTr="0077619C">
        <w:trPr>
          <w:cantSplit/>
          <w:jc w:val="center"/>
        </w:trPr>
        <w:tc>
          <w:tcPr>
            <w:tcW w:w="1701" w:type="dxa"/>
            <w:tcBorders>
              <w:bottom w:val="single" w:sz="4" w:space="0" w:color="auto"/>
            </w:tcBorders>
            <w:shd w:val="clear" w:color="auto" w:fill="D9D9D9" w:themeFill="background1" w:themeFillShade="D9"/>
            <w:noWrap/>
            <w:tcMar>
              <w:left w:w="57" w:type="dxa"/>
              <w:right w:w="57" w:type="dxa"/>
            </w:tcMar>
            <w:vAlign w:val="center"/>
          </w:tcPr>
          <w:p w:rsidR="0077619C" w:rsidRPr="0077619C" w:rsidRDefault="0077619C" w:rsidP="0077619C">
            <w:pPr>
              <w:spacing w:before="120" w:after="60" w:line="240" w:lineRule="auto"/>
              <w:jc w:val="center"/>
              <w:rPr>
                <w:rFonts w:ascii="Arial Narrow" w:hAnsi="Arial Narrow"/>
                <w:b/>
                <w:bCs/>
                <w:sz w:val="18"/>
                <w:szCs w:val="18"/>
                <w:lang w:val="sl-SI"/>
              </w:rPr>
            </w:pPr>
            <w:r w:rsidRPr="0077619C">
              <w:rPr>
                <w:rFonts w:ascii="Arial Narrow" w:hAnsi="Arial Narrow"/>
                <w:b/>
                <w:bCs/>
                <w:sz w:val="18"/>
                <w:szCs w:val="18"/>
                <w:lang w:val="sl-SI"/>
              </w:rPr>
              <w:t>Razred obremenitve (dB(A))</w:t>
            </w:r>
          </w:p>
        </w:tc>
        <w:tc>
          <w:tcPr>
            <w:tcW w:w="2818" w:type="dxa"/>
            <w:tcBorders>
              <w:bottom w:val="single" w:sz="4" w:space="0" w:color="auto"/>
            </w:tcBorders>
            <w:shd w:val="clear" w:color="auto" w:fill="D9D9D9" w:themeFill="background1" w:themeFillShade="D9"/>
            <w:noWrap/>
            <w:tcMar>
              <w:left w:w="57" w:type="dxa"/>
              <w:right w:w="57" w:type="dxa"/>
            </w:tcMar>
            <w:vAlign w:val="center"/>
          </w:tcPr>
          <w:p w:rsidR="0077619C" w:rsidRPr="0077619C" w:rsidRDefault="0077619C" w:rsidP="0077619C">
            <w:pPr>
              <w:spacing w:before="120" w:after="60" w:line="240" w:lineRule="auto"/>
              <w:jc w:val="center"/>
              <w:rPr>
                <w:rFonts w:ascii="Arial Narrow" w:hAnsi="Arial Narrow"/>
                <w:b/>
                <w:bCs/>
                <w:sz w:val="18"/>
                <w:szCs w:val="18"/>
                <w:lang w:val="sl-SI"/>
              </w:rPr>
            </w:pPr>
            <w:r w:rsidRPr="0077619C">
              <w:rPr>
                <w:rFonts w:ascii="Arial Narrow" w:hAnsi="Arial Narrow"/>
                <w:b/>
                <w:bCs/>
                <w:sz w:val="18"/>
                <w:szCs w:val="18"/>
                <w:lang w:val="sl-SI"/>
              </w:rPr>
              <w:t xml:space="preserve">Skupno število stavb z varovanimi prostori </w:t>
            </w:r>
          </w:p>
        </w:tc>
        <w:tc>
          <w:tcPr>
            <w:tcW w:w="3358" w:type="dxa"/>
            <w:tcBorders>
              <w:bottom w:val="single" w:sz="4" w:space="0" w:color="auto"/>
            </w:tcBorders>
            <w:shd w:val="clear" w:color="auto" w:fill="D9D9D9" w:themeFill="background1" w:themeFillShade="D9"/>
            <w:vAlign w:val="center"/>
          </w:tcPr>
          <w:p w:rsidR="0077619C" w:rsidRPr="0077619C" w:rsidRDefault="0077619C" w:rsidP="0077619C">
            <w:pPr>
              <w:spacing w:before="120" w:after="60" w:line="240" w:lineRule="auto"/>
              <w:jc w:val="center"/>
              <w:rPr>
                <w:rFonts w:ascii="Arial Narrow" w:hAnsi="Arial Narrow"/>
                <w:b/>
                <w:bCs/>
                <w:sz w:val="18"/>
                <w:szCs w:val="18"/>
                <w:lang w:val="sl-SI"/>
              </w:rPr>
            </w:pPr>
            <w:r w:rsidRPr="0077619C">
              <w:rPr>
                <w:rFonts w:ascii="Arial Narrow" w:hAnsi="Arial Narrow"/>
                <w:b/>
                <w:bCs/>
                <w:sz w:val="18"/>
                <w:szCs w:val="18"/>
                <w:lang w:val="sl-SI"/>
              </w:rPr>
              <w:t>Število prebivalcev s stalnim in začasnim prebivališčem</w:t>
            </w:r>
          </w:p>
        </w:tc>
      </w:tr>
      <w:tr w:rsidR="0077619C" w:rsidRPr="0077619C" w:rsidTr="0077619C">
        <w:trPr>
          <w:cantSplit/>
          <w:jc w:val="center"/>
        </w:trPr>
        <w:tc>
          <w:tcPr>
            <w:tcW w:w="1701" w:type="dxa"/>
            <w:tcBorders>
              <w:top w:val="dotted" w:sz="4" w:space="0" w:color="auto"/>
              <w:bottom w:val="nil"/>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bCs/>
                <w:sz w:val="18"/>
                <w:szCs w:val="18"/>
                <w:lang w:val="sl-SI"/>
              </w:rPr>
              <w:t>≥ 50</w:t>
            </w:r>
            <w:r w:rsidRPr="0077619C">
              <w:rPr>
                <w:rFonts w:cs="Arial"/>
                <w:sz w:val="18"/>
                <w:szCs w:val="18"/>
                <w:lang w:val="sl-SI"/>
              </w:rPr>
              <w:t xml:space="preserve"> </w:t>
            </w:r>
          </w:p>
        </w:tc>
        <w:tc>
          <w:tcPr>
            <w:tcW w:w="2818" w:type="dxa"/>
            <w:tcBorders>
              <w:top w:val="dotted" w:sz="4" w:space="0" w:color="auto"/>
              <w:bottom w:val="nil"/>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4.100 / 2.100</w:t>
            </w:r>
          </w:p>
        </w:tc>
        <w:tc>
          <w:tcPr>
            <w:tcW w:w="3358" w:type="dxa"/>
            <w:tcBorders>
              <w:top w:val="dotted" w:sz="4" w:space="0" w:color="auto"/>
              <w:bottom w:val="nil"/>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46.700 / 21.300</w:t>
            </w:r>
          </w:p>
        </w:tc>
      </w:tr>
      <w:tr w:rsidR="0077619C" w:rsidRPr="0077619C" w:rsidTr="0077619C">
        <w:trPr>
          <w:cantSplit/>
          <w:jc w:val="center"/>
        </w:trPr>
        <w:tc>
          <w:tcPr>
            <w:tcW w:w="1701" w:type="dxa"/>
            <w:tcBorders>
              <w:top w:val="nil"/>
              <w:bottom w:val="nil"/>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bCs/>
                <w:sz w:val="18"/>
                <w:szCs w:val="18"/>
                <w:lang w:val="sl-SI"/>
              </w:rPr>
              <w:t>≥ 55</w:t>
            </w:r>
          </w:p>
        </w:tc>
        <w:tc>
          <w:tcPr>
            <w:tcW w:w="2818" w:type="dxa"/>
            <w:tcBorders>
              <w:top w:val="nil"/>
              <w:bottom w:val="nil"/>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2.500 / 1.200</w:t>
            </w:r>
          </w:p>
        </w:tc>
        <w:tc>
          <w:tcPr>
            <w:tcW w:w="3358" w:type="dxa"/>
            <w:tcBorders>
              <w:top w:val="nil"/>
              <w:bottom w:val="nil"/>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25.100 / 11.100</w:t>
            </w:r>
          </w:p>
        </w:tc>
      </w:tr>
      <w:tr w:rsidR="0077619C" w:rsidRPr="0077619C" w:rsidTr="0077619C">
        <w:trPr>
          <w:cantSplit/>
          <w:jc w:val="center"/>
        </w:trPr>
        <w:tc>
          <w:tcPr>
            <w:tcW w:w="1701" w:type="dxa"/>
            <w:tcBorders>
              <w:top w:val="nil"/>
              <w:bottom w:val="nil"/>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 60</w:t>
            </w:r>
          </w:p>
        </w:tc>
        <w:tc>
          <w:tcPr>
            <w:tcW w:w="2818" w:type="dxa"/>
            <w:tcBorders>
              <w:top w:val="nil"/>
              <w:bottom w:val="nil"/>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1.500 / 700</w:t>
            </w:r>
          </w:p>
        </w:tc>
        <w:tc>
          <w:tcPr>
            <w:tcW w:w="3358" w:type="dxa"/>
            <w:tcBorders>
              <w:top w:val="nil"/>
              <w:bottom w:val="nil"/>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13.800 / 6.100</w:t>
            </w:r>
          </w:p>
        </w:tc>
      </w:tr>
      <w:tr w:rsidR="0077619C" w:rsidRPr="0077619C" w:rsidTr="0077619C">
        <w:trPr>
          <w:cantSplit/>
          <w:jc w:val="center"/>
        </w:trPr>
        <w:tc>
          <w:tcPr>
            <w:tcW w:w="1701" w:type="dxa"/>
            <w:tcBorders>
              <w:top w:val="nil"/>
              <w:bottom w:val="nil"/>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 65</w:t>
            </w:r>
          </w:p>
        </w:tc>
        <w:tc>
          <w:tcPr>
            <w:tcW w:w="2818" w:type="dxa"/>
            <w:tcBorders>
              <w:top w:val="nil"/>
              <w:bottom w:val="nil"/>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800 / 300</w:t>
            </w:r>
          </w:p>
        </w:tc>
        <w:tc>
          <w:tcPr>
            <w:tcW w:w="3358" w:type="dxa"/>
            <w:tcBorders>
              <w:top w:val="nil"/>
              <w:bottom w:val="nil"/>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7.300 / 2.500</w:t>
            </w:r>
          </w:p>
        </w:tc>
      </w:tr>
      <w:tr w:rsidR="0077619C" w:rsidRPr="0077619C" w:rsidTr="0077619C">
        <w:trPr>
          <w:cantSplit/>
          <w:jc w:val="center"/>
        </w:trPr>
        <w:tc>
          <w:tcPr>
            <w:tcW w:w="1701" w:type="dxa"/>
            <w:tcBorders>
              <w:top w:val="nil"/>
              <w:bottom w:val="nil"/>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 70</w:t>
            </w:r>
          </w:p>
        </w:tc>
        <w:tc>
          <w:tcPr>
            <w:tcW w:w="2818" w:type="dxa"/>
            <w:tcBorders>
              <w:top w:val="nil"/>
              <w:bottom w:val="nil"/>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400/ 100</w:t>
            </w:r>
          </w:p>
        </w:tc>
        <w:tc>
          <w:tcPr>
            <w:tcW w:w="3358" w:type="dxa"/>
            <w:tcBorders>
              <w:top w:val="nil"/>
              <w:bottom w:val="nil"/>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3.100 / 500</w:t>
            </w:r>
          </w:p>
        </w:tc>
      </w:tr>
      <w:tr w:rsidR="0077619C" w:rsidRPr="0077619C" w:rsidTr="0077619C">
        <w:trPr>
          <w:cantSplit/>
          <w:jc w:val="center"/>
        </w:trPr>
        <w:tc>
          <w:tcPr>
            <w:tcW w:w="1701" w:type="dxa"/>
            <w:tcBorders>
              <w:top w:val="nil"/>
              <w:bottom w:val="single" w:sz="4" w:space="0" w:color="auto"/>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 75</w:t>
            </w:r>
          </w:p>
        </w:tc>
        <w:tc>
          <w:tcPr>
            <w:tcW w:w="2818" w:type="dxa"/>
            <w:tcBorders>
              <w:top w:val="nil"/>
              <w:bottom w:val="single" w:sz="4" w:space="0" w:color="auto"/>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100 / -</w:t>
            </w:r>
          </w:p>
        </w:tc>
        <w:tc>
          <w:tcPr>
            <w:tcW w:w="3358" w:type="dxa"/>
            <w:tcBorders>
              <w:top w:val="nil"/>
              <w:bottom w:val="single" w:sz="4" w:space="0" w:color="auto"/>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700 / -</w:t>
            </w:r>
          </w:p>
        </w:tc>
      </w:tr>
    </w:tbl>
    <w:p w:rsidR="0077619C" w:rsidRPr="0077619C" w:rsidRDefault="0077619C" w:rsidP="0077619C">
      <w:pPr>
        <w:spacing w:after="200" w:line="240" w:lineRule="atLeast"/>
        <w:jc w:val="both"/>
        <w:rPr>
          <w:rFonts w:cs="Arial"/>
          <w:sz w:val="16"/>
          <w:szCs w:val="16"/>
          <w:lang w:val="sl-SI" w:eastAsia="sl-SI"/>
        </w:rPr>
      </w:pPr>
      <w:r w:rsidRPr="0077619C">
        <w:rPr>
          <w:rFonts w:cs="Arial"/>
          <w:sz w:val="16"/>
          <w:szCs w:val="16"/>
          <w:lang w:val="sl-SI" w:eastAsia="sl-SI"/>
        </w:rPr>
        <w:t>(števila v preglednici so zaokrožena na stotice)</w:t>
      </w:r>
    </w:p>
    <w:p w:rsidR="0077619C" w:rsidRPr="0077619C" w:rsidRDefault="0077619C" w:rsidP="0077619C">
      <w:pPr>
        <w:spacing w:after="200" w:line="240" w:lineRule="atLeast"/>
        <w:jc w:val="both"/>
        <w:rPr>
          <w:rFonts w:cs="Arial"/>
          <w:szCs w:val="20"/>
          <w:lang w:val="sl-SI" w:eastAsia="sl-SI"/>
        </w:rPr>
      </w:pPr>
    </w:p>
    <w:p w:rsidR="0077619C" w:rsidRPr="0077619C" w:rsidRDefault="0077619C" w:rsidP="0077619C">
      <w:pPr>
        <w:spacing w:after="200" w:line="240" w:lineRule="atLeast"/>
        <w:jc w:val="both"/>
        <w:rPr>
          <w:rFonts w:cs="Arial"/>
          <w:szCs w:val="20"/>
          <w:lang w:val="sl-SI" w:eastAsia="sl-SI"/>
        </w:rPr>
      </w:pPr>
      <w:r w:rsidRPr="0077619C">
        <w:rPr>
          <w:rFonts w:cs="Arial"/>
          <w:noProof/>
          <w:szCs w:val="20"/>
          <w:lang w:val="sl-SI" w:eastAsia="sl-SI"/>
        </w:rPr>
        <w:drawing>
          <wp:inline distT="0" distB="0" distL="0" distR="0" wp14:anchorId="0B2AFDFA" wp14:editId="0B5E0D61">
            <wp:extent cx="4773295" cy="3469005"/>
            <wp:effectExtent l="0" t="0" r="8255" b="0"/>
            <wp:docPr id="241" name="Slika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773295" cy="3469005"/>
                    </a:xfrm>
                    <a:prstGeom prst="rect">
                      <a:avLst/>
                    </a:prstGeom>
                    <a:noFill/>
                  </pic:spPr>
                </pic:pic>
              </a:graphicData>
            </a:graphic>
          </wp:inline>
        </w:drawing>
      </w:r>
    </w:p>
    <w:p w:rsidR="0077619C" w:rsidRPr="0077619C" w:rsidRDefault="0077619C" w:rsidP="0077619C">
      <w:pPr>
        <w:autoSpaceDE w:val="0"/>
        <w:autoSpaceDN w:val="0"/>
        <w:adjustRightInd w:val="0"/>
        <w:spacing w:after="200" w:line="240" w:lineRule="atLeast"/>
        <w:jc w:val="both"/>
        <w:rPr>
          <w:rFonts w:eastAsiaTheme="minorHAnsi" w:cs="Arial"/>
          <w:szCs w:val="20"/>
          <w:lang w:val="sl-SI"/>
        </w:rPr>
      </w:pPr>
      <w:r w:rsidRPr="0077619C">
        <w:rPr>
          <w:rFonts w:eastAsiaTheme="minorHAnsi" w:cs="Arial"/>
          <w:szCs w:val="20"/>
          <w:lang w:val="sl-SI"/>
        </w:rPr>
        <w:t>Slika 1</w:t>
      </w:r>
      <w:r w:rsidR="00406445">
        <w:rPr>
          <w:rFonts w:eastAsiaTheme="minorHAnsi" w:cs="Arial"/>
          <w:szCs w:val="20"/>
          <w:lang w:val="sl-SI"/>
        </w:rPr>
        <w:t>1</w:t>
      </w:r>
      <w:r w:rsidRPr="0077619C">
        <w:rPr>
          <w:rFonts w:eastAsiaTheme="minorHAnsi" w:cs="Arial"/>
          <w:szCs w:val="20"/>
          <w:lang w:val="sl-SI"/>
        </w:rPr>
        <w:t>.</w:t>
      </w:r>
      <w:r w:rsidR="00CB5442">
        <w:rPr>
          <w:rFonts w:eastAsiaTheme="minorHAnsi" w:cs="Arial"/>
          <w:szCs w:val="20"/>
          <w:lang w:val="sl-SI"/>
        </w:rPr>
        <w:t>7</w:t>
      </w:r>
      <w:r w:rsidRPr="0077619C">
        <w:rPr>
          <w:rFonts w:eastAsiaTheme="minorHAnsi" w:cs="Arial"/>
          <w:szCs w:val="20"/>
          <w:lang w:val="sl-SI"/>
        </w:rPr>
        <w:t xml:space="preserve">: Prikaz obremenitve območij MOL s celodnevnim hrupom zaradi železniškega prometa v Atlasu okolja  </w:t>
      </w:r>
    </w:p>
    <w:p w:rsidR="0077619C" w:rsidRPr="0077619C" w:rsidRDefault="0077619C" w:rsidP="0077619C">
      <w:pPr>
        <w:spacing w:after="200" w:line="240" w:lineRule="atLeast"/>
        <w:jc w:val="both"/>
        <w:rPr>
          <w:rFonts w:cs="Arial"/>
          <w:szCs w:val="20"/>
          <w:lang w:val="sl-SI" w:eastAsia="sl-SI"/>
        </w:rPr>
      </w:pPr>
    </w:p>
    <w:p w:rsidR="0077619C" w:rsidRPr="0077619C" w:rsidRDefault="0077619C" w:rsidP="0077619C">
      <w:pPr>
        <w:spacing w:after="200" w:line="240" w:lineRule="atLeast"/>
        <w:jc w:val="both"/>
        <w:rPr>
          <w:rFonts w:cs="Arial"/>
          <w:b/>
          <w:szCs w:val="20"/>
          <w:lang w:val="sl-SI" w:eastAsia="sl-SI"/>
        </w:rPr>
      </w:pPr>
      <w:r w:rsidRPr="0077619C">
        <w:rPr>
          <w:rFonts w:cs="Arial"/>
          <w:b/>
          <w:szCs w:val="20"/>
          <w:lang w:val="sl-SI" w:eastAsia="sl-SI"/>
        </w:rPr>
        <w:t>1</w:t>
      </w:r>
      <w:r w:rsidR="00406445">
        <w:rPr>
          <w:rFonts w:cs="Arial"/>
          <w:b/>
          <w:szCs w:val="20"/>
          <w:lang w:val="sl-SI" w:eastAsia="sl-SI"/>
        </w:rPr>
        <w:t>1</w:t>
      </w:r>
      <w:r w:rsidRPr="0077619C">
        <w:rPr>
          <w:rFonts w:cs="Arial"/>
          <w:b/>
          <w:szCs w:val="20"/>
          <w:lang w:val="sl-SI" w:eastAsia="sl-SI"/>
        </w:rPr>
        <w:t>.3 Obremenjenost s hrupom, ki presega mejne vrednosti</w:t>
      </w:r>
    </w:p>
    <w:p w:rsidR="0077619C" w:rsidRPr="0077619C" w:rsidRDefault="0077619C" w:rsidP="0077619C">
      <w:pPr>
        <w:autoSpaceDE w:val="0"/>
        <w:autoSpaceDN w:val="0"/>
        <w:adjustRightInd w:val="0"/>
        <w:spacing w:after="200" w:line="240" w:lineRule="atLeast"/>
        <w:jc w:val="both"/>
        <w:rPr>
          <w:rFonts w:eastAsiaTheme="minorHAnsi" w:cs="Arial"/>
          <w:szCs w:val="20"/>
          <w:lang w:val="sl-SI"/>
        </w:rPr>
      </w:pPr>
      <w:r w:rsidRPr="0077619C">
        <w:rPr>
          <w:rFonts w:eastAsiaTheme="minorHAnsi" w:cs="Arial"/>
          <w:bCs/>
          <w:szCs w:val="20"/>
          <w:lang w:val="sl-SI"/>
        </w:rPr>
        <w:t xml:space="preserve">Število prebivalcev, ki so obremenjeni s hrupom nad mejnimi vrednostmi kazalcev hrupa, </w:t>
      </w:r>
      <w:r w:rsidRPr="0077619C">
        <w:rPr>
          <w:rFonts w:eastAsiaTheme="minorHAnsi" w:cs="Arial"/>
          <w:szCs w:val="20"/>
          <w:lang w:val="sl-SI"/>
        </w:rPr>
        <w:t>je prikazano ob predpostavki, da se obravnavana območja razvrstijo v III. obmo</w:t>
      </w:r>
      <w:r w:rsidRPr="0077619C">
        <w:rPr>
          <w:rFonts w:eastAsia="TimesNewRoman" w:cs="Arial"/>
          <w:szCs w:val="20"/>
          <w:lang w:val="sl-SI"/>
        </w:rPr>
        <w:t>č</w:t>
      </w:r>
      <w:r w:rsidRPr="0077619C">
        <w:rPr>
          <w:rFonts w:eastAsiaTheme="minorHAnsi" w:cs="Arial"/>
          <w:szCs w:val="20"/>
          <w:lang w:val="sl-SI"/>
        </w:rPr>
        <w:t xml:space="preserve">je varstva pred hrupom, in da so prebivalci obremenjeni s hrupom, ki ga povzroča en vir hrupa: ali cestni ali železniški promet.  </w:t>
      </w:r>
    </w:p>
    <w:p w:rsidR="0077619C" w:rsidRPr="0077619C" w:rsidRDefault="0077619C" w:rsidP="0077619C">
      <w:pPr>
        <w:spacing w:after="200" w:line="240" w:lineRule="atLeast"/>
        <w:jc w:val="both"/>
        <w:rPr>
          <w:rFonts w:cs="Arial"/>
          <w:b/>
          <w:szCs w:val="20"/>
          <w:lang w:val="sl-SI" w:eastAsia="sl-SI"/>
        </w:rPr>
      </w:pPr>
    </w:p>
    <w:p w:rsidR="0077619C" w:rsidRPr="00406445" w:rsidRDefault="0077619C" w:rsidP="0077619C">
      <w:pPr>
        <w:spacing w:after="200" w:line="240" w:lineRule="atLeast"/>
        <w:jc w:val="both"/>
        <w:rPr>
          <w:rFonts w:cs="Arial"/>
          <w:i/>
          <w:szCs w:val="20"/>
          <w:lang w:val="sl-SI" w:eastAsia="sl-SI"/>
        </w:rPr>
      </w:pPr>
      <w:r w:rsidRPr="00406445">
        <w:rPr>
          <w:rFonts w:cs="Arial"/>
          <w:i/>
          <w:szCs w:val="20"/>
          <w:lang w:val="sl-SI" w:eastAsia="sl-SI"/>
        </w:rPr>
        <w:t>Preglednica 1</w:t>
      </w:r>
      <w:r w:rsidR="00406445" w:rsidRPr="00406445">
        <w:rPr>
          <w:rFonts w:cs="Arial"/>
          <w:i/>
          <w:szCs w:val="20"/>
          <w:lang w:val="sl-SI" w:eastAsia="sl-SI"/>
        </w:rPr>
        <w:t>1</w:t>
      </w:r>
      <w:r w:rsidRPr="00406445">
        <w:rPr>
          <w:rFonts w:cs="Arial"/>
          <w:i/>
          <w:szCs w:val="20"/>
          <w:lang w:val="sl-SI" w:eastAsia="sl-SI"/>
        </w:rPr>
        <w:t xml:space="preserve">.8: prebivalci, ki so izpostavljeni obremenitvi s hrupom nad mejnimi vrednostmi kazalcev hrupa za </w:t>
      </w:r>
      <w:r w:rsidR="00CB5442" w:rsidRPr="00406445">
        <w:rPr>
          <w:rFonts w:cs="Arial"/>
          <w:i/>
          <w:szCs w:val="20"/>
          <w:lang w:val="sl-SI" w:eastAsia="sl-SI"/>
        </w:rPr>
        <w:t xml:space="preserve">celodnevni </w:t>
      </w:r>
      <w:r w:rsidR="00CB5442">
        <w:rPr>
          <w:rFonts w:cs="Arial"/>
          <w:i/>
          <w:szCs w:val="20"/>
          <w:lang w:val="sl-SI" w:eastAsia="sl-SI"/>
        </w:rPr>
        <w:t>(</w:t>
      </w:r>
      <w:r w:rsidR="00CB5442" w:rsidRPr="00CB5442">
        <w:rPr>
          <w:rFonts w:cs="Arial"/>
          <w:i/>
          <w:iCs/>
          <w:szCs w:val="20"/>
          <w:lang w:val="sl-SI" w:eastAsia="sl-SI"/>
        </w:rPr>
        <w:t>L</w:t>
      </w:r>
      <w:r w:rsidR="00CB5442" w:rsidRPr="00CB5442">
        <w:rPr>
          <w:rFonts w:cs="Arial"/>
          <w:i/>
          <w:szCs w:val="20"/>
          <w:vertAlign w:val="subscript"/>
          <w:lang w:val="sl-SI" w:eastAsia="sl-SI"/>
        </w:rPr>
        <w:t>dvn</w:t>
      </w:r>
      <w:r w:rsidR="00CB5442" w:rsidRPr="00CB5442">
        <w:rPr>
          <w:rFonts w:cs="Arial"/>
          <w:i/>
          <w:szCs w:val="20"/>
          <w:lang w:val="sl-SI" w:eastAsia="sl-SI"/>
        </w:rPr>
        <w:t xml:space="preserve"> </w:t>
      </w:r>
      <w:r w:rsidR="00CB5442">
        <w:rPr>
          <w:rFonts w:cs="Arial"/>
          <w:i/>
          <w:szCs w:val="20"/>
          <w:lang w:val="sl-SI" w:eastAsia="sl-SI"/>
        </w:rPr>
        <w:t xml:space="preserve">) in </w:t>
      </w:r>
      <w:r w:rsidRPr="00406445">
        <w:rPr>
          <w:rFonts w:cs="Arial"/>
          <w:i/>
          <w:szCs w:val="20"/>
          <w:lang w:val="sl-SI" w:eastAsia="sl-SI"/>
        </w:rPr>
        <w:t xml:space="preserve">nočni </w:t>
      </w:r>
      <w:r w:rsidR="00CB5442">
        <w:rPr>
          <w:rFonts w:cs="Arial"/>
          <w:i/>
          <w:szCs w:val="20"/>
          <w:lang w:val="sl-SI" w:eastAsia="sl-SI"/>
        </w:rPr>
        <w:t>(</w:t>
      </w:r>
      <w:r w:rsidR="00CB5442" w:rsidRPr="0077619C">
        <w:rPr>
          <w:rFonts w:cs="Arial"/>
          <w:i/>
          <w:iCs/>
          <w:sz w:val="18"/>
          <w:szCs w:val="18"/>
          <w:lang w:val="sl-SI" w:eastAsia="sl-SI"/>
        </w:rPr>
        <w:t>L</w:t>
      </w:r>
      <w:r w:rsidR="00CB5442" w:rsidRPr="0077619C">
        <w:rPr>
          <w:rFonts w:cs="Arial"/>
          <w:sz w:val="18"/>
          <w:szCs w:val="18"/>
          <w:vertAlign w:val="subscript"/>
          <w:lang w:val="sl-SI" w:eastAsia="sl-SI"/>
        </w:rPr>
        <w:t>noč</w:t>
      </w:r>
      <w:r w:rsidR="00CB5442" w:rsidRPr="00406445">
        <w:rPr>
          <w:rFonts w:cs="Arial"/>
          <w:i/>
          <w:szCs w:val="20"/>
          <w:lang w:val="sl-SI" w:eastAsia="sl-SI"/>
        </w:rPr>
        <w:t xml:space="preserve"> </w:t>
      </w:r>
      <w:r w:rsidR="00CB5442">
        <w:rPr>
          <w:rFonts w:cs="Arial"/>
          <w:i/>
          <w:szCs w:val="20"/>
          <w:lang w:val="sl-SI" w:eastAsia="sl-SI"/>
        </w:rPr>
        <w:t xml:space="preserve">) </w:t>
      </w:r>
      <w:r w:rsidRPr="00406445">
        <w:rPr>
          <w:rFonts w:cs="Arial"/>
          <w:i/>
          <w:szCs w:val="20"/>
          <w:lang w:val="sl-SI" w:eastAsia="sl-SI"/>
        </w:rPr>
        <w:t xml:space="preserve">hrup za III. območje varstva pred hrupom </w:t>
      </w:r>
    </w:p>
    <w:tbl>
      <w:tblPr>
        <w:tblW w:w="9148" w:type="dxa"/>
        <w:jc w:val="center"/>
        <w:tblBorders>
          <w:top w:val="single" w:sz="8" w:space="0" w:color="auto"/>
          <w:bottom w:val="single" w:sz="8" w:space="0" w:color="auto"/>
          <w:insideH w:val="single" w:sz="4" w:space="0" w:color="auto"/>
          <w:insideV w:val="single" w:sz="4" w:space="0" w:color="auto"/>
        </w:tblBorders>
        <w:tblLayout w:type="fixed"/>
        <w:tblLook w:val="0000" w:firstRow="0" w:lastRow="0" w:firstColumn="0" w:lastColumn="0" w:noHBand="0" w:noVBand="0"/>
      </w:tblPr>
      <w:tblGrid>
        <w:gridCol w:w="1701"/>
        <w:gridCol w:w="1946"/>
        <w:gridCol w:w="2652"/>
        <w:gridCol w:w="2849"/>
      </w:tblGrid>
      <w:tr w:rsidR="0077619C" w:rsidRPr="0077619C" w:rsidTr="0077619C">
        <w:trPr>
          <w:cantSplit/>
          <w:jc w:val="center"/>
        </w:trPr>
        <w:tc>
          <w:tcPr>
            <w:tcW w:w="1701" w:type="dxa"/>
            <w:tcBorders>
              <w:bottom w:val="single" w:sz="4" w:space="0" w:color="auto"/>
            </w:tcBorders>
            <w:shd w:val="clear" w:color="auto" w:fill="D9D9D9" w:themeFill="background1" w:themeFillShade="D9"/>
            <w:noWrap/>
            <w:tcMar>
              <w:left w:w="57" w:type="dxa"/>
              <w:right w:w="57" w:type="dxa"/>
            </w:tcMar>
            <w:vAlign w:val="center"/>
          </w:tcPr>
          <w:p w:rsidR="0077619C" w:rsidRPr="0077619C" w:rsidRDefault="0077619C" w:rsidP="0077619C">
            <w:pPr>
              <w:spacing w:before="120" w:after="60" w:line="240" w:lineRule="auto"/>
              <w:ind w:left="46"/>
              <w:jc w:val="center"/>
              <w:rPr>
                <w:rFonts w:ascii="Arial Narrow" w:hAnsi="Arial Narrow"/>
                <w:b/>
                <w:bCs/>
                <w:sz w:val="18"/>
                <w:szCs w:val="18"/>
                <w:lang w:val="sl-SI"/>
              </w:rPr>
            </w:pPr>
          </w:p>
        </w:tc>
        <w:tc>
          <w:tcPr>
            <w:tcW w:w="1946" w:type="dxa"/>
            <w:tcBorders>
              <w:bottom w:val="single" w:sz="4" w:space="0" w:color="auto"/>
            </w:tcBorders>
            <w:shd w:val="clear" w:color="auto" w:fill="D9D9D9" w:themeFill="background1" w:themeFillShade="D9"/>
          </w:tcPr>
          <w:p w:rsidR="0077619C" w:rsidRPr="0077619C" w:rsidRDefault="0077619C" w:rsidP="0077619C">
            <w:pPr>
              <w:spacing w:before="120" w:after="60" w:line="240" w:lineRule="auto"/>
              <w:jc w:val="center"/>
              <w:rPr>
                <w:rFonts w:ascii="Arial Narrow" w:hAnsi="Arial Narrow"/>
                <w:b/>
                <w:bCs/>
                <w:sz w:val="18"/>
                <w:szCs w:val="18"/>
                <w:lang w:val="sl-SI"/>
              </w:rPr>
            </w:pPr>
            <w:r w:rsidRPr="0077619C">
              <w:rPr>
                <w:rFonts w:ascii="Arial Narrow" w:hAnsi="Arial Narrow"/>
                <w:b/>
                <w:bCs/>
                <w:sz w:val="18"/>
                <w:szCs w:val="18"/>
                <w:lang w:val="sl-SI"/>
              </w:rPr>
              <w:t>Vrednost kazalca hrupa (dB(A))</w:t>
            </w:r>
          </w:p>
        </w:tc>
        <w:tc>
          <w:tcPr>
            <w:tcW w:w="2652" w:type="dxa"/>
            <w:tcBorders>
              <w:bottom w:val="single" w:sz="4" w:space="0" w:color="auto"/>
            </w:tcBorders>
            <w:shd w:val="clear" w:color="auto" w:fill="D9D9D9" w:themeFill="background1" w:themeFillShade="D9"/>
            <w:noWrap/>
            <w:tcMar>
              <w:left w:w="57" w:type="dxa"/>
              <w:right w:w="57" w:type="dxa"/>
            </w:tcMar>
            <w:vAlign w:val="center"/>
          </w:tcPr>
          <w:p w:rsidR="0077619C" w:rsidRPr="0077619C" w:rsidRDefault="0077619C" w:rsidP="0077619C">
            <w:pPr>
              <w:spacing w:before="120" w:after="60" w:line="240" w:lineRule="auto"/>
              <w:jc w:val="center"/>
              <w:rPr>
                <w:rFonts w:ascii="Arial Narrow" w:hAnsi="Arial Narrow"/>
                <w:b/>
                <w:bCs/>
                <w:sz w:val="18"/>
                <w:szCs w:val="18"/>
                <w:lang w:val="sl-SI"/>
              </w:rPr>
            </w:pPr>
            <w:r w:rsidRPr="0077619C">
              <w:rPr>
                <w:rFonts w:ascii="Arial Narrow" w:hAnsi="Arial Narrow"/>
                <w:b/>
                <w:bCs/>
                <w:sz w:val="18"/>
                <w:szCs w:val="18"/>
                <w:lang w:val="sl-SI"/>
              </w:rPr>
              <w:t xml:space="preserve">Število prebivalcev, obremenjenih s cestnim prometom  </w:t>
            </w:r>
          </w:p>
        </w:tc>
        <w:tc>
          <w:tcPr>
            <w:tcW w:w="2849" w:type="dxa"/>
            <w:tcBorders>
              <w:bottom w:val="single" w:sz="4" w:space="0" w:color="auto"/>
            </w:tcBorders>
            <w:shd w:val="clear" w:color="auto" w:fill="D9D9D9" w:themeFill="background1" w:themeFillShade="D9"/>
            <w:vAlign w:val="center"/>
          </w:tcPr>
          <w:p w:rsidR="0077619C" w:rsidRPr="0077619C" w:rsidRDefault="0077619C" w:rsidP="0077619C">
            <w:pPr>
              <w:spacing w:before="120" w:after="60" w:line="240" w:lineRule="auto"/>
              <w:jc w:val="center"/>
              <w:rPr>
                <w:rFonts w:ascii="Arial Narrow" w:hAnsi="Arial Narrow"/>
                <w:b/>
                <w:bCs/>
                <w:sz w:val="18"/>
                <w:szCs w:val="18"/>
                <w:lang w:val="sl-SI"/>
              </w:rPr>
            </w:pPr>
            <w:r w:rsidRPr="0077619C">
              <w:rPr>
                <w:rFonts w:ascii="Arial Narrow" w:hAnsi="Arial Narrow"/>
                <w:b/>
                <w:bCs/>
                <w:sz w:val="18"/>
                <w:szCs w:val="18"/>
                <w:lang w:val="sl-SI"/>
              </w:rPr>
              <w:t xml:space="preserve">Število prebivalcev, obremenjenih z železniškim prometom </w:t>
            </w:r>
          </w:p>
        </w:tc>
      </w:tr>
      <w:tr w:rsidR="0077619C" w:rsidRPr="0077619C" w:rsidTr="0077619C">
        <w:trPr>
          <w:cantSplit/>
          <w:jc w:val="center"/>
        </w:trPr>
        <w:tc>
          <w:tcPr>
            <w:tcW w:w="1701" w:type="dxa"/>
            <w:vMerge w:val="restart"/>
            <w:tcBorders>
              <w:top w:val="dotted" w:sz="4" w:space="0" w:color="auto"/>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ind w:left="46"/>
              <w:jc w:val="center"/>
              <w:rPr>
                <w:rFonts w:cs="Arial"/>
                <w:sz w:val="18"/>
                <w:szCs w:val="18"/>
                <w:lang w:val="sl-SI"/>
              </w:rPr>
            </w:pPr>
            <w:r w:rsidRPr="0077619C">
              <w:rPr>
                <w:rFonts w:cs="Arial"/>
                <w:bCs/>
                <w:sz w:val="18"/>
                <w:szCs w:val="18"/>
                <w:lang w:val="sl-SI"/>
              </w:rPr>
              <w:t>Območje MOL</w:t>
            </w:r>
          </w:p>
        </w:tc>
        <w:tc>
          <w:tcPr>
            <w:tcW w:w="1946" w:type="dxa"/>
            <w:tcBorders>
              <w:top w:val="dotted" w:sz="4" w:space="0" w:color="auto"/>
              <w:bottom w:val="nil"/>
            </w:tcBorders>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i/>
                <w:iCs/>
                <w:sz w:val="18"/>
                <w:szCs w:val="18"/>
                <w:lang w:val="sl-SI" w:eastAsia="sl-SI"/>
              </w:rPr>
              <w:t>L</w:t>
            </w:r>
            <w:r w:rsidRPr="0077619C">
              <w:rPr>
                <w:rFonts w:cs="Arial"/>
                <w:sz w:val="18"/>
                <w:szCs w:val="18"/>
                <w:vertAlign w:val="subscript"/>
                <w:lang w:val="sl-SI" w:eastAsia="sl-SI"/>
              </w:rPr>
              <w:t>dvn</w:t>
            </w:r>
            <w:r w:rsidRPr="0077619C">
              <w:rPr>
                <w:rFonts w:cs="Arial"/>
                <w:sz w:val="18"/>
                <w:szCs w:val="18"/>
                <w:lang w:val="sl-SI" w:eastAsia="sl-SI"/>
              </w:rPr>
              <w:t xml:space="preserve"> &gt; 65</w:t>
            </w:r>
          </w:p>
        </w:tc>
        <w:tc>
          <w:tcPr>
            <w:tcW w:w="2652" w:type="dxa"/>
            <w:tcBorders>
              <w:top w:val="dotted" w:sz="4" w:space="0" w:color="auto"/>
              <w:bottom w:val="nil"/>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48.800</w:t>
            </w:r>
          </w:p>
        </w:tc>
        <w:tc>
          <w:tcPr>
            <w:tcW w:w="2849" w:type="dxa"/>
            <w:tcBorders>
              <w:top w:val="dotted" w:sz="4" w:space="0" w:color="auto"/>
              <w:bottom w:val="nil"/>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7.300</w:t>
            </w:r>
          </w:p>
        </w:tc>
      </w:tr>
      <w:tr w:rsidR="0077619C" w:rsidRPr="0077619C" w:rsidTr="0077619C">
        <w:trPr>
          <w:cantSplit/>
          <w:jc w:val="center"/>
        </w:trPr>
        <w:tc>
          <w:tcPr>
            <w:tcW w:w="1701" w:type="dxa"/>
            <w:vMerge/>
            <w:tcBorders>
              <w:bottom w:val="single" w:sz="4" w:space="0" w:color="auto"/>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ind w:left="46"/>
              <w:jc w:val="center"/>
              <w:rPr>
                <w:rFonts w:cs="Arial"/>
                <w:sz w:val="18"/>
                <w:szCs w:val="18"/>
                <w:lang w:val="sl-SI"/>
              </w:rPr>
            </w:pPr>
          </w:p>
        </w:tc>
        <w:tc>
          <w:tcPr>
            <w:tcW w:w="1946" w:type="dxa"/>
            <w:tcBorders>
              <w:top w:val="nil"/>
              <w:bottom w:val="single" w:sz="4" w:space="0" w:color="auto"/>
            </w:tcBorders>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i/>
                <w:iCs/>
                <w:sz w:val="18"/>
                <w:szCs w:val="18"/>
                <w:lang w:val="sl-SI" w:eastAsia="sl-SI"/>
              </w:rPr>
              <w:t>L</w:t>
            </w:r>
            <w:r w:rsidRPr="0077619C">
              <w:rPr>
                <w:rFonts w:cs="Arial"/>
                <w:sz w:val="18"/>
                <w:szCs w:val="18"/>
                <w:vertAlign w:val="subscript"/>
                <w:lang w:val="sl-SI" w:eastAsia="sl-SI"/>
              </w:rPr>
              <w:t>noč</w:t>
            </w:r>
            <w:r w:rsidRPr="0077619C">
              <w:rPr>
                <w:rFonts w:cs="Arial"/>
                <w:sz w:val="18"/>
                <w:szCs w:val="18"/>
                <w:lang w:val="sl-SI" w:eastAsia="sl-SI"/>
              </w:rPr>
              <w:t xml:space="preserve"> &gt; 55</w:t>
            </w:r>
          </w:p>
        </w:tc>
        <w:tc>
          <w:tcPr>
            <w:tcW w:w="2652" w:type="dxa"/>
            <w:tcBorders>
              <w:top w:val="nil"/>
              <w:bottom w:val="single" w:sz="4" w:space="0" w:color="auto"/>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42.000</w:t>
            </w:r>
          </w:p>
        </w:tc>
        <w:tc>
          <w:tcPr>
            <w:tcW w:w="2849" w:type="dxa"/>
            <w:tcBorders>
              <w:top w:val="nil"/>
              <w:bottom w:val="single" w:sz="4" w:space="0" w:color="auto"/>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11.100</w:t>
            </w:r>
          </w:p>
        </w:tc>
      </w:tr>
      <w:tr w:rsidR="0077619C" w:rsidRPr="0077619C" w:rsidTr="0077619C">
        <w:trPr>
          <w:cantSplit/>
          <w:jc w:val="center"/>
        </w:trPr>
        <w:tc>
          <w:tcPr>
            <w:tcW w:w="1701" w:type="dxa"/>
            <w:vMerge w:val="restart"/>
            <w:tcBorders>
              <w:top w:val="single" w:sz="4" w:space="0" w:color="auto"/>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ind w:left="46"/>
              <w:jc w:val="center"/>
              <w:rPr>
                <w:rFonts w:cs="Arial"/>
                <w:sz w:val="18"/>
                <w:szCs w:val="18"/>
                <w:lang w:val="sl-SI"/>
              </w:rPr>
            </w:pPr>
            <w:r w:rsidRPr="0077619C">
              <w:rPr>
                <w:rFonts w:cs="Arial"/>
                <w:sz w:val="18"/>
                <w:szCs w:val="18"/>
                <w:lang w:val="sl-SI"/>
              </w:rPr>
              <w:t xml:space="preserve">UZ MB </w:t>
            </w:r>
          </w:p>
        </w:tc>
        <w:tc>
          <w:tcPr>
            <w:tcW w:w="1946" w:type="dxa"/>
            <w:tcBorders>
              <w:top w:val="single" w:sz="4" w:space="0" w:color="auto"/>
              <w:bottom w:val="nil"/>
            </w:tcBorders>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i/>
                <w:iCs/>
                <w:sz w:val="18"/>
                <w:szCs w:val="18"/>
                <w:lang w:val="sl-SI" w:eastAsia="sl-SI"/>
              </w:rPr>
              <w:t>L</w:t>
            </w:r>
            <w:r w:rsidRPr="0077619C">
              <w:rPr>
                <w:rFonts w:cs="Arial"/>
                <w:sz w:val="18"/>
                <w:szCs w:val="18"/>
                <w:vertAlign w:val="subscript"/>
                <w:lang w:val="sl-SI" w:eastAsia="sl-SI"/>
              </w:rPr>
              <w:t>dvn</w:t>
            </w:r>
            <w:r w:rsidRPr="0077619C">
              <w:rPr>
                <w:rFonts w:cs="Arial"/>
                <w:sz w:val="18"/>
                <w:szCs w:val="18"/>
                <w:lang w:val="sl-SI" w:eastAsia="sl-SI"/>
              </w:rPr>
              <w:t xml:space="preserve"> &gt; 65</w:t>
            </w:r>
          </w:p>
        </w:tc>
        <w:tc>
          <w:tcPr>
            <w:tcW w:w="2652" w:type="dxa"/>
            <w:tcBorders>
              <w:top w:val="single" w:sz="4" w:space="0" w:color="auto"/>
              <w:bottom w:val="nil"/>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25.400</w:t>
            </w:r>
          </w:p>
        </w:tc>
        <w:tc>
          <w:tcPr>
            <w:tcW w:w="2849" w:type="dxa"/>
            <w:tcBorders>
              <w:top w:val="single" w:sz="4" w:space="0" w:color="auto"/>
              <w:bottom w:val="nil"/>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270</w:t>
            </w:r>
          </w:p>
        </w:tc>
      </w:tr>
      <w:tr w:rsidR="0077619C" w:rsidRPr="0077619C" w:rsidTr="0077619C">
        <w:trPr>
          <w:cantSplit/>
          <w:jc w:val="center"/>
        </w:trPr>
        <w:tc>
          <w:tcPr>
            <w:tcW w:w="1701" w:type="dxa"/>
            <w:vMerge/>
            <w:tcBorders>
              <w:bottom w:val="single" w:sz="4" w:space="0" w:color="auto"/>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ind w:left="46"/>
              <w:jc w:val="center"/>
              <w:rPr>
                <w:rFonts w:cs="Arial"/>
                <w:sz w:val="18"/>
                <w:szCs w:val="18"/>
                <w:lang w:val="sl-SI"/>
              </w:rPr>
            </w:pPr>
          </w:p>
        </w:tc>
        <w:tc>
          <w:tcPr>
            <w:tcW w:w="1946" w:type="dxa"/>
            <w:tcBorders>
              <w:top w:val="nil"/>
              <w:bottom w:val="single" w:sz="4" w:space="0" w:color="auto"/>
            </w:tcBorders>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i/>
                <w:iCs/>
                <w:sz w:val="18"/>
                <w:szCs w:val="18"/>
                <w:lang w:val="sl-SI" w:eastAsia="sl-SI"/>
              </w:rPr>
              <w:t>L</w:t>
            </w:r>
            <w:r w:rsidRPr="0077619C">
              <w:rPr>
                <w:rFonts w:cs="Arial"/>
                <w:sz w:val="18"/>
                <w:szCs w:val="18"/>
                <w:vertAlign w:val="subscript"/>
                <w:lang w:val="sl-SI" w:eastAsia="sl-SI"/>
              </w:rPr>
              <w:t>noč</w:t>
            </w:r>
            <w:r w:rsidRPr="0077619C">
              <w:rPr>
                <w:rFonts w:cs="Arial"/>
                <w:sz w:val="18"/>
                <w:szCs w:val="18"/>
                <w:lang w:val="sl-SI" w:eastAsia="sl-SI"/>
              </w:rPr>
              <w:t xml:space="preserve"> &gt; 55</w:t>
            </w:r>
          </w:p>
        </w:tc>
        <w:tc>
          <w:tcPr>
            <w:tcW w:w="2652" w:type="dxa"/>
            <w:tcBorders>
              <w:top w:val="nil"/>
              <w:bottom w:val="single" w:sz="4" w:space="0" w:color="auto"/>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28.400</w:t>
            </w:r>
          </w:p>
        </w:tc>
        <w:tc>
          <w:tcPr>
            <w:tcW w:w="2849" w:type="dxa"/>
            <w:tcBorders>
              <w:top w:val="nil"/>
              <w:bottom w:val="single" w:sz="4" w:space="0" w:color="auto"/>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1180</w:t>
            </w:r>
          </w:p>
        </w:tc>
      </w:tr>
      <w:tr w:rsidR="0077619C" w:rsidRPr="0077619C" w:rsidTr="0077619C">
        <w:trPr>
          <w:cantSplit/>
          <w:jc w:val="center"/>
        </w:trPr>
        <w:tc>
          <w:tcPr>
            <w:tcW w:w="1701" w:type="dxa"/>
            <w:vMerge w:val="restart"/>
            <w:tcBorders>
              <w:top w:val="single" w:sz="4" w:space="0" w:color="auto"/>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ind w:left="46"/>
              <w:jc w:val="center"/>
              <w:rPr>
                <w:rFonts w:cs="Arial"/>
                <w:sz w:val="18"/>
                <w:szCs w:val="18"/>
                <w:lang w:val="sl-SI"/>
              </w:rPr>
            </w:pPr>
            <w:r w:rsidRPr="0077619C">
              <w:rPr>
                <w:rFonts w:cs="Arial"/>
                <w:sz w:val="18"/>
                <w:szCs w:val="18"/>
                <w:lang w:val="sl-SI"/>
              </w:rPr>
              <w:t>Ob pomembnih cestah</w:t>
            </w:r>
          </w:p>
        </w:tc>
        <w:tc>
          <w:tcPr>
            <w:tcW w:w="1946" w:type="dxa"/>
            <w:tcBorders>
              <w:top w:val="single" w:sz="4" w:space="0" w:color="auto"/>
              <w:bottom w:val="nil"/>
            </w:tcBorders>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i/>
                <w:iCs/>
                <w:sz w:val="18"/>
                <w:szCs w:val="18"/>
                <w:lang w:val="sl-SI" w:eastAsia="sl-SI"/>
              </w:rPr>
              <w:t>L</w:t>
            </w:r>
            <w:r w:rsidRPr="0077619C">
              <w:rPr>
                <w:rFonts w:cs="Arial"/>
                <w:sz w:val="18"/>
                <w:szCs w:val="18"/>
                <w:vertAlign w:val="subscript"/>
                <w:lang w:val="sl-SI" w:eastAsia="sl-SI"/>
              </w:rPr>
              <w:t>dvn</w:t>
            </w:r>
            <w:r w:rsidRPr="0077619C">
              <w:rPr>
                <w:rFonts w:cs="Arial"/>
                <w:sz w:val="18"/>
                <w:szCs w:val="18"/>
                <w:lang w:val="sl-SI" w:eastAsia="sl-SI"/>
              </w:rPr>
              <w:t xml:space="preserve"> &gt; 65</w:t>
            </w:r>
          </w:p>
        </w:tc>
        <w:tc>
          <w:tcPr>
            <w:tcW w:w="2652" w:type="dxa"/>
            <w:tcBorders>
              <w:top w:val="single" w:sz="4" w:space="0" w:color="auto"/>
              <w:bottom w:val="nil"/>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58.400</w:t>
            </w:r>
          </w:p>
        </w:tc>
        <w:tc>
          <w:tcPr>
            <w:tcW w:w="2849" w:type="dxa"/>
            <w:tcBorders>
              <w:top w:val="single" w:sz="4" w:space="0" w:color="auto"/>
              <w:bottom w:val="nil"/>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w:t>
            </w:r>
          </w:p>
        </w:tc>
      </w:tr>
      <w:tr w:rsidR="0077619C" w:rsidRPr="0077619C" w:rsidTr="0077619C">
        <w:trPr>
          <w:cantSplit/>
          <w:jc w:val="center"/>
        </w:trPr>
        <w:tc>
          <w:tcPr>
            <w:tcW w:w="1701" w:type="dxa"/>
            <w:vMerge/>
            <w:tcBorders>
              <w:bottom w:val="single" w:sz="4" w:space="0" w:color="auto"/>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ind w:left="46"/>
              <w:jc w:val="center"/>
              <w:rPr>
                <w:rFonts w:cs="Arial"/>
                <w:sz w:val="18"/>
                <w:szCs w:val="18"/>
                <w:lang w:val="sl-SI"/>
              </w:rPr>
            </w:pPr>
          </w:p>
        </w:tc>
        <w:tc>
          <w:tcPr>
            <w:tcW w:w="1946" w:type="dxa"/>
            <w:tcBorders>
              <w:top w:val="nil"/>
              <w:bottom w:val="single" w:sz="4" w:space="0" w:color="auto"/>
            </w:tcBorders>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i/>
                <w:iCs/>
                <w:sz w:val="18"/>
                <w:szCs w:val="18"/>
                <w:lang w:val="sl-SI" w:eastAsia="sl-SI"/>
              </w:rPr>
              <w:t>L</w:t>
            </w:r>
            <w:r w:rsidRPr="0077619C">
              <w:rPr>
                <w:rFonts w:cs="Arial"/>
                <w:sz w:val="18"/>
                <w:szCs w:val="18"/>
                <w:vertAlign w:val="subscript"/>
                <w:lang w:val="sl-SI" w:eastAsia="sl-SI"/>
              </w:rPr>
              <w:t>noč</w:t>
            </w:r>
            <w:r w:rsidRPr="0077619C">
              <w:rPr>
                <w:rFonts w:cs="Arial"/>
                <w:sz w:val="18"/>
                <w:szCs w:val="18"/>
                <w:lang w:val="sl-SI" w:eastAsia="sl-SI"/>
              </w:rPr>
              <w:t xml:space="preserve"> &gt; 55</w:t>
            </w:r>
          </w:p>
        </w:tc>
        <w:tc>
          <w:tcPr>
            <w:tcW w:w="2652" w:type="dxa"/>
            <w:tcBorders>
              <w:top w:val="nil"/>
              <w:bottom w:val="single" w:sz="4" w:space="0" w:color="auto"/>
            </w:tcBorders>
            <w:shd w:val="clear" w:color="auto" w:fill="auto"/>
            <w:noWrap/>
            <w:tcMar>
              <w:left w:w="57" w:type="dxa"/>
              <w:right w:w="57" w:type="dxa"/>
            </w:tcMar>
            <w:vAlign w:val="bottom"/>
          </w:tcPr>
          <w:p w:rsidR="0077619C" w:rsidRPr="0077619C" w:rsidRDefault="0077619C" w:rsidP="00CB5442">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6</w:t>
            </w:r>
            <w:r w:rsidR="00CB5442">
              <w:rPr>
                <w:rFonts w:cs="Arial"/>
                <w:sz w:val="18"/>
                <w:szCs w:val="18"/>
                <w:lang w:val="sl-SI"/>
              </w:rPr>
              <w:t>8</w:t>
            </w:r>
            <w:r w:rsidRPr="0077619C">
              <w:rPr>
                <w:rFonts w:cs="Arial"/>
                <w:sz w:val="18"/>
                <w:szCs w:val="18"/>
                <w:lang w:val="sl-SI"/>
              </w:rPr>
              <w:t>.600</w:t>
            </w:r>
          </w:p>
        </w:tc>
        <w:tc>
          <w:tcPr>
            <w:tcW w:w="2849" w:type="dxa"/>
            <w:tcBorders>
              <w:top w:val="nil"/>
              <w:bottom w:val="single" w:sz="4" w:space="0" w:color="auto"/>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w:t>
            </w:r>
          </w:p>
        </w:tc>
      </w:tr>
      <w:tr w:rsidR="0077619C" w:rsidRPr="0077619C" w:rsidTr="0077619C">
        <w:trPr>
          <w:cantSplit/>
          <w:jc w:val="center"/>
        </w:trPr>
        <w:tc>
          <w:tcPr>
            <w:tcW w:w="1701" w:type="dxa"/>
            <w:vMerge w:val="restart"/>
            <w:tcBorders>
              <w:top w:val="single" w:sz="4" w:space="0" w:color="auto"/>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ind w:left="46"/>
              <w:jc w:val="center"/>
              <w:rPr>
                <w:rFonts w:cs="Arial"/>
                <w:sz w:val="18"/>
                <w:szCs w:val="18"/>
                <w:lang w:val="sl-SI"/>
              </w:rPr>
            </w:pPr>
            <w:r w:rsidRPr="0077619C">
              <w:rPr>
                <w:rFonts w:cs="Arial"/>
                <w:sz w:val="18"/>
                <w:szCs w:val="18"/>
                <w:lang w:val="sl-SI"/>
              </w:rPr>
              <w:t>Ob pomembnih železnicah</w:t>
            </w:r>
          </w:p>
        </w:tc>
        <w:tc>
          <w:tcPr>
            <w:tcW w:w="1946" w:type="dxa"/>
            <w:tcBorders>
              <w:top w:val="single" w:sz="4" w:space="0" w:color="auto"/>
              <w:bottom w:val="nil"/>
            </w:tcBorders>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i/>
                <w:iCs/>
                <w:sz w:val="18"/>
                <w:szCs w:val="18"/>
                <w:lang w:val="sl-SI" w:eastAsia="sl-SI"/>
              </w:rPr>
              <w:t>L</w:t>
            </w:r>
            <w:r w:rsidRPr="0077619C">
              <w:rPr>
                <w:rFonts w:cs="Arial"/>
                <w:sz w:val="18"/>
                <w:szCs w:val="18"/>
                <w:vertAlign w:val="subscript"/>
                <w:lang w:val="sl-SI" w:eastAsia="sl-SI"/>
              </w:rPr>
              <w:t>dvn</w:t>
            </w:r>
            <w:r w:rsidRPr="0077619C">
              <w:rPr>
                <w:rFonts w:cs="Arial"/>
                <w:sz w:val="18"/>
                <w:szCs w:val="18"/>
                <w:lang w:val="sl-SI" w:eastAsia="sl-SI"/>
              </w:rPr>
              <w:t xml:space="preserve"> &gt; 65</w:t>
            </w:r>
          </w:p>
        </w:tc>
        <w:tc>
          <w:tcPr>
            <w:tcW w:w="2652" w:type="dxa"/>
            <w:tcBorders>
              <w:top w:val="single" w:sz="4" w:space="0" w:color="auto"/>
              <w:bottom w:val="nil"/>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w:t>
            </w:r>
          </w:p>
        </w:tc>
        <w:tc>
          <w:tcPr>
            <w:tcW w:w="2849" w:type="dxa"/>
            <w:tcBorders>
              <w:top w:val="single" w:sz="4" w:space="0" w:color="auto"/>
              <w:bottom w:val="nil"/>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14.800</w:t>
            </w:r>
          </w:p>
        </w:tc>
      </w:tr>
      <w:tr w:rsidR="0077619C" w:rsidRPr="0077619C" w:rsidTr="0077619C">
        <w:trPr>
          <w:cantSplit/>
          <w:jc w:val="center"/>
        </w:trPr>
        <w:tc>
          <w:tcPr>
            <w:tcW w:w="1701" w:type="dxa"/>
            <w:vMerge/>
            <w:tcBorders>
              <w:bottom w:val="single" w:sz="4" w:space="0" w:color="auto"/>
            </w:tcBorders>
            <w:shd w:val="clear" w:color="auto" w:fill="auto"/>
            <w:noWrap/>
            <w:tcMar>
              <w:left w:w="57" w:type="dxa"/>
              <w:right w:w="57" w:type="dxa"/>
            </w:tcMar>
            <w:vAlign w:val="center"/>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p>
        </w:tc>
        <w:tc>
          <w:tcPr>
            <w:tcW w:w="1946" w:type="dxa"/>
            <w:tcBorders>
              <w:top w:val="nil"/>
              <w:bottom w:val="single" w:sz="4" w:space="0" w:color="auto"/>
            </w:tcBorders>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i/>
                <w:iCs/>
                <w:sz w:val="18"/>
                <w:szCs w:val="18"/>
                <w:lang w:val="sl-SI" w:eastAsia="sl-SI"/>
              </w:rPr>
              <w:t>L</w:t>
            </w:r>
            <w:r w:rsidRPr="0077619C">
              <w:rPr>
                <w:rFonts w:cs="Arial"/>
                <w:sz w:val="18"/>
                <w:szCs w:val="18"/>
                <w:vertAlign w:val="subscript"/>
                <w:lang w:val="sl-SI" w:eastAsia="sl-SI"/>
              </w:rPr>
              <w:t>noč</w:t>
            </w:r>
            <w:r w:rsidRPr="0077619C">
              <w:rPr>
                <w:rFonts w:cs="Arial"/>
                <w:sz w:val="18"/>
                <w:szCs w:val="18"/>
                <w:lang w:val="sl-SI" w:eastAsia="sl-SI"/>
              </w:rPr>
              <w:t xml:space="preserve"> &gt; 55</w:t>
            </w:r>
          </w:p>
        </w:tc>
        <w:tc>
          <w:tcPr>
            <w:tcW w:w="2652" w:type="dxa"/>
            <w:tcBorders>
              <w:top w:val="nil"/>
              <w:bottom w:val="single" w:sz="4" w:space="0" w:color="auto"/>
            </w:tcBorders>
            <w:shd w:val="clear" w:color="auto" w:fill="auto"/>
            <w:noWrap/>
            <w:tcMar>
              <w:left w:w="57" w:type="dxa"/>
              <w:right w:w="57" w:type="dxa"/>
            </w:tcMar>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w:t>
            </w:r>
          </w:p>
        </w:tc>
        <w:tc>
          <w:tcPr>
            <w:tcW w:w="2849" w:type="dxa"/>
            <w:tcBorders>
              <w:top w:val="nil"/>
              <w:bottom w:val="single" w:sz="4" w:space="0" w:color="auto"/>
            </w:tcBorders>
            <w:shd w:val="clear" w:color="auto" w:fill="auto"/>
            <w:vAlign w:val="bottom"/>
          </w:tcPr>
          <w:p w:rsidR="0077619C" w:rsidRPr="0077619C" w:rsidRDefault="0077619C" w:rsidP="0077619C">
            <w:pPr>
              <w:tabs>
                <w:tab w:val="left" w:pos="720"/>
                <w:tab w:val="left" w:pos="1418"/>
                <w:tab w:val="left" w:pos="1701"/>
                <w:tab w:val="left" w:pos="2835"/>
                <w:tab w:val="left" w:pos="4253"/>
                <w:tab w:val="left" w:pos="5670"/>
                <w:tab w:val="left" w:pos="7088"/>
              </w:tabs>
              <w:spacing w:before="120" w:after="60" w:line="240" w:lineRule="auto"/>
              <w:jc w:val="center"/>
              <w:rPr>
                <w:rFonts w:cs="Arial"/>
                <w:sz w:val="18"/>
                <w:szCs w:val="18"/>
                <w:lang w:val="sl-SI"/>
              </w:rPr>
            </w:pPr>
            <w:r w:rsidRPr="0077619C">
              <w:rPr>
                <w:rFonts w:cs="Arial"/>
                <w:sz w:val="18"/>
                <w:szCs w:val="18"/>
                <w:lang w:val="sl-SI"/>
              </w:rPr>
              <w:t>22.200</w:t>
            </w:r>
          </w:p>
        </w:tc>
      </w:tr>
    </w:tbl>
    <w:p w:rsidR="0077619C" w:rsidRPr="0077619C" w:rsidRDefault="0077619C" w:rsidP="0077619C">
      <w:pPr>
        <w:spacing w:after="200" w:line="240" w:lineRule="atLeast"/>
        <w:jc w:val="both"/>
        <w:rPr>
          <w:rFonts w:cs="Arial"/>
          <w:sz w:val="16"/>
          <w:szCs w:val="16"/>
          <w:lang w:val="sl-SI" w:eastAsia="sl-SI"/>
        </w:rPr>
      </w:pPr>
      <w:r w:rsidRPr="0077619C">
        <w:rPr>
          <w:rFonts w:cs="Arial"/>
          <w:sz w:val="16"/>
          <w:szCs w:val="16"/>
          <w:lang w:val="sl-SI" w:eastAsia="sl-SI"/>
        </w:rPr>
        <w:t>(števila v preglednici so zaokrožena na stotice)</w:t>
      </w:r>
    </w:p>
    <w:p w:rsidR="0077619C" w:rsidRPr="0077619C" w:rsidRDefault="0077619C" w:rsidP="0077619C">
      <w:pPr>
        <w:spacing w:after="200" w:line="240" w:lineRule="atLeast"/>
        <w:jc w:val="both"/>
        <w:rPr>
          <w:rFonts w:cs="Arial"/>
          <w:szCs w:val="20"/>
          <w:lang w:val="sl-SI" w:eastAsia="sl-SI"/>
        </w:rPr>
      </w:pPr>
    </w:p>
    <w:p w:rsidR="0077619C" w:rsidRPr="0077619C" w:rsidRDefault="0077619C" w:rsidP="0077619C">
      <w:pPr>
        <w:keepNext/>
        <w:spacing w:after="200" w:line="240" w:lineRule="atLeast"/>
        <w:jc w:val="both"/>
        <w:outlineLvl w:val="1"/>
        <w:rPr>
          <w:rFonts w:cs="Arial"/>
          <w:b/>
          <w:bCs/>
          <w:szCs w:val="20"/>
          <w:u w:val="single"/>
          <w:lang w:val="sl-SI" w:eastAsia="sl-SI"/>
        </w:rPr>
      </w:pPr>
      <w:bookmarkStart w:id="42" w:name="_Toc461059122"/>
      <w:bookmarkStart w:id="43" w:name="_Toc246937077"/>
      <w:r w:rsidRPr="0077619C">
        <w:rPr>
          <w:rFonts w:cs="Arial"/>
          <w:b/>
          <w:bCs/>
          <w:szCs w:val="20"/>
          <w:u w:val="single"/>
          <w:lang w:val="sl-SI" w:eastAsia="sl-SI"/>
        </w:rPr>
        <w:t>1</w:t>
      </w:r>
      <w:r w:rsidR="00406445">
        <w:rPr>
          <w:rFonts w:cs="Arial"/>
          <w:b/>
          <w:bCs/>
          <w:szCs w:val="20"/>
          <w:u w:val="single"/>
          <w:lang w:val="sl-SI" w:eastAsia="sl-SI"/>
        </w:rPr>
        <w:t>1</w:t>
      </w:r>
      <w:r w:rsidRPr="0077619C">
        <w:rPr>
          <w:rFonts w:cs="Arial"/>
          <w:b/>
          <w:bCs/>
          <w:szCs w:val="20"/>
          <w:u w:val="single"/>
          <w:lang w:val="sl-SI" w:eastAsia="sl-SI"/>
        </w:rPr>
        <w:t>.</w:t>
      </w:r>
      <w:r w:rsidR="002B6ED6">
        <w:rPr>
          <w:rFonts w:cs="Arial"/>
          <w:b/>
          <w:bCs/>
          <w:szCs w:val="20"/>
          <w:u w:val="single"/>
          <w:lang w:val="sl-SI" w:eastAsia="sl-SI"/>
        </w:rPr>
        <w:t>4</w:t>
      </w:r>
      <w:r w:rsidRPr="0077619C">
        <w:rPr>
          <w:rFonts w:cs="Arial"/>
          <w:b/>
          <w:bCs/>
          <w:szCs w:val="20"/>
          <w:u w:val="single"/>
          <w:lang w:val="sl-SI" w:eastAsia="sl-SI"/>
        </w:rPr>
        <w:t xml:space="preserve"> Obvladovanje obremenjevanja</w:t>
      </w:r>
      <w:bookmarkEnd w:id="42"/>
      <w:r w:rsidRPr="0077619C">
        <w:rPr>
          <w:rFonts w:cs="Arial"/>
          <w:b/>
          <w:bCs/>
          <w:szCs w:val="20"/>
          <w:u w:val="single"/>
          <w:lang w:val="sl-SI" w:eastAsia="sl-SI"/>
        </w:rPr>
        <w:t xml:space="preserve"> s hrupom v okolju</w:t>
      </w:r>
    </w:p>
    <w:p w:rsidR="0077619C" w:rsidRPr="0077619C" w:rsidRDefault="0077619C" w:rsidP="0077619C">
      <w:pPr>
        <w:spacing w:after="200" w:line="240" w:lineRule="atLeast"/>
        <w:jc w:val="both"/>
        <w:rPr>
          <w:rFonts w:cs="Arial"/>
          <w:szCs w:val="20"/>
          <w:lang w:val="sl-SI" w:eastAsia="sl-SI"/>
        </w:rPr>
      </w:pPr>
      <w:r w:rsidRPr="0077619C">
        <w:rPr>
          <w:rFonts w:cs="Arial"/>
          <w:szCs w:val="20"/>
          <w:lang w:val="sl-SI" w:eastAsia="sl-SI"/>
        </w:rPr>
        <w:t xml:space="preserve">V Sloveniji </w:t>
      </w:r>
      <w:r w:rsidR="00CB5442">
        <w:rPr>
          <w:rFonts w:cs="Arial"/>
          <w:szCs w:val="20"/>
          <w:lang w:val="sl-SI" w:eastAsia="sl-SI"/>
        </w:rPr>
        <w:t xml:space="preserve">predpisi na področju hrupa v okolju veljajo za vire hrupa, </w:t>
      </w:r>
      <w:r w:rsidRPr="0077619C">
        <w:rPr>
          <w:rFonts w:cs="Arial"/>
          <w:szCs w:val="20"/>
          <w:lang w:val="sl-SI" w:eastAsia="sl-SI"/>
        </w:rPr>
        <w:t xml:space="preserve">ki obremenjujejo večje število ljudi.  </w:t>
      </w:r>
    </w:p>
    <w:p w:rsidR="0077619C" w:rsidRPr="0077619C" w:rsidRDefault="0077619C" w:rsidP="0077619C">
      <w:pPr>
        <w:spacing w:after="200" w:line="240" w:lineRule="atLeast"/>
        <w:jc w:val="both"/>
        <w:rPr>
          <w:rFonts w:cs="Arial"/>
          <w:szCs w:val="20"/>
          <w:lang w:val="sl-SI" w:eastAsia="sl-SI"/>
        </w:rPr>
      </w:pPr>
      <w:r w:rsidRPr="0077619C">
        <w:rPr>
          <w:rFonts w:cs="Arial"/>
          <w:szCs w:val="20"/>
          <w:lang w:val="sl-SI" w:eastAsia="sl-SI"/>
        </w:rPr>
        <w:t>Za del takih virov hrupa (lokacije, kjer potekajo industrijske dejavnosti) se v okoljevarstvenih dovoljenjih določijo pogoji njihovega obratovanja z vidika obvladovanja hrupa v okolju, upravljavci industrijskih dejavnosti so dolžni zagotoviti občasni monitoring hrupa, na kraju samem pa se izvaja inšpekcijski nadzor.</w:t>
      </w:r>
    </w:p>
    <w:p w:rsidR="0077619C" w:rsidRPr="0077619C" w:rsidRDefault="0077619C" w:rsidP="0077619C">
      <w:pPr>
        <w:autoSpaceDE w:val="0"/>
        <w:autoSpaceDN w:val="0"/>
        <w:adjustRightInd w:val="0"/>
        <w:spacing w:line="240" w:lineRule="auto"/>
        <w:jc w:val="both"/>
        <w:rPr>
          <w:rFonts w:cs="Arial"/>
          <w:szCs w:val="20"/>
          <w:lang w:val="sl-SI" w:eastAsia="sl-SI"/>
        </w:rPr>
      </w:pPr>
      <w:r w:rsidRPr="0077619C">
        <w:rPr>
          <w:rFonts w:cs="Arial"/>
          <w:szCs w:val="20"/>
          <w:lang w:val="sl-SI" w:eastAsia="sl-SI"/>
        </w:rPr>
        <w:t>Obvladovanje hrupa v okolju, ki nastaja zaradi prometa po prometno najbolj obremenjenih cestah in železnicah, pa se načrtuje z državnimi operativnimi programi, s katerimi se na podlagi strateških kart hrupa določijo predvsem prednostna področja za zmanjšanje hrupa ali za zmanjšanje števila izpostavljenih prebivalcev. Obvezna vsebina teh programov je na ravni EU določena za vse članice. Z operativnimi programi in na podlagi strateških kart hrupa se načrtuje tudi obvladovanje hrupa v okolju v večjih strnjenih poselitvenih območjih. Za pripravo operativnih programov je odgovoren MOP.</w:t>
      </w:r>
    </w:p>
    <w:p w:rsidR="0077619C" w:rsidRPr="0077619C" w:rsidRDefault="0077619C" w:rsidP="0077619C">
      <w:pPr>
        <w:autoSpaceDE w:val="0"/>
        <w:autoSpaceDN w:val="0"/>
        <w:adjustRightInd w:val="0"/>
        <w:spacing w:line="240" w:lineRule="auto"/>
        <w:jc w:val="both"/>
        <w:rPr>
          <w:rFonts w:cs="Arial"/>
          <w:szCs w:val="20"/>
          <w:lang w:val="sl-SI" w:eastAsia="sl-SI"/>
        </w:rPr>
      </w:pPr>
    </w:p>
    <w:p w:rsidR="0077619C" w:rsidRPr="0077619C" w:rsidRDefault="0077619C" w:rsidP="0077619C">
      <w:pPr>
        <w:autoSpaceDE w:val="0"/>
        <w:autoSpaceDN w:val="0"/>
        <w:adjustRightInd w:val="0"/>
        <w:spacing w:line="240" w:lineRule="auto"/>
        <w:jc w:val="both"/>
        <w:rPr>
          <w:rFonts w:eastAsiaTheme="minorHAnsi" w:cs="Arial"/>
          <w:bCs/>
          <w:szCs w:val="20"/>
          <w:lang w:val="sl-SI"/>
        </w:rPr>
      </w:pPr>
      <w:r w:rsidRPr="0077619C">
        <w:rPr>
          <w:rFonts w:cs="Arial"/>
          <w:szCs w:val="20"/>
          <w:lang w:val="sl-SI" w:eastAsia="sl-SI"/>
        </w:rPr>
        <w:t xml:space="preserve">V Sloveniji </w:t>
      </w:r>
      <w:r w:rsidR="00CB5442">
        <w:rPr>
          <w:rFonts w:cs="Arial"/>
          <w:szCs w:val="20"/>
          <w:lang w:val="sl-SI" w:eastAsia="sl-SI"/>
        </w:rPr>
        <w:t xml:space="preserve">je bil izdelan </w:t>
      </w:r>
      <w:r w:rsidRPr="0077619C">
        <w:rPr>
          <w:rFonts w:cs="Arial"/>
          <w:szCs w:val="20"/>
          <w:lang w:val="sl-SI" w:eastAsia="sl-SI"/>
        </w:rPr>
        <w:t>Operativni program varstva pred hrupom, ki g</w:t>
      </w:r>
      <w:r w:rsidRPr="0077619C">
        <w:rPr>
          <w:rFonts w:eastAsiaTheme="minorHAnsi" w:cs="Arial"/>
          <w:bCs/>
          <w:szCs w:val="20"/>
          <w:lang w:val="sl-SI"/>
        </w:rPr>
        <w:t xml:space="preserve">a povzroča promet po pomembnih železniških progah in pomembnih cestah prve faze zunaj območja MOL za obdobje 2012–2017. </w:t>
      </w:r>
    </w:p>
    <w:p w:rsidR="0077619C" w:rsidRPr="0077619C" w:rsidRDefault="0077619C" w:rsidP="0077619C">
      <w:pPr>
        <w:autoSpaceDE w:val="0"/>
        <w:autoSpaceDN w:val="0"/>
        <w:adjustRightInd w:val="0"/>
        <w:spacing w:line="240" w:lineRule="auto"/>
        <w:jc w:val="both"/>
        <w:rPr>
          <w:rFonts w:cs="Arial"/>
          <w:szCs w:val="20"/>
          <w:lang w:val="sl-SI" w:eastAsia="sl-SI"/>
        </w:rPr>
      </w:pPr>
    </w:p>
    <w:p w:rsidR="0077619C" w:rsidRPr="0077619C" w:rsidRDefault="0077619C" w:rsidP="0077619C">
      <w:pPr>
        <w:spacing w:after="200" w:line="240" w:lineRule="atLeast"/>
        <w:jc w:val="both"/>
        <w:rPr>
          <w:rFonts w:cs="Arial"/>
          <w:szCs w:val="20"/>
          <w:lang w:val="sl-SI" w:eastAsia="sl-SI"/>
        </w:rPr>
      </w:pPr>
      <w:r w:rsidRPr="0077619C">
        <w:rPr>
          <w:rFonts w:cs="Arial"/>
          <w:szCs w:val="20"/>
          <w:lang w:val="sl-SI" w:eastAsia="sl-SI"/>
        </w:rPr>
        <w:t xml:space="preserve">Neodvisno od strateških kart hrupa in državnih operativnih </w:t>
      </w:r>
      <w:r w:rsidR="00CB5442">
        <w:rPr>
          <w:rFonts w:cs="Arial"/>
          <w:szCs w:val="20"/>
          <w:lang w:val="sl-SI" w:eastAsia="sl-SI"/>
        </w:rPr>
        <w:t xml:space="preserve">programov </w:t>
      </w:r>
      <w:r w:rsidRPr="0077619C">
        <w:rPr>
          <w:rFonts w:cs="Arial"/>
          <w:szCs w:val="20"/>
          <w:lang w:val="sl-SI" w:eastAsia="sl-SI"/>
        </w:rPr>
        <w:t xml:space="preserve">pa občine v Sloveniji ukrepe za obvladovanje hrupa načrtujejo tudi samostojno in v kombinaciji z ukrepi prometne politike ali drugimi ukrepi varstva okolja kot so na primer ukrepi za izboljšanje kakovosti zraka. </w:t>
      </w:r>
    </w:p>
    <w:p w:rsidR="0077619C" w:rsidRPr="0077619C" w:rsidRDefault="0077619C" w:rsidP="0077619C">
      <w:pPr>
        <w:spacing w:after="200" w:line="240" w:lineRule="atLeast"/>
        <w:jc w:val="both"/>
        <w:rPr>
          <w:rFonts w:cs="Arial"/>
          <w:szCs w:val="20"/>
          <w:lang w:val="sl-SI" w:eastAsia="sl-SI"/>
        </w:rPr>
      </w:pPr>
      <w:r w:rsidRPr="0077619C">
        <w:rPr>
          <w:rFonts w:cs="Arial"/>
          <w:szCs w:val="20"/>
          <w:lang w:val="sl-SI" w:eastAsia="sl-SI"/>
        </w:rPr>
        <w:t xml:space="preserve">K obvladovanju hrupa v okolju lahko pomembno prispevajo upravljavci prometne infrastrukture pri vzdrževanju obstoječe infrastrukture in načrtovanju novih prometnih poti. Pomembno vlogo pri obvladovanju hrupa imajo tudi prostorski načrtovalci, ki z umnim razporejanjem dejavnosti v prostoru lahko pripomorejo k zmanjšani obremenjenosti s hrupom v okolju.   </w:t>
      </w:r>
    </w:p>
    <w:p w:rsidR="0077619C" w:rsidRPr="0077619C" w:rsidRDefault="0077619C" w:rsidP="0077619C">
      <w:pPr>
        <w:spacing w:after="200" w:line="240" w:lineRule="atLeast"/>
        <w:jc w:val="both"/>
        <w:rPr>
          <w:rFonts w:cs="Arial"/>
          <w:szCs w:val="20"/>
          <w:lang w:val="sl-SI" w:eastAsia="sl-SI"/>
        </w:rPr>
      </w:pPr>
    </w:p>
    <w:p w:rsidR="0077619C" w:rsidRPr="0077619C" w:rsidRDefault="0077619C" w:rsidP="0077619C">
      <w:pPr>
        <w:keepNext/>
        <w:spacing w:after="200" w:line="240" w:lineRule="atLeast"/>
        <w:jc w:val="both"/>
        <w:outlineLvl w:val="1"/>
        <w:rPr>
          <w:rFonts w:cs="Arial"/>
          <w:b/>
          <w:bCs/>
          <w:szCs w:val="20"/>
          <w:u w:val="single"/>
          <w:lang w:val="sl-SI" w:eastAsia="sl-SI"/>
        </w:rPr>
      </w:pPr>
      <w:bookmarkStart w:id="44" w:name="_Toc461059123"/>
      <w:bookmarkEnd w:id="43"/>
      <w:r w:rsidRPr="0077619C">
        <w:rPr>
          <w:rFonts w:cs="Arial"/>
          <w:b/>
          <w:bCs/>
          <w:szCs w:val="20"/>
          <w:u w:val="single"/>
          <w:lang w:val="sl-SI" w:eastAsia="sl-SI"/>
        </w:rPr>
        <w:t>1</w:t>
      </w:r>
      <w:r w:rsidR="00406445">
        <w:rPr>
          <w:rFonts w:cs="Arial"/>
          <w:b/>
          <w:bCs/>
          <w:szCs w:val="20"/>
          <w:u w:val="single"/>
          <w:lang w:val="sl-SI" w:eastAsia="sl-SI"/>
        </w:rPr>
        <w:t>1</w:t>
      </w:r>
      <w:r w:rsidRPr="0077619C">
        <w:rPr>
          <w:rFonts w:cs="Arial"/>
          <w:b/>
          <w:bCs/>
          <w:szCs w:val="20"/>
          <w:u w:val="single"/>
          <w:lang w:val="sl-SI" w:eastAsia="sl-SI"/>
        </w:rPr>
        <w:t>.</w:t>
      </w:r>
      <w:r w:rsidR="002B6ED6">
        <w:rPr>
          <w:rFonts w:cs="Arial"/>
          <w:b/>
          <w:bCs/>
          <w:szCs w:val="20"/>
          <w:u w:val="single"/>
          <w:lang w:val="sl-SI" w:eastAsia="sl-SI"/>
        </w:rPr>
        <w:t>5</w:t>
      </w:r>
      <w:r w:rsidRPr="0077619C">
        <w:rPr>
          <w:rFonts w:cs="Arial"/>
          <w:b/>
          <w:bCs/>
          <w:szCs w:val="20"/>
          <w:u w:val="single"/>
          <w:lang w:val="sl-SI" w:eastAsia="sl-SI"/>
        </w:rPr>
        <w:t xml:space="preserve"> Napotki za prihodnja ravnanja</w:t>
      </w:r>
      <w:bookmarkEnd w:id="44"/>
    </w:p>
    <w:p w:rsidR="0077619C" w:rsidRPr="0077619C" w:rsidRDefault="0077619C" w:rsidP="0077619C">
      <w:pPr>
        <w:spacing w:after="200" w:line="240" w:lineRule="atLeast"/>
        <w:jc w:val="both"/>
        <w:rPr>
          <w:rFonts w:cs="Arial"/>
          <w:szCs w:val="20"/>
          <w:lang w:val="sl-SI" w:eastAsia="sl-SI"/>
        </w:rPr>
      </w:pPr>
      <w:r w:rsidRPr="0077619C">
        <w:rPr>
          <w:rFonts w:cs="Arial"/>
          <w:szCs w:val="20"/>
          <w:lang w:val="sl-SI" w:eastAsia="sl-SI"/>
        </w:rPr>
        <w:t>V prihodnje bo na državni ravni (MOP) treba prednostno izdelati programe ukrepov za obvladovanje hrupa na območjih v bližini pomembnih cest in železnic ter strnjenih poselitvenih območij Maribora in Ljubljane.</w:t>
      </w:r>
    </w:p>
    <w:p w:rsidR="0077619C" w:rsidRPr="0077619C" w:rsidRDefault="0077619C" w:rsidP="0077619C">
      <w:pPr>
        <w:spacing w:after="200" w:line="240" w:lineRule="atLeast"/>
        <w:jc w:val="both"/>
        <w:rPr>
          <w:rFonts w:cs="Arial"/>
          <w:szCs w:val="20"/>
          <w:highlight w:val="cyan"/>
          <w:u w:val="single"/>
          <w:lang w:val="sl-SI" w:eastAsia="sl-SI"/>
        </w:rPr>
      </w:pPr>
    </w:p>
    <w:p w:rsidR="0077619C" w:rsidRPr="0077619C" w:rsidRDefault="0077619C" w:rsidP="0077619C">
      <w:pPr>
        <w:keepNext/>
        <w:spacing w:after="200" w:line="240" w:lineRule="atLeast"/>
        <w:jc w:val="both"/>
        <w:outlineLvl w:val="1"/>
        <w:rPr>
          <w:rFonts w:cs="Arial"/>
          <w:b/>
          <w:szCs w:val="20"/>
          <w:u w:val="single"/>
          <w:lang w:val="sl-SI" w:eastAsia="sl-SI"/>
        </w:rPr>
      </w:pPr>
      <w:bookmarkStart w:id="45" w:name="_Toc263176300"/>
      <w:bookmarkStart w:id="46" w:name="_Toc263182029"/>
      <w:bookmarkStart w:id="47" w:name="_Toc461059125"/>
      <w:r w:rsidRPr="0077619C">
        <w:rPr>
          <w:rFonts w:cs="Arial"/>
          <w:b/>
          <w:szCs w:val="20"/>
          <w:u w:val="single"/>
          <w:lang w:val="sl-SI" w:eastAsia="sl-SI"/>
        </w:rPr>
        <w:t>1</w:t>
      </w:r>
      <w:r w:rsidR="00406445">
        <w:rPr>
          <w:rFonts w:cs="Arial"/>
          <w:b/>
          <w:szCs w:val="20"/>
          <w:u w:val="single"/>
          <w:lang w:val="sl-SI" w:eastAsia="sl-SI"/>
        </w:rPr>
        <w:t>1</w:t>
      </w:r>
      <w:r w:rsidRPr="0077619C">
        <w:rPr>
          <w:rFonts w:cs="Arial"/>
          <w:b/>
          <w:szCs w:val="20"/>
          <w:u w:val="single"/>
          <w:lang w:val="sl-SI" w:eastAsia="sl-SI"/>
        </w:rPr>
        <w:t>.</w:t>
      </w:r>
      <w:r w:rsidR="002B6ED6">
        <w:rPr>
          <w:rFonts w:cs="Arial"/>
          <w:b/>
          <w:szCs w:val="20"/>
          <w:u w:val="single"/>
          <w:lang w:val="sl-SI" w:eastAsia="sl-SI"/>
        </w:rPr>
        <w:t>6</w:t>
      </w:r>
      <w:r w:rsidRPr="0077619C">
        <w:rPr>
          <w:rFonts w:cs="Arial"/>
          <w:b/>
          <w:szCs w:val="20"/>
          <w:u w:val="single"/>
          <w:lang w:val="sl-SI" w:eastAsia="sl-SI"/>
        </w:rPr>
        <w:t xml:space="preserve"> Viri</w:t>
      </w:r>
      <w:bookmarkEnd w:id="45"/>
      <w:bookmarkEnd w:id="46"/>
      <w:r w:rsidRPr="0077619C">
        <w:rPr>
          <w:rFonts w:cs="Arial"/>
          <w:b/>
          <w:szCs w:val="20"/>
          <w:u w:val="single"/>
          <w:lang w:val="sl-SI" w:eastAsia="sl-SI"/>
        </w:rPr>
        <w:t xml:space="preserve"> in literatura</w:t>
      </w:r>
      <w:bookmarkEnd w:id="47"/>
    </w:p>
    <w:p w:rsidR="0077619C" w:rsidRPr="0077619C" w:rsidRDefault="0077619C" w:rsidP="0077619C">
      <w:pPr>
        <w:spacing w:after="200" w:line="240" w:lineRule="atLeast"/>
        <w:jc w:val="both"/>
        <w:rPr>
          <w:rFonts w:cs="Arial"/>
          <w:szCs w:val="20"/>
          <w:lang w:val="sl-SI" w:eastAsia="sl-SI"/>
        </w:rPr>
      </w:pPr>
      <w:r w:rsidRPr="0077619C">
        <w:rPr>
          <w:rFonts w:cs="Arial"/>
          <w:szCs w:val="20"/>
          <w:lang w:val="sl-SI" w:eastAsia="sl-SI"/>
        </w:rPr>
        <w:t xml:space="preserve">PNZ d.o.o., EPI SPEKTRUM d.o.o., A-PROJEKT d.o.o.. 2014. Izvedba obratovalnega monitoringa obremenitve s hrupom za omrežje cest v upravljanju DARS d.d.. </w:t>
      </w:r>
    </w:p>
    <w:p w:rsidR="0077619C" w:rsidRPr="0077619C" w:rsidRDefault="0077619C" w:rsidP="0077619C">
      <w:pPr>
        <w:spacing w:after="200" w:line="240" w:lineRule="atLeast"/>
        <w:jc w:val="both"/>
        <w:rPr>
          <w:rFonts w:cs="Arial"/>
          <w:szCs w:val="20"/>
          <w:lang w:val="sl-SI" w:eastAsia="sl-SI"/>
        </w:rPr>
      </w:pPr>
      <w:r w:rsidRPr="0077619C">
        <w:rPr>
          <w:rFonts w:cs="Arial"/>
          <w:szCs w:val="20"/>
          <w:lang w:val="sl-SI" w:eastAsia="sl-SI"/>
        </w:rPr>
        <w:t>EPI SPEKTRUM d.o.o.,  A-PROJEKT d.o.o., PNZ d.o.o..2013. Obratovalni monitoring hrupa za ceste z več kot 3 milijone prevozov vozil letno, ki so v upravljanju Direkcije Republike Slovenije za ceste</w:t>
      </w:r>
    </w:p>
    <w:p w:rsidR="0077619C" w:rsidRPr="0077619C" w:rsidRDefault="0077619C" w:rsidP="0077619C">
      <w:pPr>
        <w:spacing w:after="200" w:line="240" w:lineRule="atLeast"/>
        <w:jc w:val="both"/>
        <w:rPr>
          <w:rFonts w:cs="Arial"/>
          <w:szCs w:val="20"/>
          <w:lang w:val="sl-SI" w:eastAsia="sl-SI"/>
        </w:rPr>
      </w:pPr>
      <w:r w:rsidRPr="0077619C">
        <w:rPr>
          <w:rFonts w:cs="Arial"/>
          <w:szCs w:val="20"/>
          <w:lang w:val="sl-SI" w:eastAsia="sl-SI"/>
        </w:rPr>
        <w:t>EPI SPEKTRUM d.o.o., A-PROJEKT d.o.o., PNZ d.o.o..2014 in 2015. Strateške karte hrupa za pomembne železniške proge v Republiki Sloveniji ter za ostale železniške proge na območjih Mestne občine Ljubljana in Mestne občine Maribor</w:t>
      </w:r>
    </w:p>
    <w:p w:rsidR="0077619C" w:rsidRPr="0077619C" w:rsidRDefault="0077619C" w:rsidP="0077619C">
      <w:pPr>
        <w:spacing w:after="200" w:line="240" w:lineRule="atLeast"/>
        <w:jc w:val="both"/>
        <w:rPr>
          <w:rFonts w:cs="Arial"/>
          <w:szCs w:val="20"/>
          <w:lang w:val="sl-SI" w:eastAsia="sl-SI"/>
        </w:rPr>
      </w:pPr>
      <w:r w:rsidRPr="0077619C">
        <w:rPr>
          <w:rFonts w:cs="Arial"/>
          <w:szCs w:val="20"/>
          <w:lang w:val="sl-SI" w:eastAsia="sl-SI"/>
        </w:rPr>
        <w:t>A-PROJEKT d.o.o., PNZ d.o.o..2014. Novelacija karte hrupa za Mestno občino Ljubljana</w:t>
      </w:r>
    </w:p>
    <w:p w:rsidR="0077619C" w:rsidRPr="0077619C" w:rsidRDefault="0077619C" w:rsidP="0077619C">
      <w:pPr>
        <w:spacing w:after="200" w:line="240" w:lineRule="atLeast"/>
        <w:jc w:val="both"/>
        <w:rPr>
          <w:rFonts w:cs="Arial"/>
          <w:szCs w:val="20"/>
          <w:lang w:val="sl-SI" w:eastAsia="sl-SI"/>
        </w:rPr>
      </w:pPr>
      <w:r w:rsidRPr="0077619C">
        <w:rPr>
          <w:rFonts w:cs="Arial"/>
          <w:szCs w:val="20"/>
          <w:lang w:val="sl-SI" w:eastAsia="sl-SI"/>
        </w:rPr>
        <w:t xml:space="preserve">EPI SPEKTRUM d.o.o.. 2014. Strateška karta hrupa mesta Maribor za leto 2011 </w:t>
      </w:r>
    </w:p>
    <w:p w:rsidR="0077619C" w:rsidRPr="00993FB7" w:rsidRDefault="0077619C" w:rsidP="002B6ED6">
      <w:pPr>
        <w:pStyle w:val="Naslov1"/>
        <w:rPr>
          <w:rFonts w:eastAsia="Calibri"/>
        </w:rPr>
      </w:pPr>
    </w:p>
    <w:p w:rsidR="00993FB7" w:rsidRPr="00993FB7" w:rsidRDefault="00406445" w:rsidP="00DE3B10">
      <w:pPr>
        <w:spacing w:after="360" w:line="276" w:lineRule="auto"/>
        <w:rPr>
          <w:rFonts w:eastAsiaTheme="minorHAnsi" w:cs="Arial"/>
          <w:b/>
          <w:bCs/>
          <w:color w:val="FF0000"/>
          <w:sz w:val="22"/>
          <w:szCs w:val="22"/>
          <w:lang w:val="sl-SI"/>
        </w:rPr>
      </w:pPr>
      <w:r>
        <w:rPr>
          <w:rFonts w:eastAsia="Calibri" w:cs="Arial"/>
          <w:b/>
          <w:color w:val="000000" w:themeColor="text1"/>
          <w:sz w:val="22"/>
          <w:szCs w:val="22"/>
          <w:lang w:val="sl-SI"/>
        </w:rPr>
        <w:br w:type="column"/>
      </w:r>
      <w:r w:rsidR="00993FB7" w:rsidRPr="00993FB7">
        <w:rPr>
          <w:rFonts w:eastAsia="Calibri" w:cs="Arial"/>
          <w:b/>
          <w:color w:val="000000" w:themeColor="text1"/>
          <w:sz w:val="22"/>
          <w:szCs w:val="22"/>
          <w:lang w:val="sl-SI"/>
        </w:rPr>
        <w:t>1</w:t>
      </w:r>
      <w:r>
        <w:rPr>
          <w:rFonts w:eastAsia="Calibri" w:cs="Arial"/>
          <w:b/>
          <w:color w:val="000000" w:themeColor="text1"/>
          <w:sz w:val="22"/>
          <w:szCs w:val="22"/>
          <w:lang w:val="sl-SI"/>
        </w:rPr>
        <w:t>2</w:t>
      </w:r>
      <w:r w:rsidR="00993FB7" w:rsidRPr="00993FB7">
        <w:rPr>
          <w:rFonts w:eastAsia="Calibri" w:cs="Arial"/>
          <w:b/>
          <w:color w:val="000000" w:themeColor="text1"/>
          <w:sz w:val="22"/>
          <w:szCs w:val="22"/>
          <w:lang w:val="sl-SI"/>
        </w:rPr>
        <w:t xml:space="preserve"> </w:t>
      </w:r>
      <w:r w:rsidR="00993FB7" w:rsidRPr="00993FB7">
        <w:rPr>
          <w:rFonts w:eastAsiaTheme="minorHAnsi" w:cs="Arial"/>
          <w:b/>
          <w:bCs/>
          <w:color w:val="000000" w:themeColor="text1"/>
          <w:sz w:val="22"/>
          <w:szCs w:val="22"/>
          <w:lang w:val="sl-SI"/>
        </w:rPr>
        <w:t>ELEKTROMAGNETNA</w:t>
      </w:r>
      <w:r w:rsidR="00B31BA6">
        <w:rPr>
          <w:rFonts w:eastAsiaTheme="minorHAnsi" w:cs="Arial"/>
          <w:b/>
          <w:bCs/>
          <w:color w:val="000000" w:themeColor="text1"/>
          <w:sz w:val="22"/>
          <w:szCs w:val="22"/>
          <w:lang w:val="sl-SI"/>
        </w:rPr>
        <w:t xml:space="preserve"> </w:t>
      </w:r>
      <w:r w:rsidR="00993FB7" w:rsidRPr="00993FB7">
        <w:rPr>
          <w:rFonts w:eastAsiaTheme="minorHAnsi" w:cs="Arial"/>
          <w:b/>
          <w:bCs/>
          <w:color w:val="000000" w:themeColor="text1"/>
          <w:sz w:val="22"/>
          <w:szCs w:val="22"/>
          <w:lang w:val="sl-SI"/>
        </w:rPr>
        <w:t xml:space="preserve">SEVANJA V OKOLJU </w:t>
      </w:r>
    </w:p>
    <w:p w:rsidR="00993FB7" w:rsidRPr="00993FB7" w:rsidRDefault="002C4C44" w:rsidP="00993FB7">
      <w:pPr>
        <w:autoSpaceDE w:val="0"/>
        <w:autoSpaceDN w:val="0"/>
        <w:adjustRightInd w:val="0"/>
        <w:spacing w:after="200" w:line="276" w:lineRule="auto"/>
        <w:rPr>
          <w:rFonts w:eastAsiaTheme="minorHAnsi" w:cs="Arial"/>
          <w:b/>
          <w:bCs/>
          <w:szCs w:val="20"/>
          <w:u w:val="single"/>
          <w:lang w:val="sl-SI"/>
        </w:rPr>
      </w:pPr>
      <w:r>
        <w:rPr>
          <w:rFonts w:eastAsiaTheme="minorHAnsi" w:cs="Arial"/>
          <w:b/>
          <w:szCs w:val="20"/>
          <w:u w:val="single"/>
          <w:lang w:val="sl-SI"/>
        </w:rPr>
        <w:t>1</w:t>
      </w:r>
      <w:r w:rsidR="00DE3B10">
        <w:rPr>
          <w:rFonts w:eastAsiaTheme="minorHAnsi" w:cs="Arial"/>
          <w:b/>
          <w:szCs w:val="20"/>
          <w:u w:val="single"/>
          <w:lang w:val="sl-SI"/>
        </w:rPr>
        <w:t>2</w:t>
      </w:r>
      <w:r w:rsidR="00993FB7" w:rsidRPr="00993FB7">
        <w:rPr>
          <w:rFonts w:eastAsiaTheme="minorHAnsi" w:cs="Arial"/>
          <w:b/>
          <w:szCs w:val="20"/>
          <w:u w:val="single"/>
          <w:lang w:val="sl-SI"/>
        </w:rPr>
        <w:t xml:space="preserve">.1 </w:t>
      </w:r>
      <w:r w:rsidR="00993FB7" w:rsidRPr="00993FB7">
        <w:rPr>
          <w:rFonts w:eastAsiaTheme="minorHAnsi" w:cs="Arial"/>
          <w:b/>
          <w:bCs/>
          <w:szCs w:val="20"/>
          <w:u w:val="single"/>
          <w:lang w:val="sl-SI"/>
        </w:rPr>
        <w:t>Povzetek</w:t>
      </w:r>
    </w:p>
    <w:p w:rsidR="00993FB7" w:rsidRPr="00993FB7" w:rsidRDefault="00993FB7" w:rsidP="00993FB7">
      <w:pPr>
        <w:autoSpaceDE w:val="0"/>
        <w:autoSpaceDN w:val="0"/>
        <w:adjustRightInd w:val="0"/>
        <w:spacing w:after="200" w:line="276" w:lineRule="auto"/>
        <w:jc w:val="both"/>
        <w:rPr>
          <w:rFonts w:eastAsiaTheme="minorHAnsi" w:cs="Arial"/>
          <w:color w:val="000000"/>
          <w:szCs w:val="20"/>
          <w:lang w:val="sl-SI"/>
        </w:rPr>
      </w:pPr>
      <w:r w:rsidRPr="00993FB7">
        <w:rPr>
          <w:rFonts w:eastAsiaTheme="minorHAnsi" w:cs="Arial"/>
          <w:color w:val="000000"/>
          <w:szCs w:val="20"/>
          <w:lang w:val="sl-SI"/>
        </w:rPr>
        <w:t xml:space="preserve">Elektromagnetno sevanje (EMS) je sevanje, ki pri uporabi ali obratovanju vira sevanja v njegovi bližnji ali daljni okolici povzroča elektromagnetno polje, in tako </w:t>
      </w:r>
      <w:r w:rsidR="00FF2BD0">
        <w:rPr>
          <w:rFonts w:eastAsiaTheme="minorHAnsi" w:cs="Arial"/>
          <w:color w:val="000000"/>
          <w:szCs w:val="20"/>
          <w:lang w:val="sl-SI"/>
        </w:rPr>
        <w:t xml:space="preserve">lahko </w:t>
      </w:r>
      <w:r w:rsidR="002C4C44">
        <w:rPr>
          <w:rFonts w:eastAsiaTheme="minorHAnsi" w:cs="Arial"/>
          <w:color w:val="000000"/>
          <w:szCs w:val="20"/>
          <w:lang w:val="sl-SI"/>
        </w:rPr>
        <w:t xml:space="preserve">pomeni </w:t>
      </w:r>
      <w:r w:rsidRPr="00993FB7">
        <w:rPr>
          <w:rFonts w:eastAsiaTheme="minorHAnsi" w:cs="Arial"/>
          <w:color w:val="000000"/>
          <w:szCs w:val="20"/>
          <w:lang w:val="sl-SI"/>
        </w:rPr>
        <w:t xml:space="preserve">tveganje za škodljive učinke na zdravje človeka. </w:t>
      </w:r>
    </w:p>
    <w:p w:rsidR="00993FB7" w:rsidRPr="00993FB7" w:rsidRDefault="00993FB7" w:rsidP="00993FB7">
      <w:pPr>
        <w:autoSpaceDE w:val="0"/>
        <w:autoSpaceDN w:val="0"/>
        <w:adjustRightInd w:val="0"/>
        <w:spacing w:after="200" w:line="276" w:lineRule="auto"/>
        <w:jc w:val="both"/>
        <w:rPr>
          <w:rFonts w:eastAsiaTheme="minorHAnsi" w:cs="Arial"/>
          <w:color w:val="000000"/>
          <w:szCs w:val="20"/>
          <w:lang w:val="sl-SI"/>
        </w:rPr>
      </w:pPr>
      <w:r w:rsidRPr="00993FB7">
        <w:rPr>
          <w:rFonts w:eastAsiaTheme="minorHAnsi" w:cs="Arial"/>
          <w:color w:val="000000"/>
          <w:szCs w:val="20"/>
          <w:lang w:val="sl-SI"/>
        </w:rPr>
        <w:t xml:space="preserve">Uporaba virov EMS je sestavni del našega življenja, pri čemer </w:t>
      </w:r>
      <w:r w:rsidR="002C4C44">
        <w:rPr>
          <w:rFonts w:eastAsiaTheme="minorHAnsi" w:cs="Arial"/>
          <w:color w:val="000000"/>
          <w:szCs w:val="20"/>
          <w:lang w:val="sl-SI"/>
        </w:rPr>
        <w:t xml:space="preserve">prevladuje </w:t>
      </w:r>
      <w:r w:rsidRPr="00993FB7">
        <w:rPr>
          <w:rFonts w:eastAsiaTheme="minorHAnsi" w:cs="Arial"/>
          <w:color w:val="000000"/>
          <w:szCs w:val="20"/>
          <w:lang w:val="sl-SI"/>
        </w:rPr>
        <w:t xml:space="preserve">uporaba nizkofrekvenčnih virov EMS, tj. električnih naprav, ki jih vsakodnevno uporabljamo v gospodinjstvu in prostem času. Najpogostejši visokofrekvenčni vir EMS v neposredni človekovi bližini sta uporaba mobilnega telefona in mikrovalovne pečice. Največji obremenitvi z EMS smo izpostavljeni v neposredni bližini teh aparatov (nekaj centimetrov), pri čemer je potrebno tudi upoštevati, da so te obremenitve zaradi značilnosti uporabe teh aparatov kratkotrajne. Nizkofrekvenčni vir EMS v naši bližini so običajno nizko-, srednje- in visokonapetostni daljnovodi, visokofrekvenčni viri </w:t>
      </w:r>
      <w:r w:rsidR="009A5F33">
        <w:rPr>
          <w:rFonts w:eastAsiaTheme="minorHAnsi" w:cs="Arial"/>
          <w:color w:val="000000"/>
          <w:szCs w:val="20"/>
          <w:lang w:val="sl-SI"/>
        </w:rPr>
        <w:t xml:space="preserve">EMS </w:t>
      </w:r>
      <w:r w:rsidRPr="00993FB7">
        <w:rPr>
          <w:rFonts w:eastAsiaTheme="minorHAnsi" w:cs="Arial"/>
          <w:color w:val="000000"/>
          <w:szCs w:val="20"/>
          <w:lang w:val="sl-SI"/>
        </w:rPr>
        <w:t xml:space="preserve">v naši bližini pa so bazne postaje mobilne telefonije ter radijski in televizijski oddajniki. Ker se obremenitev EMS z oddaljenostjo hitro zmanjšuje, je večina ljudi izpostavljena le majhnemu delu mejne vrednosti, določene v predpisih. </w:t>
      </w:r>
    </w:p>
    <w:p w:rsidR="00993FB7" w:rsidRPr="00993FB7" w:rsidRDefault="00993FB7" w:rsidP="00993FB7">
      <w:pPr>
        <w:autoSpaceDE w:val="0"/>
        <w:autoSpaceDN w:val="0"/>
        <w:adjustRightInd w:val="0"/>
        <w:spacing w:after="200" w:line="276" w:lineRule="auto"/>
        <w:jc w:val="both"/>
        <w:rPr>
          <w:rFonts w:eastAsiaTheme="minorHAnsi" w:cs="Arial"/>
          <w:color w:val="000000"/>
          <w:szCs w:val="20"/>
          <w:lang w:val="sl-SI"/>
        </w:rPr>
      </w:pPr>
      <w:r w:rsidRPr="00993FB7">
        <w:rPr>
          <w:rFonts w:eastAsiaTheme="minorHAnsi" w:cs="Arial"/>
          <w:color w:val="000000"/>
          <w:szCs w:val="20"/>
          <w:lang w:val="sl-SI"/>
        </w:rPr>
        <w:t>Mejne vrednosti izpostavljenosti EMS v slovenskih predpisih temeljijo na smernicah Mednarodne komisije za zaščito pred neionizir</w:t>
      </w:r>
      <w:r w:rsidR="009A5F33">
        <w:rPr>
          <w:rFonts w:eastAsiaTheme="minorHAnsi" w:cs="Arial"/>
          <w:color w:val="000000"/>
          <w:szCs w:val="20"/>
          <w:lang w:val="sl-SI"/>
        </w:rPr>
        <w:t xml:space="preserve">nim </w:t>
      </w:r>
      <w:r w:rsidRPr="00993FB7">
        <w:rPr>
          <w:rFonts w:eastAsiaTheme="minorHAnsi" w:cs="Arial"/>
          <w:color w:val="000000"/>
          <w:szCs w:val="20"/>
          <w:lang w:val="sl-SI"/>
        </w:rPr>
        <w:t xml:space="preserve">sevanjem (ICNIRP). Upoštevanje smernic zagotavlja ustrezno zaščito ljudi, saj ni znanstveno dokazanih učinkov EMS, na podlagi katerih bi bilo </w:t>
      </w:r>
      <w:r w:rsidR="002C4C44">
        <w:rPr>
          <w:rFonts w:eastAsiaTheme="minorHAnsi" w:cs="Arial"/>
          <w:color w:val="000000"/>
          <w:szCs w:val="20"/>
          <w:lang w:val="sl-SI"/>
        </w:rPr>
        <w:t xml:space="preserve">treba </w:t>
      </w:r>
      <w:r w:rsidRPr="00993FB7">
        <w:rPr>
          <w:rFonts w:eastAsiaTheme="minorHAnsi" w:cs="Arial"/>
          <w:color w:val="000000"/>
          <w:szCs w:val="20"/>
          <w:lang w:val="sl-SI"/>
        </w:rPr>
        <w:t>mejne vrednosti obremenitve z EMS spremeniti.</w:t>
      </w:r>
    </w:p>
    <w:p w:rsidR="00993FB7" w:rsidRDefault="00993FB7" w:rsidP="00877D79">
      <w:pPr>
        <w:autoSpaceDE w:val="0"/>
        <w:autoSpaceDN w:val="0"/>
        <w:adjustRightInd w:val="0"/>
        <w:spacing w:after="200" w:line="276" w:lineRule="auto"/>
        <w:jc w:val="both"/>
        <w:rPr>
          <w:rFonts w:eastAsiaTheme="minorHAnsi" w:cs="Arial"/>
          <w:color w:val="000000"/>
          <w:szCs w:val="20"/>
          <w:lang w:val="sl-SI"/>
        </w:rPr>
      </w:pPr>
      <w:r w:rsidRPr="00993FB7">
        <w:rPr>
          <w:rFonts w:eastAsiaTheme="minorHAnsi" w:cs="Arial"/>
          <w:color w:val="000000"/>
          <w:szCs w:val="20"/>
          <w:lang w:val="sl-SI"/>
        </w:rPr>
        <w:t xml:space="preserve">Meritve EMS, ki se vse pogosteje izvajajo zaradi prijav inšpekcijskim službam, v letih 2009 do 2014 niso pokazale kršitev zakonodaje. Ne glede na to je področje obravnave EMS </w:t>
      </w:r>
      <w:r w:rsidR="002C4C44">
        <w:rPr>
          <w:rFonts w:eastAsiaTheme="minorHAnsi" w:cs="Arial"/>
          <w:color w:val="000000"/>
          <w:szCs w:val="20"/>
          <w:lang w:val="sl-SI"/>
        </w:rPr>
        <w:t xml:space="preserve">deloma </w:t>
      </w:r>
      <w:r w:rsidR="00FF2BD0">
        <w:rPr>
          <w:rFonts w:eastAsiaTheme="minorHAnsi" w:cs="Arial"/>
          <w:color w:val="000000"/>
          <w:szCs w:val="20"/>
          <w:lang w:val="sl-SI"/>
        </w:rPr>
        <w:t xml:space="preserve">treba izboljšati. </w:t>
      </w:r>
      <w:r w:rsidRPr="00993FB7">
        <w:rPr>
          <w:rFonts w:eastAsiaTheme="minorHAnsi" w:cs="Arial"/>
          <w:color w:val="000000"/>
          <w:szCs w:val="20"/>
          <w:lang w:val="sl-SI"/>
        </w:rPr>
        <w:t xml:space="preserve">Umeščanje novih virov EMS v bližino bivalnih objektov zbuja med prebivalstvom nelagodje in ogorčenje, kar </w:t>
      </w:r>
      <w:r w:rsidR="002C4C44">
        <w:rPr>
          <w:rFonts w:eastAsiaTheme="minorHAnsi" w:cs="Arial"/>
          <w:color w:val="000000"/>
          <w:szCs w:val="20"/>
          <w:lang w:val="sl-SI"/>
        </w:rPr>
        <w:t xml:space="preserve">izhaja </w:t>
      </w:r>
      <w:r w:rsidRPr="00993FB7">
        <w:rPr>
          <w:rFonts w:eastAsiaTheme="minorHAnsi" w:cs="Arial"/>
          <w:color w:val="000000"/>
          <w:szCs w:val="20"/>
          <w:lang w:val="sl-SI"/>
        </w:rPr>
        <w:t xml:space="preserve">predvsem iz pomanjkljive </w:t>
      </w:r>
      <w:r w:rsidR="009A5F33">
        <w:rPr>
          <w:rFonts w:eastAsiaTheme="minorHAnsi" w:cs="Arial"/>
          <w:color w:val="000000"/>
          <w:szCs w:val="20"/>
          <w:lang w:val="sl-SI"/>
        </w:rPr>
        <w:t>informiranosti</w:t>
      </w:r>
      <w:r w:rsidRPr="00993FB7">
        <w:rPr>
          <w:rFonts w:eastAsiaTheme="minorHAnsi" w:cs="Arial"/>
          <w:color w:val="000000"/>
          <w:szCs w:val="20"/>
          <w:lang w:val="sl-SI"/>
        </w:rPr>
        <w:t xml:space="preserve"> okoliškega prebivalstva</w:t>
      </w:r>
      <w:r w:rsidR="009A5F33">
        <w:rPr>
          <w:rFonts w:eastAsiaTheme="minorHAnsi" w:cs="Arial"/>
          <w:color w:val="000000"/>
          <w:szCs w:val="20"/>
          <w:lang w:val="sl-SI"/>
        </w:rPr>
        <w:t xml:space="preserve"> o vplivih virov EMS na okolje</w:t>
      </w:r>
      <w:r w:rsidRPr="00993FB7">
        <w:rPr>
          <w:rFonts w:eastAsiaTheme="minorHAnsi" w:cs="Arial"/>
          <w:color w:val="000000"/>
          <w:szCs w:val="20"/>
          <w:lang w:val="sl-SI"/>
        </w:rPr>
        <w:t xml:space="preserve"> v postopk</w:t>
      </w:r>
      <w:r w:rsidR="009A5F33">
        <w:rPr>
          <w:rFonts w:eastAsiaTheme="minorHAnsi" w:cs="Arial"/>
          <w:color w:val="000000"/>
          <w:szCs w:val="20"/>
          <w:lang w:val="sl-SI"/>
        </w:rPr>
        <w:t>ih</w:t>
      </w:r>
      <w:r w:rsidRPr="00993FB7">
        <w:rPr>
          <w:rFonts w:eastAsiaTheme="minorHAnsi" w:cs="Arial"/>
          <w:color w:val="000000"/>
          <w:szCs w:val="20"/>
          <w:lang w:val="sl-SI"/>
        </w:rPr>
        <w:t xml:space="preserve"> </w:t>
      </w:r>
      <w:r w:rsidR="009A5F33">
        <w:rPr>
          <w:rFonts w:eastAsiaTheme="minorHAnsi" w:cs="Arial"/>
          <w:color w:val="000000"/>
          <w:szCs w:val="20"/>
          <w:lang w:val="sl-SI"/>
        </w:rPr>
        <w:t xml:space="preserve">njihovega </w:t>
      </w:r>
      <w:r w:rsidRPr="00993FB7">
        <w:rPr>
          <w:rFonts w:eastAsiaTheme="minorHAnsi" w:cs="Arial"/>
          <w:color w:val="000000"/>
          <w:szCs w:val="20"/>
          <w:lang w:val="sl-SI"/>
        </w:rPr>
        <w:t xml:space="preserve">umeščanja v prostor. V ta namen bo </w:t>
      </w:r>
      <w:r w:rsidR="002C4C44">
        <w:rPr>
          <w:rFonts w:eastAsiaTheme="minorHAnsi" w:cs="Arial"/>
          <w:color w:val="000000"/>
          <w:szCs w:val="20"/>
          <w:lang w:val="sl-SI"/>
        </w:rPr>
        <w:t>treba</w:t>
      </w:r>
      <w:r w:rsidRPr="00993FB7">
        <w:rPr>
          <w:rFonts w:eastAsiaTheme="minorHAnsi" w:cs="Arial"/>
          <w:color w:val="000000"/>
          <w:szCs w:val="20"/>
          <w:lang w:val="sl-SI"/>
        </w:rPr>
        <w:t xml:space="preserve"> urediti javno dostopne registre virov EMS </w:t>
      </w:r>
      <w:r w:rsidR="00ED0D9D">
        <w:rPr>
          <w:rFonts w:eastAsiaTheme="minorHAnsi" w:cs="Arial"/>
          <w:color w:val="000000"/>
          <w:szCs w:val="20"/>
          <w:lang w:val="sl-SI"/>
        </w:rPr>
        <w:t>in</w:t>
      </w:r>
      <w:r w:rsidRPr="00993FB7">
        <w:rPr>
          <w:rFonts w:eastAsiaTheme="minorHAnsi" w:cs="Arial"/>
          <w:color w:val="000000"/>
          <w:szCs w:val="20"/>
          <w:lang w:val="sl-SI"/>
        </w:rPr>
        <w:t xml:space="preserve"> dostopnost do rezultatov vrednotenj</w:t>
      </w:r>
      <w:r w:rsidR="009A5F33">
        <w:rPr>
          <w:rFonts w:eastAsiaTheme="minorHAnsi" w:cs="Arial"/>
          <w:color w:val="000000"/>
          <w:szCs w:val="20"/>
          <w:lang w:val="sl-SI"/>
        </w:rPr>
        <w:t>a</w:t>
      </w:r>
      <w:r w:rsidRPr="00993FB7">
        <w:rPr>
          <w:rFonts w:eastAsiaTheme="minorHAnsi" w:cs="Arial"/>
          <w:color w:val="000000"/>
          <w:szCs w:val="20"/>
          <w:lang w:val="sl-SI"/>
        </w:rPr>
        <w:t xml:space="preserve"> njihovih vplivov na okolico, s čimer se bo vzpostavila boljša informiranost prebivalstva. Pri tem je pomembna odkrita, poštena in neposredna komunikacija med upravljavci načrtovanih virov EMS, krajevnimi organi in javnostjo v posameznih fazah načrtovanja, kar lahko pripomore k </w:t>
      </w:r>
      <w:r w:rsidR="00FF2BD0">
        <w:rPr>
          <w:rFonts w:eastAsiaTheme="minorHAnsi" w:cs="Arial"/>
          <w:color w:val="000000"/>
          <w:szCs w:val="20"/>
          <w:lang w:val="sl-SI"/>
        </w:rPr>
        <w:t xml:space="preserve">spoznavanju in </w:t>
      </w:r>
      <w:r w:rsidRPr="00993FB7">
        <w:rPr>
          <w:rFonts w:eastAsiaTheme="minorHAnsi" w:cs="Arial"/>
          <w:color w:val="000000"/>
          <w:szCs w:val="20"/>
          <w:lang w:val="sl-SI"/>
        </w:rPr>
        <w:t>razumevanju problematike, večji sprejemljivosti pri postavitvi novih virov EMS in tudi preprečitvi neustrezne umestitve novega vira v prostor.</w:t>
      </w:r>
    </w:p>
    <w:p w:rsidR="00877D79" w:rsidRPr="00993FB7" w:rsidRDefault="00877D79" w:rsidP="00877D79">
      <w:pPr>
        <w:autoSpaceDE w:val="0"/>
        <w:autoSpaceDN w:val="0"/>
        <w:adjustRightInd w:val="0"/>
        <w:spacing w:line="276" w:lineRule="auto"/>
        <w:jc w:val="both"/>
        <w:rPr>
          <w:rFonts w:eastAsiaTheme="minorHAnsi" w:cs="Arial"/>
          <w:color w:val="000000"/>
          <w:szCs w:val="20"/>
          <w:lang w:val="sl-SI"/>
        </w:rPr>
      </w:pPr>
    </w:p>
    <w:p w:rsidR="00993FB7" w:rsidRPr="00993FB7" w:rsidRDefault="006375CF" w:rsidP="00993FB7">
      <w:pPr>
        <w:autoSpaceDE w:val="0"/>
        <w:autoSpaceDN w:val="0"/>
        <w:adjustRightInd w:val="0"/>
        <w:spacing w:after="200" w:line="276" w:lineRule="auto"/>
        <w:rPr>
          <w:rFonts w:eastAsiaTheme="minorHAnsi" w:cs="Arial"/>
          <w:b/>
          <w:bCs/>
          <w:szCs w:val="20"/>
          <w:u w:val="single"/>
          <w:lang w:val="sl-SI"/>
        </w:rPr>
      </w:pPr>
      <w:r>
        <w:rPr>
          <w:rFonts w:eastAsiaTheme="minorHAnsi" w:cs="Arial"/>
          <w:b/>
          <w:bCs/>
          <w:szCs w:val="20"/>
          <w:u w:val="single"/>
          <w:lang w:val="sl-SI"/>
        </w:rPr>
        <w:t>1</w:t>
      </w:r>
      <w:r w:rsidR="00DE3B10">
        <w:rPr>
          <w:rFonts w:eastAsiaTheme="minorHAnsi" w:cs="Arial"/>
          <w:b/>
          <w:bCs/>
          <w:szCs w:val="20"/>
          <w:u w:val="single"/>
          <w:lang w:val="sl-SI"/>
        </w:rPr>
        <w:t>2</w:t>
      </w:r>
      <w:r w:rsidR="00993FB7" w:rsidRPr="00993FB7">
        <w:rPr>
          <w:rFonts w:eastAsiaTheme="minorHAnsi" w:cs="Arial"/>
          <w:b/>
          <w:bCs/>
          <w:szCs w:val="20"/>
          <w:u w:val="single"/>
          <w:lang w:val="sl-SI"/>
        </w:rPr>
        <w:t>.2 Obremenitev elektromagnetnega sevanja</w:t>
      </w:r>
    </w:p>
    <w:p w:rsidR="00993FB7" w:rsidRPr="00993FB7" w:rsidRDefault="00993FB7" w:rsidP="00993FB7">
      <w:pPr>
        <w:autoSpaceDE w:val="0"/>
        <w:autoSpaceDN w:val="0"/>
        <w:adjustRightInd w:val="0"/>
        <w:spacing w:after="200" w:line="276" w:lineRule="auto"/>
        <w:jc w:val="both"/>
        <w:rPr>
          <w:rFonts w:eastAsiaTheme="minorHAnsi" w:cs="Arial"/>
          <w:szCs w:val="20"/>
          <w:lang w:val="sl-SI"/>
        </w:rPr>
      </w:pPr>
      <w:r w:rsidRPr="00993FB7">
        <w:rPr>
          <w:rFonts w:eastAsiaTheme="minorHAnsi" w:cs="Arial"/>
          <w:color w:val="000000"/>
          <w:szCs w:val="20"/>
          <w:lang w:val="sl-SI"/>
        </w:rPr>
        <w:t xml:space="preserve">EMS so navzoča povsod v našem okolju </w:t>
      </w:r>
      <w:r w:rsidR="00ED0D9D">
        <w:rPr>
          <w:rFonts w:eastAsiaTheme="minorHAnsi" w:cs="Arial"/>
          <w:color w:val="000000"/>
          <w:szCs w:val="20"/>
          <w:lang w:val="sl-SI"/>
        </w:rPr>
        <w:t xml:space="preserve">in </w:t>
      </w:r>
      <w:r w:rsidRPr="00993FB7">
        <w:rPr>
          <w:rFonts w:eastAsiaTheme="minorHAnsi" w:cs="Arial"/>
          <w:color w:val="000000"/>
          <w:szCs w:val="20"/>
          <w:lang w:val="sl-SI"/>
        </w:rPr>
        <w:t xml:space="preserve">človeka spremljajo že ves čas njegovega razvoja, saj </w:t>
      </w:r>
      <w:r w:rsidRPr="00993FB7">
        <w:rPr>
          <w:rFonts w:eastAsiaTheme="minorHAnsi" w:cs="Arial"/>
          <w:szCs w:val="20"/>
          <w:lang w:val="sl-SI"/>
        </w:rPr>
        <w:t xml:space="preserve">izvirajo iz zemlje (zemeljsko magnetno polje) in vesolja, kjer je sonce njihov najpomembnejši izvor. </w:t>
      </w:r>
      <w:r w:rsidRPr="00993FB7">
        <w:rPr>
          <w:rFonts w:eastAsiaTheme="minorHAnsi" w:cs="Arial"/>
          <w:color w:val="000000"/>
          <w:szCs w:val="20"/>
          <w:lang w:val="sl-SI"/>
        </w:rPr>
        <w:t xml:space="preserve">Zaradi uvajanja različnih novih tehnologij </w:t>
      </w:r>
      <w:r w:rsidR="00FF2BD0">
        <w:rPr>
          <w:rFonts w:eastAsiaTheme="minorHAnsi" w:cs="Arial"/>
          <w:color w:val="000000"/>
          <w:szCs w:val="20"/>
          <w:lang w:val="sl-SI"/>
        </w:rPr>
        <w:t xml:space="preserve">in naprav v vsakdanje življenje, </w:t>
      </w:r>
      <w:r w:rsidRPr="00993FB7">
        <w:rPr>
          <w:rFonts w:eastAsiaTheme="minorHAnsi" w:cs="Arial"/>
          <w:color w:val="000000"/>
          <w:szCs w:val="20"/>
          <w:lang w:val="sl-SI"/>
        </w:rPr>
        <w:t xml:space="preserve">v človekovem okolju </w:t>
      </w:r>
      <w:r w:rsidR="00ED0D9D">
        <w:rPr>
          <w:rFonts w:eastAsiaTheme="minorHAnsi" w:cs="Arial"/>
          <w:color w:val="000000"/>
          <w:szCs w:val="20"/>
          <w:lang w:val="sl-SI"/>
        </w:rPr>
        <w:t xml:space="preserve">nastajajo </w:t>
      </w:r>
      <w:r w:rsidRPr="00993FB7">
        <w:rPr>
          <w:rFonts w:eastAsiaTheme="minorHAnsi" w:cs="Arial"/>
          <w:color w:val="000000"/>
          <w:szCs w:val="20"/>
          <w:lang w:val="sl-SI"/>
        </w:rPr>
        <w:t xml:space="preserve">novi viri EMS, kot npr. </w:t>
      </w:r>
      <w:r w:rsidRPr="00993FB7">
        <w:rPr>
          <w:rFonts w:eastAsiaTheme="minorHAnsi" w:cs="Arial"/>
          <w:szCs w:val="20"/>
          <w:lang w:val="sl-SI"/>
        </w:rPr>
        <w:t>električni motorji, gospodinjske naprave in indukcijske kuhalne plošče, računalniki, telekomunikacijske naprave, sistemi za identifikacijo in nadzor (cestninjenje ABC, sistemi proti kraji v trgovinah</w:t>
      </w:r>
      <w:r w:rsidR="00C221E8">
        <w:rPr>
          <w:rFonts w:eastAsiaTheme="minorHAnsi" w:cs="Arial"/>
          <w:szCs w:val="20"/>
          <w:lang w:val="sl-SI"/>
        </w:rPr>
        <w:t>, GPS in drugi satelitski signali</w:t>
      </w:r>
      <w:r w:rsidRPr="00993FB7">
        <w:rPr>
          <w:rFonts w:eastAsiaTheme="minorHAnsi" w:cs="Arial"/>
          <w:szCs w:val="20"/>
          <w:lang w:val="sl-SI"/>
        </w:rPr>
        <w:t xml:space="preserve">), električno omrežje, naprave v industriji za obdelavo različnih materialov, radijski in televizijski oddajniki, medicinske naprave in radarji. </w:t>
      </w:r>
    </w:p>
    <w:p w:rsidR="00993FB7" w:rsidRPr="00993FB7" w:rsidRDefault="00993FB7" w:rsidP="00993FB7">
      <w:pPr>
        <w:spacing w:line="276" w:lineRule="auto"/>
        <w:jc w:val="both"/>
        <w:rPr>
          <w:rFonts w:eastAsiaTheme="minorHAnsi" w:cs="Arial"/>
          <w:szCs w:val="20"/>
          <w:lang w:val="sl-SI"/>
        </w:rPr>
      </w:pPr>
      <w:r w:rsidRPr="00993FB7">
        <w:rPr>
          <w:rFonts w:eastAsiaTheme="minorHAnsi" w:cs="Arial"/>
          <w:szCs w:val="20"/>
          <w:lang w:val="sl-SI"/>
        </w:rPr>
        <w:t>Učinki EMS na biološke organizme so različni glede na frekvenčno območje:</w:t>
      </w:r>
    </w:p>
    <w:p w:rsidR="00993FB7" w:rsidRPr="00993FB7" w:rsidRDefault="00993FB7" w:rsidP="00ED7C74">
      <w:pPr>
        <w:numPr>
          <w:ilvl w:val="0"/>
          <w:numId w:val="14"/>
        </w:numPr>
        <w:spacing w:before="60" w:line="276" w:lineRule="auto"/>
        <w:ind w:left="357" w:hanging="357"/>
        <w:jc w:val="both"/>
        <w:rPr>
          <w:rFonts w:eastAsiaTheme="minorHAnsi" w:cs="Arial"/>
          <w:szCs w:val="20"/>
          <w:lang w:val="sl-SI"/>
        </w:rPr>
      </w:pPr>
      <w:r w:rsidRPr="00993FB7">
        <w:rPr>
          <w:rFonts w:eastAsiaTheme="minorHAnsi" w:cs="Arial"/>
          <w:szCs w:val="20"/>
          <w:lang w:val="sl-SI"/>
        </w:rPr>
        <w:t xml:space="preserve">statično magnetno polje vpliva na biološke molekule in celične komponente z magnetnimi lastnostmi, kar lahko pri veliki gostoti magnetnega pretoka povzroča </w:t>
      </w:r>
      <w:r w:rsidR="00FA5EE0">
        <w:rPr>
          <w:rFonts w:eastAsiaTheme="minorHAnsi" w:cs="Arial"/>
          <w:szCs w:val="20"/>
          <w:lang w:val="sl-SI"/>
        </w:rPr>
        <w:t xml:space="preserve">oteženo </w:t>
      </w:r>
      <w:r w:rsidRPr="00993FB7">
        <w:rPr>
          <w:rFonts w:eastAsiaTheme="minorHAnsi" w:cs="Arial"/>
          <w:szCs w:val="20"/>
          <w:lang w:val="sl-SI"/>
        </w:rPr>
        <w:t>koordinacijo gibov in slabši vidni kontrast;</w:t>
      </w:r>
    </w:p>
    <w:p w:rsidR="00993FB7" w:rsidRPr="00993FB7" w:rsidRDefault="00993FB7" w:rsidP="00ED7C74">
      <w:pPr>
        <w:numPr>
          <w:ilvl w:val="0"/>
          <w:numId w:val="14"/>
        </w:numPr>
        <w:spacing w:before="60" w:line="276" w:lineRule="auto"/>
        <w:ind w:left="357" w:hanging="357"/>
        <w:jc w:val="both"/>
        <w:rPr>
          <w:rFonts w:eastAsiaTheme="minorHAnsi" w:cs="Arial"/>
          <w:szCs w:val="20"/>
          <w:lang w:val="sl-SI"/>
        </w:rPr>
      </w:pPr>
      <w:r w:rsidRPr="00993FB7">
        <w:rPr>
          <w:rFonts w:eastAsiaTheme="minorHAnsi" w:cs="Arial"/>
          <w:szCs w:val="20"/>
          <w:lang w:val="sl-SI"/>
        </w:rPr>
        <w:t xml:space="preserve">nizkofrekvenčna </w:t>
      </w:r>
      <w:r w:rsidR="00C221E8">
        <w:rPr>
          <w:rFonts w:eastAsiaTheme="minorHAnsi" w:cs="Arial"/>
          <w:szCs w:val="20"/>
          <w:lang w:val="sl-SI"/>
        </w:rPr>
        <w:t xml:space="preserve">elektromagnetna </w:t>
      </w:r>
      <w:r w:rsidRPr="00993FB7">
        <w:rPr>
          <w:rFonts w:eastAsiaTheme="minorHAnsi" w:cs="Arial"/>
          <w:szCs w:val="20"/>
          <w:lang w:val="sl-SI"/>
        </w:rPr>
        <w:t>polja (</w:t>
      </w:r>
      <w:r w:rsidR="00ED0D9D" w:rsidRPr="005771BD">
        <w:rPr>
          <w:rFonts w:eastAsiaTheme="minorHAnsi" w:cs="Arial"/>
          <w:szCs w:val="20"/>
          <w:lang w:val="sl-SI"/>
        </w:rPr>
        <w:t>1 Hz</w:t>
      </w:r>
      <w:r w:rsidR="00ED0D9D">
        <w:rPr>
          <w:rFonts w:eastAsiaTheme="minorHAnsi" w:cs="Arial"/>
          <w:szCs w:val="20"/>
          <w:lang w:val="sl-SI"/>
        </w:rPr>
        <w:t>–</w:t>
      </w:r>
      <w:r w:rsidR="00ED0D9D" w:rsidRPr="005771BD">
        <w:rPr>
          <w:rFonts w:eastAsiaTheme="minorHAnsi" w:cs="Arial"/>
          <w:szCs w:val="20"/>
          <w:lang w:val="sl-SI"/>
        </w:rPr>
        <w:t>100 kHz</w:t>
      </w:r>
      <w:r w:rsidRPr="00993FB7">
        <w:rPr>
          <w:rFonts w:eastAsiaTheme="minorHAnsi" w:cs="Arial"/>
          <w:szCs w:val="20"/>
          <w:lang w:val="sl-SI"/>
        </w:rPr>
        <w:t>) povzročijo prerazporeditev nabojev v telesu organizma</w:t>
      </w:r>
      <w:r w:rsidR="00C221E8">
        <w:rPr>
          <w:rFonts w:eastAsiaTheme="minorHAnsi" w:cs="Arial"/>
          <w:szCs w:val="20"/>
          <w:lang w:val="sl-SI"/>
        </w:rPr>
        <w:t xml:space="preserve"> oziroma na njegovi površini</w:t>
      </w:r>
      <w:r w:rsidRPr="00993FB7">
        <w:rPr>
          <w:rFonts w:eastAsiaTheme="minorHAnsi" w:cs="Arial"/>
          <w:szCs w:val="20"/>
          <w:lang w:val="sl-SI"/>
        </w:rPr>
        <w:t>, medtem ko nizkofrekvenčna magnetna polja inducirajo kroženje električnih tokov v organizmu, pri čemer je velikost tokov odvisna od velikosti in frekvence zunanjega magnetnega polja. Če je polje dovolj veliko, lahko ti tokovi povzročajo draženje živcev in mišic</w:t>
      </w:r>
      <w:r w:rsidR="00FA5EE0">
        <w:rPr>
          <w:rFonts w:eastAsiaTheme="minorHAnsi" w:cs="Arial"/>
          <w:szCs w:val="20"/>
          <w:lang w:val="sl-SI"/>
        </w:rPr>
        <w:t xml:space="preserve"> </w:t>
      </w:r>
      <w:r w:rsidRPr="00993FB7">
        <w:rPr>
          <w:rFonts w:eastAsiaTheme="minorHAnsi" w:cs="Arial"/>
          <w:szCs w:val="20"/>
          <w:lang w:val="sl-SI"/>
        </w:rPr>
        <w:t>oz</w:t>
      </w:r>
      <w:r w:rsidR="00ED0D9D">
        <w:rPr>
          <w:rFonts w:eastAsiaTheme="minorHAnsi" w:cs="Arial"/>
          <w:szCs w:val="20"/>
          <w:lang w:val="sl-SI"/>
        </w:rPr>
        <w:t>iroma</w:t>
      </w:r>
      <w:r w:rsidRPr="00993FB7">
        <w:rPr>
          <w:rFonts w:eastAsiaTheme="minorHAnsi" w:cs="Arial"/>
          <w:szCs w:val="20"/>
          <w:lang w:val="sl-SI"/>
        </w:rPr>
        <w:t xml:space="preserve"> imajo druge biološke učinke na čutila;</w:t>
      </w:r>
    </w:p>
    <w:p w:rsidR="00993FB7" w:rsidRPr="00993FB7" w:rsidRDefault="00993FB7" w:rsidP="00ED7C74">
      <w:pPr>
        <w:numPr>
          <w:ilvl w:val="0"/>
          <w:numId w:val="14"/>
        </w:numPr>
        <w:spacing w:before="60" w:after="200" w:line="276" w:lineRule="auto"/>
        <w:ind w:left="357" w:hanging="357"/>
        <w:jc w:val="both"/>
        <w:rPr>
          <w:rFonts w:eastAsiaTheme="minorHAnsi" w:cs="Arial"/>
          <w:szCs w:val="20"/>
          <w:lang w:val="sl-SI"/>
        </w:rPr>
      </w:pPr>
      <w:r w:rsidRPr="00993FB7">
        <w:rPr>
          <w:rFonts w:eastAsiaTheme="minorHAnsi" w:cs="Arial"/>
          <w:szCs w:val="20"/>
          <w:lang w:val="sl-SI"/>
        </w:rPr>
        <w:t>visokofrekvenčna elektromagnetna polja (</w:t>
      </w:r>
      <w:r w:rsidR="00ED0D9D" w:rsidRPr="005771BD">
        <w:rPr>
          <w:rFonts w:eastAsiaTheme="minorHAnsi" w:cs="Arial"/>
          <w:szCs w:val="20"/>
          <w:lang w:val="sl-SI"/>
        </w:rPr>
        <w:t>100 kHz</w:t>
      </w:r>
      <w:r w:rsidR="00ED0D9D">
        <w:rPr>
          <w:rFonts w:eastAsiaTheme="minorHAnsi" w:cs="Arial"/>
          <w:szCs w:val="20"/>
          <w:lang w:val="sl-SI"/>
        </w:rPr>
        <w:t>–</w:t>
      </w:r>
      <w:r w:rsidR="00ED0D9D" w:rsidRPr="005771BD">
        <w:rPr>
          <w:rFonts w:eastAsiaTheme="minorHAnsi" w:cs="Arial"/>
          <w:szCs w:val="20"/>
          <w:lang w:val="sl-SI"/>
        </w:rPr>
        <w:t>300 GHz</w:t>
      </w:r>
      <w:r w:rsidRPr="00993FB7">
        <w:rPr>
          <w:rFonts w:eastAsiaTheme="minorHAnsi" w:cs="Arial"/>
          <w:szCs w:val="20"/>
          <w:lang w:val="sl-SI"/>
        </w:rPr>
        <w:t xml:space="preserve">) pri širjenju skozi organizem naletijo na živo snov, ki vsebuje veliko tekočine, pri čemer se del energije odbije, del pa prodre v globino in se v tkivu absorbira kot toplota. </w:t>
      </w:r>
    </w:p>
    <w:p w:rsidR="001B34D7" w:rsidRPr="00993FB7" w:rsidRDefault="001B34D7" w:rsidP="001B34D7">
      <w:pPr>
        <w:autoSpaceDE w:val="0"/>
        <w:autoSpaceDN w:val="0"/>
        <w:adjustRightInd w:val="0"/>
        <w:spacing w:after="60" w:line="276" w:lineRule="auto"/>
        <w:jc w:val="both"/>
        <w:rPr>
          <w:rFonts w:eastAsiaTheme="minorHAnsi" w:cs="Arial"/>
          <w:color w:val="000000"/>
          <w:szCs w:val="20"/>
          <w:lang w:val="sl-SI"/>
        </w:rPr>
      </w:pPr>
      <w:r w:rsidRPr="001B34D7">
        <w:rPr>
          <w:rFonts w:eastAsiaTheme="minorHAnsi" w:cs="Arial"/>
          <w:i/>
          <w:color w:val="000000"/>
          <w:szCs w:val="20"/>
          <w:lang w:val="sl-SI"/>
        </w:rPr>
        <w:t>Preglednica 1</w:t>
      </w:r>
      <w:r w:rsidR="00DE3B10">
        <w:rPr>
          <w:rFonts w:eastAsiaTheme="minorHAnsi" w:cs="Arial"/>
          <w:i/>
          <w:color w:val="000000"/>
          <w:szCs w:val="20"/>
          <w:lang w:val="sl-SI"/>
        </w:rPr>
        <w:t>2</w:t>
      </w:r>
      <w:r w:rsidRPr="001B34D7">
        <w:rPr>
          <w:rFonts w:eastAsiaTheme="minorHAnsi" w:cs="Arial"/>
          <w:i/>
          <w:color w:val="000000"/>
          <w:szCs w:val="20"/>
          <w:lang w:val="sl-SI"/>
        </w:rPr>
        <w:t>.1: Značilne obremenitve visokofrekvenčnih virov EMS</w:t>
      </w:r>
    </w:p>
    <w:tbl>
      <w:tblPr>
        <w:tblStyle w:val="Tabelamrea7"/>
        <w:tblW w:w="9039" w:type="dxa"/>
        <w:jc w:val="center"/>
        <w:tblLook w:val="04A0" w:firstRow="1" w:lastRow="0" w:firstColumn="1" w:lastColumn="0" w:noHBand="0" w:noVBand="1"/>
      </w:tblPr>
      <w:tblGrid>
        <w:gridCol w:w="4219"/>
        <w:gridCol w:w="1710"/>
        <w:gridCol w:w="1710"/>
        <w:gridCol w:w="1400"/>
      </w:tblGrid>
      <w:tr w:rsidR="00993FB7" w:rsidRPr="00993FB7" w:rsidTr="003014E1">
        <w:trPr>
          <w:jc w:val="center"/>
        </w:trPr>
        <w:tc>
          <w:tcPr>
            <w:tcW w:w="4219" w:type="dxa"/>
            <w:tcBorders>
              <w:bottom w:val="single" w:sz="4" w:space="0" w:color="auto"/>
            </w:tcBorders>
          </w:tcPr>
          <w:p w:rsidR="00993FB7" w:rsidRPr="00062F64" w:rsidRDefault="00993FB7" w:rsidP="00062F64">
            <w:pPr>
              <w:autoSpaceDE w:val="0"/>
              <w:autoSpaceDN w:val="0"/>
              <w:adjustRightInd w:val="0"/>
              <w:spacing w:before="60" w:line="276" w:lineRule="auto"/>
              <w:jc w:val="both"/>
              <w:rPr>
                <w:rFonts w:eastAsia="Calibri" w:cs="Arial"/>
                <w:color w:val="000000"/>
                <w:sz w:val="20"/>
                <w:szCs w:val="20"/>
                <w:lang w:val="sl-SI"/>
              </w:rPr>
            </w:pPr>
          </w:p>
        </w:tc>
        <w:tc>
          <w:tcPr>
            <w:tcW w:w="1710" w:type="dxa"/>
            <w:tcBorders>
              <w:bottom w:val="single" w:sz="4" w:space="0" w:color="auto"/>
            </w:tcBorders>
            <w:vAlign w:val="center"/>
          </w:tcPr>
          <w:p w:rsidR="00993FB7" w:rsidRPr="00062F64" w:rsidRDefault="00993FB7" w:rsidP="00062F64">
            <w:pPr>
              <w:autoSpaceDE w:val="0"/>
              <w:autoSpaceDN w:val="0"/>
              <w:adjustRightInd w:val="0"/>
              <w:spacing w:before="60" w:line="276" w:lineRule="auto"/>
              <w:jc w:val="center"/>
              <w:rPr>
                <w:rFonts w:eastAsia="Calibri" w:cs="Arial"/>
                <w:color w:val="000000"/>
                <w:sz w:val="20"/>
                <w:szCs w:val="20"/>
                <w:lang w:val="sl-SI"/>
              </w:rPr>
            </w:pPr>
            <w:r w:rsidRPr="00062F64">
              <w:rPr>
                <w:rFonts w:eastAsia="Calibri" w:cs="Arial"/>
                <w:color w:val="000000"/>
                <w:sz w:val="20"/>
                <w:szCs w:val="20"/>
                <w:lang w:val="sl-SI"/>
              </w:rPr>
              <w:t>Oddaljenost od vira ***</w:t>
            </w:r>
          </w:p>
        </w:tc>
        <w:tc>
          <w:tcPr>
            <w:tcW w:w="1710" w:type="dxa"/>
            <w:tcBorders>
              <w:bottom w:val="single" w:sz="4" w:space="0" w:color="auto"/>
              <w:right w:val="double" w:sz="4" w:space="0" w:color="auto"/>
            </w:tcBorders>
            <w:vAlign w:val="center"/>
          </w:tcPr>
          <w:p w:rsidR="00993FB7" w:rsidRPr="00062F64" w:rsidRDefault="00993FB7" w:rsidP="00062F64">
            <w:pPr>
              <w:autoSpaceDE w:val="0"/>
              <w:autoSpaceDN w:val="0"/>
              <w:adjustRightInd w:val="0"/>
              <w:spacing w:before="60" w:line="276" w:lineRule="auto"/>
              <w:jc w:val="center"/>
              <w:rPr>
                <w:rFonts w:eastAsia="Calibri" w:cs="Arial"/>
                <w:color w:val="000000"/>
                <w:sz w:val="20"/>
                <w:szCs w:val="20"/>
                <w:lang w:val="sl-SI"/>
              </w:rPr>
            </w:pPr>
            <w:r w:rsidRPr="00062F64">
              <w:rPr>
                <w:rFonts w:eastAsia="Calibri" w:cs="Arial"/>
                <w:color w:val="000000"/>
                <w:sz w:val="20"/>
                <w:szCs w:val="20"/>
                <w:lang w:val="sl-SI"/>
              </w:rPr>
              <w:t>Električna poljska jakost***</w:t>
            </w:r>
          </w:p>
        </w:tc>
        <w:tc>
          <w:tcPr>
            <w:tcW w:w="1400" w:type="dxa"/>
            <w:tcBorders>
              <w:left w:val="double" w:sz="4" w:space="0" w:color="auto"/>
              <w:bottom w:val="single" w:sz="4" w:space="0" w:color="auto"/>
            </w:tcBorders>
            <w:vAlign w:val="center"/>
          </w:tcPr>
          <w:p w:rsidR="00993FB7" w:rsidRPr="00062F64" w:rsidRDefault="00993FB7" w:rsidP="00062F64">
            <w:pPr>
              <w:autoSpaceDE w:val="0"/>
              <w:autoSpaceDN w:val="0"/>
              <w:adjustRightInd w:val="0"/>
              <w:spacing w:before="60" w:line="276" w:lineRule="auto"/>
              <w:jc w:val="center"/>
              <w:rPr>
                <w:rFonts w:eastAsia="Calibri" w:cs="Arial"/>
                <w:color w:val="000000"/>
                <w:sz w:val="20"/>
                <w:szCs w:val="20"/>
                <w:lang w:val="sl-SI"/>
              </w:rPr>
            </w:pPr>
            <w:r w:rsidRPr="00062F64">
              <w:rPr>
                <w:rFonts w:eastAsia="Calibri" w:cs="Arial"/>
                <w:color w:val="000000"/>
                <w:sz w:val="20"/>
                <w:szCs w:val="20"/>
                <w:lang w:val="sl-SI"/>
              </w:rPr>
              <w:t>Mejna vrednost*</w:t>
            </w:r>
          </w:p>
        </w:tc>
      </w:tr>
      <w:tr w:rsidR="00993FB7" w:rsidRPr="00993FB7" w:rsidTr="003014E1">
        <w:trPr>
          <w:jc w:val="center"/>
        </w:trPr>
        <w:tc>
          <w:tcPr>
            <w:tcW w:w="4219" w:type="dxa"/>
            <w:tcBorders>
              <w:bottom w:val="single" w:sz="4" w:space="0" w:color="auto"/>
            </w:tcBorders>
          </w:tcPr>
          <w:p w:rsidR="00993FB7" w:rsidRPr="00062F64" w:rsidRDefault="00993FB7" w:rsidP="00062F64">
            <w:pPr>
              <w:autoSpaceDE w:val="0"/>
              <w:autoSpaceDN w:val="0"/>
              <w:adjustRightInd w:val="0"/>
              <w:spacing w:before="60" w:line="276" w:lineRule="auto"/>
              <w:jc w:val="both"/>
              <w:rPr>
                <w:rFonts w:eastAsia="Calibri" w:cs="Arial"/>
                <w:color w:val="000000"/>
                <w:sz w:val="20"/>
                <w:szCs w:val="20"/>
                <w:lang w:val="sl-SI"/>
              </w:rPr>
            </w:pPr>
            <w:r w:rsidRPr="00062F64">
              <w:rPr>
                <w:rFonts w:eastAsia="Calibri" w:cs="Arial"/>
                <w:color w:val="000000"/>
                <w:sz w:val="20"/>
                <w:szCs w:val="20"/>
                <w:lang w:val="sl-SI"/>
              </w:rPr>
              <w:t>Radijski AM oddajnik, 918 kHz, 300 kW</w:t>
            </w:r>
          </w:p>
        </w:tc>
        <w:tc>
          <w:tcPr>
            <w:tcW w:w="1710" w:type="dxa"/>
            <w:tcBorders>
              <w:bottom w:val="single" w:sz="4" w:space="0" w:color="auto"/>
            </w:tcBorders>
          </w:tcPr>
          <w:p w:rsidR="00993FB7" w:rsidRPr="00062F64" w:rsidRDefault="00993FB7" w:rsidP="00062F64">
            <w:pPr>
              <w:autoSpaceDE w:val="0"/>
              <w:autoSpaceDN w:val="0"/>
              <w:adjustRightInd w:val="0"/>
              <w:spacing w:before="60" w:line="276" w:lineRule="auto"/>
              <w:jc w:val="center"/>
              <w:rPr>
                <w:rFonts w:eastAsia="Calibri" w:cs="Arial"/>
                <w:color w:val="000000"/>
                <w:sz w:val="20"/>
                <w:szCs w:val="20"/>
                <w:lang w:val="sl-SI"/>
              </w:rPr>
            </w:pPr>
            <w:r w:rsidRPr="00062F64">
              <w:rPr>
                <w:rFonts w:eastAsia="Calibri" w:cs="Arial"/>
                <w:color w:val="000000"/>
                <w:sz w:val="20"/>
                <w:szCs w:val="20"/>
                <w:lang w:val="sl-SI"/>
              </w:rPr>
              <w:t>100 m</w:t>
            </w:r>
          </w:p>
        </w:tc>
        <w:tc>
          <w:tcPr>
            <w:tcW w:w="1710" w:type="dxa"/>
            <w:tcBorders>
              <w:bottom w:val="single" w:sz="4" w:space="0" w:color="auto"/>
              <w:right w:val="double" w:sz="4" w:space="0" w:color="auto"/>
            </w:tcBorders>
          </w:tcPr>
          <w:p w:rsidR="00993FB7" w:rsidRPr="00062F64" w:rsidRDefault="00993FB7" w:rsidP="00062F64">
            <w:pPr>
              <w:autoSpaceDE w:val="0"/>
              <w:autoSpaceDN w:val="0"/>
              <w:adjustRightInd w:val="0"/>
              <w:spacing w:before="60" w:line="276" w:lineRule="auto"/>
              <w:jc w:val="center"/>
              <w:rPr>
                <w:rFonts w:eastAsia="Calibri" w:cs="Arial"/>
                <w:color w:val="000000"/>
                <w:sz w:val="20"/>
                <w:szCs w:val="20"/>
                <w:lang w:val="sl-SI"/>
              </w:rPr>
            </w:pPr>
            <w:r w:rsidRPr="00062F64">
              <w:rPr>
                <w:rFonts w:eastAsia="Calibri" w:cs="Arial"/>
                <w:color w:val="000000"/>
                <w:sz w:val="20"/>
                <w:szCs w:val="20"/>
                <w:lang w:val="sl-SI"/>
              </w:rPr>
              <w:t>8 V/m</w:t>
            </w:r>
          </w:p>
        </w:tc>
        <w:tc>
          <w:tcPr>
            <w:tcW w:w="1400" w:type="dxa"/>
            <w:tcBorders>
              <w:left w:val="double" w:sz="4" w:space="0" w:color="auto"/>
              <w:bottom w:val="single" w:sz="4" w:space="0" w:color="auto"/>
            </w:tcBorders>
          </w:tcPr>
          <w:p w:rsidR="00993FB7" w:rsidRPr="00062F64" w:rsidRDefault="00993FB7" w:rsidP="00062F64">
            <w:pPr>
              <w:autoSpaceDE w:val="0"/>
              <w:autoSpaceDN w:val="0"/>
              <w:adjustRightInd w:val="0"/>
              <w:spacing w:before="60" w:line="276" w:lineRule="auto"/>
              <w:jc w:val="center"/>
              <w:rPr>
                <w:rFonts w:eastAsia="Calibri" w:cs="Arial"/>
                <w:color w:val="000000"/>
                <w:sz w:val="20"/>
                <w:szCs w:val="20"/>
                <w:lang w:val="sl-SI"/>
              </w:rPr>
            </w:pPr>
            <w:r w:rsidRPr="00062F64">
              <w:rPr>
                <w:rFonts w:eastAsia="Calibri" w:cs="Arial"/>
                <w:color w:val="000000"/>
                <w:sz w:val="20"/>
                <w:szCs w:val="20"/>
                <w:lang w:val="sl-SI"/>
              </w:rPr>
              <w:t>93,7 V/m</w:t>
            </w:r>
          </w:p>
        </w:tc>
      </w:tr>
      <w:tr w:rsidR="00993FB7" w:rsidRPr="00993FB7" w:rsidTr="003014E1">
        <w:trPr>
          <w:jc w:val="center"/>
        </w:trPr>
        <w:tc>
          <w:tcPr>
            <w:tcW w:w="4219" w:type="dxa"/>
            <w:tcBorders>
              <w:top w:val="single" w:sz="4" w:space="0" w:color="auto"/>
            </w:tcBorders>
          </w:tcPr>
          <w:p w:rsidR="00993FB7" w:rsidRPr="00062F64" w:rsidRDefault="00993FB7" w:rsidP="00062F64">
            <w:pPr>
              <w:autoSpaceDE w:val="0"/>
              <w:autoSpaceDN w:val="0"/>
              <w:adjustRightInd w:val="0"/>
              <w:spacing w:before="60" w:line="276" w:lineRule="auto"/>
              <w:jc w:val="both"/>
              <w:rPr>
                <w:rFonts w:eastAsia="Calibri" w:cs="Arial"/>
                <w:color w:val="000000"/>
                <w:sz w:val="20"/>
                <w:szCs w:val="20"/>
                <w:lang w:val="sl-SI"/>
              </w:rPr>
            </w:pPr>
            <w:r w:rsidRPr="00062F64">
              <w:rPr>
                <w:rFonts w:eastAsia="Calibri" w:cs="Arial"/>
                <w:color w:val="000000"/>
                <w:sz w:val="20"/>
                <w:szCs w:val="20"/>
                <w:lang w:val="sl-SI"/>
              </w:rPr>
              <w:t>Radijski FM oddajnik, 96,3 MHz, 100 kW</w:t>
            </w:r>
          </w:p>
        </w:tc>
        <w:tc>
          <w:tcPr>
            <w:tcW w:w="1710" w:type="dxa"/>
            <w:tcBorders>
              <w:top w:val="single" w:sz="4" w:space="0" w:color="auto"/>
            </w:tcBorders>
          </w:tcPr>
          <w:p w:rsidR="00993FB7" w:rsidRPr="00062F64" w:rsidRDefault="00993FB7" w:rsidP="00062F64">
            <w:pPr>
              <w:autoSpaceDE w:val="0"/>
              <w:autoSpaceDN w:val="0"/>
              <w:adjustRightInd w:val="0"/>
              <w:spacing w:before="60" w:line="276" w:lineRule="auto"/>
              <w:jc w:val="center"/>
              <w:rPr>
                <w:rFonts w:eastAsia="Calibri" w:cs="Arial"/>
                <w:color w:val="000000"/>
                <w:sz w:val="20"/>
                <w:szCs w:val="20"/>
                <w:lang w:val="sl-SI"/>
              </w:rPr>
            </w:pPr>
            <w:r w:rsidRPr="00062F64">
              <w:rPr>
                <w:rFonts w:eastAsia="Calibri" w:cs="Arial"/>
                <w:color w:val="000000"/>
                <w:sz w:val="20"/>
                <w:szCs w:val="20"/>
                <w:lang w:val="sl-SI"/>
              </w:rPr>
              <w:t xml:space="preserve">100 m </w:t>
            </w:r>
          </w:p>
        </w:tc>
        <w:tc>
          <w:tcPr>
            <w:tcW w:w="1710" w:type="dxa"/>
            <w:tcBorders>
              <w:top w:val="single" w:sz="4" w:space="0" w:color="auto"/>
              <w:right w:val="double" w:sz="4" w:space="0" w:color="auto"/>
            </w:tcBorders>
          </w:tcPr>
          <w:p w:rsidR="00993FB7" w:rsidRPr="00062F64" w:rsidRDefault="00993FB7" w:rsidP="00062F64">
            <w:pPr>
              <w:autoSpaceDE w:val="0"/>
              <w:autoSpaceDN w:val="0"/>
              <w:adjustRightInd w:val="0"/>
              <w:spacing w:before="60" w:line="276" w:lineRule="auto"/>
              <w:jc w:val="center"/>
              <w:rPr>
                <w:rFonts w:eastAsia="Calibri" w:cs="Arial"/>
                <w:color w:val="000000"/>
                <w:sz w:val="20"/>
                <w:szCs w:val="20"/>
                <w:lang w:val="sl-SI"/>
              </w:rPr>
            </w:pPr>
            <w:r w:rsidRPr="00062F64">
              <w:rPr>
                <w:rFonts w:eastAsia="Calibri" w:cs="Arial"/>
                <w:color w:val="000000"/>
                <w:sz w:val="20"/>
                <w:szCs w:val="20"/>
                <w:lang w:val="sl-SI"/>
              </w:rPr>
              <w:t>&lt; 1 V/m</w:t>
            </w:r>
          </w:p>
        </w:tc>
        <w:tc>
          <w:tcPr>
            <w:tcW w:w="1400" w:type="dxa"/>
            <w:tcBorders>
              <w:top w:val="single" w:sz="4" w:space="0" w:color="auto"/>
              <w:left w:val="double" w:sz="4" w:space="0" w:color="auto"/>
            </w:tcBorders>
          </w:tcPr>
          <w:p w:rsidR="00993FB7" w:rsidRPr="00062F64" w:rsidRDefault="00993FB7" w:rsidP="00062F64">
            <w:pPr>
              <w:autoSpaceDE w:val="0"/>
              <w:autoSpaceDN w:val="0"/>
              <w:adjustRightInd w:val="0"/>
              <w:spacing w:before="60" w:line="276" w:lineRule="auto"/>
              <w:jc w:val="center"/>
              <w:rPr>
                <w:rFonts w:eastAsia="Calibri" w:cs="Arial"/>
                <w:color w:val="000000"/>
                <w:sz w:val="20"/>
                <w:szCs w:val="20"/>
                <w:lang w:val="sl-SI"/>
              </w:rPr>
            </w:pPr>
            <w:r w:rsidRPr="00062F64">
              <w:rPr>
                <w:rFonts w:eastAsia="Calibri" w:cs="Arial"/>
                <w:color w:val="000000"/>
                <w:sz w:val="20"/>
                <w:szCs w:val="20"/>
                <w:lang w:val="sl-SI"/>
              </w:rPr>
              <w:t>8,6 V/m</w:t>
            </w:r>
          </w:p>
        </w:tc>
      </w:tr>
      <w:tr w:rsidR="00993FB7" w:rsidRPr="00993FB7" w:rsidTr="003014E1">
        <w:trPr>
          <w:jc w:val="center"/>
        </w:trPr>
        <w:tc>
          <w:tcPr>
            <w:tcW w:w="4219" w:type="dxa"/>
            <w:tcBorders>
              <w:bottom w:val="single" w:sz="4" w:space="0" w:color="auto"/>
            </w:tcBorders>
          </w:tcPr>
          <w:p w:rsidR="00993FB7" w:rsidRPr="00062F64" w:rsidRDefault="00993FB7" w:rsidP="00062F64">
            <w:pPr>
              <w:autoSpaceDE w:val="0"/>
              <w:autoSpaceDN w:val="0"/>
              <w:adjustRightInd w:val="0"/>
              <w:spacing w:before="60" w:line="276" w:lineRule="auto"/>
              <w:jc w:val="both"/>
              <w:rPr>
                <w:rFonts w:eastAsia="Calibri" w:cs="Arial"/>
                <w:color w:val="000000"/>
                <w:sz w:val="20"/>
                <w:szCs w:val="20"/>
                <w:lang w:val="sl-SI"/>
              </w:rPr>
            </w:pPr>
            <w:r w:rsidRPr="00062F64">
              <w:rPr>
                <w:rFonts w:eastAsia="Calibri" w:cs="Arial"/>
                <w:color w:val="000000"/>
                <w:sz w:val="20"/>
                <w:szCs w:val="20"/>
                <w:lang w:val="sl-SI"/>
              </w:rPr>
              <w:t>TV oddajnik, 631,25 MHz, 400 kW</w:t>
            </w:r>
          </w:p>
        </w:tc>
        <w:tc>
          <w:tcPr>
            <w:tcW w:w="1710" w:type="dxa"/>
            <w:tcBorders>
              <w:bottom w:val="single" w:sz="4" w:space="0" w:color="auto"/>
            </w:tcBorders>
          </w:tcPr>
          <w:p w:rsidR="00993FB7" w:rsidRPr="00062F64" w:rsidRDefault="00993FB7" w:rsidP="00062F64">
            <w:pPr>
              <w:autoSpaceDE w:val="0"/>
              <w:autoSpaceDN w:val="0"/>
              <w:adjustRightInd w:val="0"/>
              <w:spacing w:before="60" w:line="276" w:lineRule="auto"/>
              <w:jc w:val="center"/>
              <w:rPr>
                <w:rFonts w:eastAsia="Calibri" w:cs="Arial"/>
                <w:color w:val="000000"/>
                <w:sz w:val="20"/>
                <w:szCs w:val="20"/>
                <w:lang w:val="sl-SI"/>
              </w:rPr>
            </w:pPr>
            <w:r w:rsidRPr="00062F64">
              <w:rPr>
                <w:rFonts w:eastAsia="Calibri" w:cs="Arial"/>
                <w:color w:val="000000"/>
                <w:sz w:val="20"/>
                <w:szCs w:val="20"/>
                <w:lang w:val="sl-SI"/>
              </w:rPr>
              <w:t>100 m</w:t>
            </w:r>
          </w:p>
        </w:tc>
        <w:tc>
          <w:tcPr>
            <w:tcW w:w="1710" w:type="dxa"/>
            <w:tcBorders>
              <w:bottom w:val="single" w:sz="4" w:space="0" w:color="auto"/>
              <w:right w:val="double" w:sz="4" w:space="0" w:color="auto"/>
            </w:tcBorders>
          </w:tcPr>
          <w:p w:rsidR="00993FB7" w:rsidRPr="00062F64" w:rsidRDefault="00993FB7" w:rsidP="00062F64">
            <w:pPr>
              <w:autoSpaceDE w:val="0"/>
              <w:autoSpaceDN w:val="0"/>
              <w:adjustRightInd w:val="0"/>
              <w:spacing w:before="60" w:line="276" w:lineRule="auto"/>
              <w:jc w:val="center"/>
              <w:rPr>
                <w:rFonts w:eastAsia="Calibri" w:cs="Arial"/>
                <w:color w:val="000000"/>
                <w:sz w:val="20"/>
                <w:szCs w:val="20"/>
                <w:lang w:val="sl-SI"/>
              </w:rPr>
            </w:pPr>
            <w:r w:rsidRPr="00062F64">
              <w:rPr>
                <w:rFonts w:eastAsia="Calibri" w:cs="Arial"/>
                <w:color w:val="000000"/>
                <w:sz w:val="20"/>
                <w:szCs w:val="20"/>
                <w:lang w:val="sl-SI"/>
              </w:rPr>
              <w:t>5 V/m</w:t>
            </w:r>
          </w:p>
        </w:tc>
        <w:tc>
          <w:tcPr>
            <w:tcW w:w="1400" w:type="dxa"/>
            <w:tcBorders>
              <w:left w:val="double" w:sz="4" w:space="0" w:color="auto"/>
              <w:bottom w:val="single" w:sz="4" w:space="0" w:color="auto"/>
            </w:tcBorders>
          </w:tcPr>
          <w:p w:rsidR="00993FB7" w:rsidRPr="00062F64" w:rsidRDefault="00993FB7" w:rsidP="00062F64">
            <w:pPr>
              <w:autoSpaceDE w:val="0"/>
              <w:autoSpaceDN w:val="0"/>
              <w:adjustRightInd w:val="0"/>
              <w:spacing w:before="60" w:line="276" w:lineRule="auto"/>
              <w:jc w:val="center"/>
              <w:rPr>
                <w:rFonts w:eastAsia="Calibri" w:cs="Arial"/>
                <w:color w:val="000000"/>
                <w:sz w:val="20"/>
                <w:szCs w:val="20"/>
                <w:lang w:val="sl-SI"/>
              </w:rPr>
            </w:pPr>
            <w:r w:rsidRPr="00062F64">
              <w:rPr>
                <w:rFonts w:eastAsia="Calibri" w:cs="Arial"/>
                <w:color w:val="000000"/>
                <w:sz w:val="20"/>
                <w:szCs w:val="20"/>
                <w:lang w:val="sl-SI"/>
              </w:rPr>
              <w:t>10,8 V/m</w:t>
            </w:r>
          </w:p>
        </w:tc>
      </w:tr>
      <w:tr w:rsidR="00993FB7" w:rsidRPr="00993FB7" w:rsidTr="003014E1">
        <w:trPr>
          <w:jc w:val="center"/>
        </w:trPr>
        <w:tc>
          <w:tcPr>
            <w:tcW w:w="4219" w:type="dxa"/>
            <w:tcBorders>
              <w:bottom w:val="double" w:sz="4" w:space="0" w:color="auto"/>
            </w:tcBorders>
          </w:tcPr>
          <w:p w:rsidR="00993FB7" w:rsidRPr="00062F64" w:rsidRDefault="00993FB7" w:rsidP="00062F64">
            <w:pPr>
              <w:autoSpaceDE w:val="0"/>
              <w:autoSpaceDN w:val="0"/>
              <w:adjustRightInd w:val="0"/>
              <w:spacing w:before="60" w:line="276" w:lineRule="auto"/>
              <w:jc w:val="both"/>
              <w:rPr>
                <w:rFonts w:eastAsia="Calibri" w:cs="Arial"/>
                <w:color w:val="000000"/>
                <w:sz w:val="20"/>
                <w:szCs w:val="20"/>
                <w:lang w:val="sl-SI"/>
              </w:rPr>
            </w:pPr>
            <w:r w:rsidRPr="00062F64">
              <w:rPr>
                <w:rFonts w:eastAsia="Calibri" w:cs="Arial"/>
                <w:color w:val="000000"/>
                <w:sz w:val="20"/>
                <w:szCs w:val="20"/>
                <w:lang w:val="sl-SI"/>
              </w:rPr>
              <w:t>Amaterska radijska CB postaja, 27 GHz, 4 W</w:t>
            </w:r>
          </w:p>
        </w:tc>
        <w:tc>
          <w:tcPr>
            <w:tcW w:w="1710" w:type="dxa"/>
            <w:tcBorders>
              <w:bottom w:val="double" w:sz="4" w:space="0" w:color="auto"/>
            </w:tcBorders>
          </w:tcPr>
          <w:p w:rsidR="00993FB7" w:rsidRPr="00062F64" w:rsidRDefault="00993FB7" w:rsidP="00062F64">
            <w:pPr>
              <w:autoSpaceDE w:val="0"/>
              <w:autoSpaceDN w:val="0"/>
              <w:adjustRightInd w:val="0"/>
              <w:spacing w:before="60" w:line="276" w:lineRule="auto"/>
              <w:jc w:val="center"/>
              <w:rPr>
                <w:rFonts w:eastAsia="Calibri" w:cs="Arial"/>
                <w:color w:val="000000"/>
                <w:sz w:val="20"/>
                <w:szCs w:val="20"/>
                <w:lang w:val="sl-SI"/>
              </w:rPr>
            </w:pPr>
            <w:r w:rsidRPr="00062F64">
              <w:rPr>
                <w:rFonts w:eastAsia="Calibri" w:cs="Arial"/>
                <w:color w:val="000000"/>
                <w:sz w:val="20"/>
                <w:szCs w:val="20"/>
                <w:lang w:val="sl-SI"/>
              </w:rPr>
              <w:t>2 m</w:t>
            </w:r>
          </w:p>
        </w:tc>
        <w:tc>
          <w:tcPr>
            <w:tcW w:w="1710" w:type="dxa"/>
            <w:tcBorders>
              <w:bottom w:val="double" w:sz="4" w:space="0" w:color="auto"/>
              <w:right w:val="double" w:sz="4" w:space="0" w:color="auto"/>
            </w:tcBorders>
          </w:tcPr>
          <w:p w:rsidR="00993FB7" w:rsidRPr="00062F64" w:rsidRDefault="00993FB7" w:rsidP="00062F64">
            <w:pPr>
              <w:autoSpaceDE w:val="0"/>
              <w:autoSpaceDN w:val="0"/>
              <w:adjustRightInd w:val="0"/>
              <w:spacing w:before="60" w:line="276" w:lineRule="auto"/>
              <w:jc w:val="center"/>
              <w:rPr>
                <w:rFonts w:eastAsia="Calibri" w:cs="Arial"/>
                <w:color w:val="000000"/>
                <w:sz w:val="20"/>
                <w:szCs w:val="20"/>
                <w:lang w:val="sl-SI"/>
              </w:rPr>
            </w:pPr>
            <w:r w:rsidRPr="00062F64">
              <w:rPr>
                <w:rFonts w:eastAsia="Calibri" w:cs="Arial"/>
                <w:color w:val="000000"/>
                <w:sz w:val="20"/>
                <w:szCs w:val="20"/>
                <w:lang w:val="sl-SI"/>
              </w:rPr>
              <w:t>3 V/m</w:t>
            </w:r>
          </w:p>
        </w:tc>
        <w:tc>
          <w:tcPr>
            <w:tcW w:w="1400" w:type="dxa"/>
            <w:tcBorders>
              <w:left w:val="double" w:sz="4" w:space="0" w:color="auto"/>
              <w:bottom w:val="double" w:sz="4" w:space="0" w:color="auto"/>
            </w:tcBorders>
          </w:tcPr>
          <w:p w:rsidR="00993FB7" w:rsidRPr="00062F64" w:rsidRDefault="00993FB7" w:rsidP="00062F64">
            <w:pPr>
              <w:autoSpaceDE w:val="0"/>
              <w:autoSpaceDN w:val="0"/>
              <w:adjustRightInd w:val="0"/>
              <w:spacing w:before="60" w:line="276" w:lineRule="auto"/>
              <w:jc w:val="center"/>
              <w:rPr>
                <w:rFonts w:eastAsia="Calibri" w:cs="Arial"/>
                <w:color w:val="000000"/>
                <w:sz w:val="20"/>
                <w:szCs w:val="20"/>
                <w:lang w:val="sl-SI"/>
              </w:rPr>
            </w:pPr>
            <w:r w:rsidRPr="00062F64">
              <w:rPr>
                <w:rFonts w:eastAsia="Calibri" w:cs="Arial"/>
                <w:color w:val="000000"/>
                <w:sz w:val="20"/>
                <w:szCs w:val="20"/>
                <w:lang w:val="sl-SI"/>
              </w:rPr>
              <w:t>19 V/m</w:t>
            </w:r>
          </w:p>
        </w:tc>
      </w:tr>
      <w:tr w:rsidR="00993FB7" w:rsidRPr="00993FB7" w:rsidTr="003014E1">
        <w:trPr>
          <w:jc w:val="center"/>
        </w:trPr>
        <w:tc>
          <w:tcPr>
            <w:tcW w:w="7639" w:type="dxa"/>
            <w:gridSpan w:val="3"/>
            <w:tcBorders>
              <w:top w:val="double" w:sz="4" w:space="0" w:color="auto"/>
            </w:tcBorders>
          </w:tcPr>
          <w:p w:rsidR="00993FB7" w:rsidRPr="00062F64" w:rsidRDefault="00993FB7" w:rsidP="00062F64">
            <w:pPr>
              <w:autoSpaceDE w:val="0"/>
              <w:autoSpaceDN w:val="0"/>
              <w:adjustRightInd w:val="0"/>
              <w:spacing w:before="60" w:line="276" w:lineRule="auto"/>
              <w:rPr>
                <w:rFonts w:eastAsia="Calibri" w:cs="Arial"/>
                <w:color w:val="000000"/>
                <w:sz w:val="20"/>
                <w:szCs w:val="20"/>
                <w:lang w:val="sl-SI"/>
              </w:rPr>
            </w:pPr>
            <w:r w:rsidRPr="00062F64">
              <w:rPr>
                <w:rFonts w:eastAsia="Calibri" w:cs="Arial"/>
                <w:color w:val="000000"/>
                <w:sz w:val="20"/>
                <w:szCs w:val="20"/>
                <w:lang w:val="sl-SI"/>
              </w:rPr>
              <w:t>Antena bazne postaje mobilne telefonije (GSM 900 MHz, 50W ali DCS 1,8 GHz, 20 W ali UMTS 2,1 GHz, 20 W), vplivno območje I. stopnje**</w:t>
            </w:r>
          </w:p>
        </w:tc>
        <w:tc>
          <w:tcPr>
            <w:tcW w:w="1400" w:type="dxa"/>
            <w:tcBorders>
              <w:top w:val="double" w:sz="4" w:space="0" w:color="auto"/>
            </w:tcBorders>
            <w:vAlign w:val="center"/>
          </w:tcPr>
          <w:p w:rsidR="00993FB7" w:rsidRPr="00062F64" w:rsidRDefault="00993FB7" w:rsidP="00062F64">
            <w:pPr>
              <w:autoSpaceDE w:val="0"/>
              <w:autoSpaceDN w:val="0"/>
              <w:adjustRightInd w:val="0"/>
              <w:spacing w:before="60" w:line="276" w:lineRule="auto"/>
              <w:jc w:val="center"/>
              <w:rPr>
                <w:rFonts w:eastAsia="Calibri" w:cs="Arial"/>
                <w:color w:val="000000"/>
                <w:sz w:val="20"/>
                <w:szCs w:val="20"/>
                <w:lang w:val="sl-SI"/>
              </w:rPr>
            </w:pPr>
            <w:r w:rsidRPr="00062F64">
              <w:rPr>
                <w:rFonts w:eastAsia="Calibri" w:cs="Arial"/>
                <w:color w:val="000000"/>
                <w:sz w:val="20"/>
                <w:szCs w:val="20"/>
                <w:lang w:val="sl-SI"/>
              </w:rPr>
              <w:t>24 m***</w:t>
            </w:r>
          </w:p>
        </w:tc>
      </w:tr>
      <w:tr w:rsidR="00993FB7" w:rsidRPr="00993FB7" w:rsidTr="003014E1">
        <w:trPr>
          <w:jc w:val="center"/>
        </w:trPr>
        <w:tc>
          <w:tcPr>
            <w:tcW w:w="7639" w:type="dxa"/>
            <w:gridSpan w:val="3"/>
            <w:tcBorders>
              <w:bottom w:val="single" w:sz="4" w:space="0" w:color="auto"/>
            </w:tcBorders>
          </w:tcPr>
          <w:p w:rsidR="00993FB7" w:rsidRPr="00062F64" w:rsidRDefault="00993FB7" w:rsidP="00062F64">
            <w:pPr>
              <w:autoSpaceDE w:val="0"/>
              <w:autoSpaceDN w:val="0"/>
              <w:adjustRightInd w:val="0"/>
              <w:spacing w:before="60" w:line="276" w:lineRule="auto"/>
              <w:rPr>
                <w:rFonts w:eastAsia="Calibri" w:cs="Arial"/>
                <w:color w:val="000000"/>
                <w:sz w:val="20"/>
                <w:szCs w:val="20"/>
                <w:lang w:val="sl-SI"/>
              </w:rPr>
            </w:pPr>
            <w:r w:rsidRPr="00062F64">
              <w:rPr>
                <w:rFonts w:eastAsia="Calibri" w:cs="Arial"/>
                <w:color w:val="000000"/>
                <w:sz w:val="20"/>
                <w:szCs w:val="20"/>
                <w:lang w:val="sl-SI"/>
              </w:rPr>
              <w:t>Bazna postaja s hkratnim delovanjem vseh treh anten, vplivno območje I. stopnje**</w:t>
            </w:r>
          </w:p>
        </w:tc>
        <w:tc>
          <w:tcPr>
            <w:tcW w:w="1400" w:type="dxa"/>
            <w:tcBorders>
              <w:bottom w:val="single" w:sz="4" w:space="0" w:color="auto"/>
            </w:tcBorders>
            <w:vAlign w:val="center"/>
          </w:tcPr>
          <w:p w:rsidR="00993FB7" w:rsidRPr="00062F64" w:rsidRDefault="00993FB7" w:rsidP="00062F64">
            <w:pPr>
              <w:autoSpaceDE w:val="0"/>
              <w:autoSpaceDN w:val="0"/>
              <w:adjustRightInd w:val="0"/>
              <w:spacing w:before="60" w:line="276" w:lineRule="auto"/>
              <w:jc w:val="center"/>
              <w:rPr>
                <w:rFonts w:eastAsia="Calibri" w:cs="Arial"/>
                <w:color w:val="000000"/>
                <w:sz w:val="20"/>
                <w:szCs w:val="20"/>
                <w:lang w:val="sl-SI"/>
              </w:rPr>
            </w:pPr>
            <w:r w:rsidRPr="00062F64">
              <w:rPr>
                <w:rFonts w:eastAsia="Calibri" w:cs="Arial"/>
                <w:color w:val="000000"/>
                <w:sz w:val="20"/>
                <w:szCs w:val="20"/>
                <w:lang w:val="sl-SI"/>
              </w:rPr>
              <w:t>35 m***</w:t>
            </w:r>
          </w:p>
        </w:tc>
      </w:tr>
    </w:tbl>
    <w:p w:rsidR="00993FB7" w:rsidRPr="001B34D7" w:rsidRDefault="00993FB7" w:rsidP="00993FB7">
      <w:pPr>
        <w:autoSpaceDE w:val="0"/>
        <w:autoSpaceDN w:val="0"/>
        <w:adjustRightInd w:val="0"/>
        <w:spacing w:before="60" w:line="276" w:lineRule="auto"/>
        <w:ind w:left="284" w:hanging="284"/>
        <w:jc w:val="both"/>
        <w:rPr>
          <w:rFonts w:eastAsiaTheme="minorHAnsi" w:cs="Arial"/>
          <w:color w:val="000000"/>
          <w:sz w:val="16"/>
          <w:szCs w:val="18"/>
          <w:lang w:val="sl-SI"/>
        </w:rPr>
      </w:pPr>
      <w:r w:rsidRPr="001B34D7">
        <w:rPr>
          <w:rFonts w:eastAsiaTheme="minorHAnsi" w:cs="Arial"/>
          <w:color w:val="000000"/>
          <w:sz w:val="18"/>
          <w:szCs w:val="20"/>
          <w:lang w:val="sl-SI"/>
        </w:rPr>
        <w:t xml:space="preserve">*  </w:t>
      </w:r>
      <w:r w:rsidRPr="001B34D7">
        <w:rPr>
          <w:rFonts w:eastAsiaTheme="minorHAnsi" w:cs="Arial"/>
          <w:color w:val="000000"/>
          <w:sz w:val="16"/>
          <w:szCs w:val="18"/>
          <w:lang w:val="sl-SI"/>
        </w:rPr>
        <w:t xml:space="preserve">Mejna vrednost (MV) za območje I. stopnje varstva pred sevanji, Uredba o elektromagnetnem sevanju v naravnem in življenjskem okolju (Uradni list RS, št. 70/96). </w:t>
      </w:r>
    </w:p>
    <w:p w:rsidR="00993FB7" w:rsidRPr="001B34D7" w:rsidRDefault="00993FB7" w:rsidP="00993FB7">
      <w:pPr>
        <w:autoSpaceDE w:val="0"/>
        <w:autoSpaceDN w:val="0"/>
        <w:adjustRightInd w:val="0"/>
        <w:spacing w:before="60" w:line="276" w:lineRule="auto"/>
        <w:ind w:left="284" w:hanging="284"/>
        <w:jc w:val="both"/>
        <w:rPr>
          <w:rFonts w:eastAsiaTheme="minorHAnsi" w:cs="Arial"/>
          <w:color w:val="000000"/>
          <w:sz w:val="16"/>
          <w:szCs w:val="18"/>
          <w:lang w:val="sl-SI"/>
        </w:rPr>
      </w:pPr>
      <w:r w:rsidRPr="001B34D7">
        <w:rPr>
          <w:rFonts w:eastAsiaTheme="minorHAnsi" w:cs="Arial"/>
          <w:color w:val="000000"/>
          <w:sz w:val="16"/>
          <w:szCs w:val="18"/>
          <w:lang w:val="sl-SI"/>
        </w:rPr>
        <w:t>** Vplivno območje I. stopnje varstva pred sevanji zajema stanovanjska območja in območja socialnih, zdravstvenih, vzgojnih in izobraževalnih dejavnosti, skratka območja, kjer se lahko pričakuje stalna prisotnost ljudi. Za ta območja veljajo strožje mejne vrednosti obremenitve EMS.</w:t>
      </w:r>
    </w:p>
    <w:p w:rsidR="00993FB7" w:rsidRPr="001B34D7" w:rsidRDefault="00993FB7" w:rsidP="00993FB7">
      <w:pPr>
        <w:autoSpaceDE w:val="0"/>
        <w:autoSpaceDN w:val="0"/>
        <w:adjustRightInd w:val="0"/>
        <w:spacing w:before="60" w:line="276" w:lineRule="auto"/>
        <w:ind w:left="284" w:hanging="284"/>
        <w:jc w:val="both"/>
        <w:rPr>
          <w:rFonts w:eastAsiaTheme="minorHAnsi" w:cs="Arial"/>
          <w:color w:val="000000"/>
          <w:sz w:val="16"/>
          <w:szCs w:val="18"/>
          <w:lang w:val="sl-SI"/>
        </w:rPr>
      </w:pPr>
      <w:r w:rsidRPr="001B34D7">
        <w:rPr>
          <w:rFonts w:eastAsiaTheme="minorHAnsi" w:cs="Arial"/>
          <w:color w:val="000000"/>
          <w:sz w:val="16"/>
          <w:szCs w:val="18"/>
          <w:lang w:val="sl-SI"/>
        </w:rPr>
        <w:t>*** Oddaljenost od vira je podana za območje v višini antene. Obremenitev z EMS je vertikalno pod anteno dosti manjša in običajno izven konstrukcije antenskega stolpa ne dosega mejne vrednosti za območje I. stopnje.</w:t>
      </w:r>
    </w:p>
    <w:p w:rsidR="001B34D7" w:rsidRPr="001B34D7" w:rsidRDefault="001B34D7" w:rsidP="001B34D7">
      <w:pPr>
        <w:autoSpaceDE w:val="0"/>
        <w:autoSpaceDN w:val="0"/>
        <w:adjustRightInd w:val="0"/>
        <w:spacing w:before="240" w:after="60" w:line="276" w:lineRule="auto"/>
        <w:rPr>
          <w:rFonts w:eastAsiaTheme="minorHAnsi" w:cs="Arial"/>
          <w:i/>
          <w:color w:val="000000"/>
          <w:szCs w:val="20"/>
          <w:lang w:val="sl-SI"/>
        </w:rPr>
      </w:pPr>
      <w:r w:rsidRPr="001B34D7">
        <w:rPr>
          <w:rFonts w:eastAsiaTheme="minorHAnsi" w:cs="Arial"/>
          <w:i/>
          <w:color w:val="000000"/>
          <w:szCs w:val="20"/>
          <w:lang w:val="sl-SI"/>
        </w:rPr>
        <w:t>Preglednica 1</w:t>
      </w:r>
      <w:r w:rsidR="00DE3B10">
        <w:rPr>
          <w:rFonts w:eastAsiaTheme="minorHAnsi" w:cs="Arial"/>
          <w:i/>
          <w:color w:val="000000"/>
          <w:szCs w:val="20"/>
          <w:lang w:val="sl-SI"/>
        </w:rPr>
        <w:t>2</w:t>
      </w:r>
      <w:r w:rsidRPr="001B34D7">
        <w:rPr>
          <w:rFonts w:eastAsiaTheme="minorHAnsi" w:cs="Arial"/>
          <w:i/>
          <w:color w:val="000000"/>
          <w:szCs w:val="20"/>
          <w:lang w:val="sl-SI"/>
        </w:rPr>
        <w:t>.2: Značilne obremenitve</w:t>
      </w:r>
      <w:r w:rsidR="00FA5EE0">
        <w:rPr>
          <w:rFonts w:eastAsiaTheme="minorHAnsi" w:cs="Arial"/>
          <w:i/>
          <w:color w:val="000000"/>
          <w:szCs w:val="20"/>
          <w:lang w:val="sl-SI"/>
        </w:rPr>
        <w:t xml:space="preserve">, mejne vrednosti in vplivna območja </w:t>
      </w:r>
      <w:r w:rsidRPr="001B34D7">
        <w:rPr>
          <w:rFonts w:eastAsiaTheme="minorHAnsi" w:cs="Arial"/>
          <w:i/>
          <w:color w:val="000000"/>
          <w:szCs w:val="20"/>
          <w:lang w:val="sl-SI"/>
        </w:rPr>
        <w:t xml:space="preserve"> nizkofrekvenčnih virov (50 Hz) EMS</w:t>
      </w:r>
    </w:p>
    <w:tbl>
      <w:tblPr>
        <w:tblStyle w:val="Tabelamrea7"/>
        <w:tblW w:w="9029" w:type="dxa"/>
        <w:jc w:val="center"/>
        <w:tblLook w:val="04A0" w:firstRow="1" w:lastRow="0" w:firstColumn="1" w:lastColumn="0" w:noHBand="0" w:noVBand="1"/>
      </w:tblPr>
      <w:tblGrid>
        <w:gridCol w:w="2531"/>
        <w:gridCol w:w="1843"/>
        <w:gridCol w:w="1406"/>
        <w:gridCol w:w="24"/>
        <w:gridCol w:w="3225"/>
      </w:tblGrid>
      <w:tr w:rsidR="00993FB7" w:rsidRPr="00993FB7" w:rsidTr="003014E1">
        <w:trPr>
          <w:jc w:val="center"/>
        </w:trPr>
        <w:tc>
          <w:tcPr>
            <w:tcW w:w="2531" w:type="dxa"/>
            <w:tcBorders>
              <w:bottom w:val="single" w:sz="4" w:space="0" w:color="auto"/>
            </w:tcBorders>
          </w:tcPr>
          <w:p w:rsidR="00993FB7" w:rsidRPr="00062F64" w:rsidRDefault="00993FB7" w:rsidP="00993FB7">
            <w:pPr>
              <w:autoSpaceDE w:val="0"/>
              <w:autoSpaceDN w:val="0"/>
              <w:adjustRightInd w:val="0"/>
              <w:spacing w:before="40" w:line="276" w:lineRule="auto"/>
              <w:jc w:val="both"/>
              <w:rPr>
                <w:rFonts w:eastAsia="Calibri" w:cs="Arial"/>
                <w:color w:val="000000"/>
                <w:sz w:val="20"/>
                <w:szCs w:val="20"/>
                <w:lang w:val="sl-SI"/>
              </w:rPr>
            </w:pPr>
          </w:p>
        </w:tc>
        <w:tc>
          <w:tcPr>
            <w:tcW w:w="3273" w:type="dxa"/>
            <w:gridSpan w:val="3"/>
            <w:tcBorders>
              <w:bottom w:val="single" w:sz="4" w:space="0" w:color="auto"/>
            </w:tcBorders>
          </w:tcPr>
          <w:p w:rsidR="00993FB7" w:rsidRPr="00062F64" w:rsidRDefault="00993FB7" w:rsidP="00993FB7">
            <w:pPr>
              <w:autoSpaceDE w:val="0"/>
              <w:autoSpaceDN w:val="0"/>
              <w:adjustRightInd w:val="0"/>
              <w:spacing w:before="40" w:line="276" w:lineRule="auto"/>
              <w:jc w:val="center"/>
              <w:rPr>
                <w:rFonts w:eastAsia="Calibri" w:cs="Arial"/>
                <w:color w:val="000000"/>
                <w:sz w:val="20"/>
                <w:szCs w:val="20"/>
                <w:lang w:val="sl-SI"/>
              </w:rPr>
            </w:pPr>
            <w:r w:rsidRPr="00062F64">
              <w:rPr>
                <w:rFonts w:eastAsia="Calibri" w:cs="Arial"/>
                <w:color w:val="000000"/>
                <w:sz w:val="20"/>
                <w:szCs w:val="20"/>
                <w:lang w:val="sl-SI"/>
              </w:rPr>
              <w:t>Gostota magnetnega pretoka</w:t>
            </w:r>
          </w:p>
        </w:tc>
        <w:tc>
          <w:tcPr>
            <w:tcW w:w="3225" w:type="dxa"/>
            <w:tcBorders>
              <w:bottom w:val="single" w:sz="4" w:space="0" w:color="auto"/>
            </w:tcBorders>
          </w:tcPr>
          <w:p w:rsidR="00993FB7" w:rsidRPr="00062F64" w:rsidRDefault="00993FB7" w:rsidP="00993FB7">
            <w:pPr>
              <w:autoSpaceDE w:val="0"/>
              <w:autoSpaceDN w:val="0"/>
              <w:adjustRightInd w:val="0"/>
              <w:spacing w:before="40" w:line="276" w:lineRule="auto"/>
              <w:jc w:val="center"/>
              <w:rPr>
                <w:rFonts w:eastAsia="Calibri" w:cs="Arial"/>
                <w:color w:val="000000"/>
                <w:sz w:val="20"/>
                <w:szCs w:val="20"/>
                <w:lang w:val="sl-SI"/>
              </w:rPr>
            </w:pPr>
            <w:r w:rsidRPr="00062F64">
              <w:rPr>
                <w:rFonts w:eastAsia="Calibri" w:cs="Arial"/>
                <w:color w:val="000000"/>
                <w:sz w:val="20"/>
                <w:szCs w:val="20"/>
                <w:lang w:val="sl-SI"/>
              </w:rPr>
              <w:t>Električna poljska jakost</w:t>
            </w:r>
          </w:p>
        </w:tc>
      </w:tr>
      <w:tr w:rsidR="00993FB7" w:rsidRPr="00993FB7" w:rsidTr="003014E1">
        <w:trPr>
          <w:jc w:val="center"/>
        </w:trPr>
        <w:tc>
          <w:tcPr>
            <w:tcW w:w="2531" w:type="dxa"/>
            <w:tcBorders>
              <w:bottom w:val="double" w:sz="4" w:space="0" w:color="auto"/>
            </w:tcBorders>
          </w:tcPr>
          <w:p w:rsidR="00993FB7" w:rsidRPr="00062F64" w:rsidRDefault="00993FB7" w:rsidP="00993FB7">
            <w:pPr>
              <w:autoSpaceDE w:val="0"/>
              <w:autoSpaceDN w:val="0"/>
              <w:adjustRightInd w:val="0"/>
              <w:spacing w:before="40" w:line="276" w:lineRule="auto"/>
              <w:jc w:val="both"/>
              <w:rPr>
                <w:rFonts w:eastAsia="Calibri" w:cs="Arial"/>
                <w:color w:val="000000"/>
                <w:sz w:val="20"/>
                <w:szCs w:val="20"/>
                <w:lang w:val="sl-SI"/>
              </w:rPr>
            </w:pPr>
            <w:r w:rsidRPr="00062F64">
              <w:rPr>
                <w:rFonts w:eastAsia="Calibri" w:cs="Arial"/>
                <w:color w:val="000000"/>
                <w:sz w:val="20"/>
                <w:szCs w:val="20"/>
                <w:lang w:val="sl-SI"/>
              </w:rPr>
              <w:t>Oddaljenost od vira</w:t>
            </w:r>
          </w:p>
        </w:tc>
        <w:tc>
          <w:tcPr>
            <w:tcW w:w="1843" w:type="dxa"/>
            <w:tcBorders>
              <w:bottom w:val="double" w:sz="4" w:space="0" w:color="auto"/>
            </w:tcBorders>
          </w:tcPr>
          <w:p w:rsidR="00993FB7" w:rsidRPr="00062F64" w:rsidRDefault="00993FB7" w:rsidP="00993FB7">
            <w:pPr>
              <w:autoSpaceDE w:val="0"/>
              <w:autoSpaceDN w:val="0"/>
              <w:adjustRightInd w:val="0"/>
              <w:spacing w:before="40" w:line="276" w:lineRule="auto"/>
              <w:jc w:val="center"/>
              <w:rPr>
                <w:rFonts w:eastAsia="Calibri" w:cs="Arial"/>
                <w:color w:val="000000"/>
                <w:sz w:val="20"/>
                <w:szCs w:val="20"/>
                <w:lang w:val="sl-SI"/>
              </w:rPr>
            </w:pPr>
            <w:r w:rsidRPr="00062F64">
              <w:rPr>
                <w:rFonts w:eastAsia="Calibri" w:cs="Arial"/>
                <w:color w:val="000000"/>
                <w:sz w:val="20"/>
                <w:szCs w:val="20"/>
                <w:lang w:val="sl-SI"/>
              </w:rPr>
              <w:t>3 cm</w:t>
            </w:r>
          </w:p>
        </w:tc>
        <w:tc>
          <w:tcPr>
            <w:tcW w:w="1430" w:type="dxa"/>
            <w:gridSpan w:val="2"/>
            <w:tcBorders>
              <w:bottom w:val="double" w:sz="4" w:space="0" w:color="auto"/>
            </w:tcBorders>
          </w:tcPr>
          <w:p w:rsidR="00993FB7" w:rsidRPr="00062F64" w:rsidRDefault="00993FB7" w:rsidP="00993FB7">
            <w:pPr>
              <w:autoSpaceDE w:val="0"/>
              <w:autoSpaceDN w:val="0"/>
              <w:adjustRightInd w:val="0"/>
              <w:spacing w:before="40" w:line="276" w:lineRule="auto"/>
              <w:jc w:val="center"/>
              <w:rPr>
                <w:rFonts w:eastAsia="Calibri" w:cs="Arial"/>
                <w:color w:val="000000"/>
                <w:sz w:val="20"/>
                <w:szCs w:val="20"/>
                <w:lang w:val="sl-SI"/>
              </w:rPr>
            </w:pPr>
            <w:r w:rsidRPr="00062F64">
              <w:rPr>
                <w:rFonts w:eastAsia="Calibri" w:cs="Arial"/>
                <w:color w:val="000000"/>
                <w:sz w:val="20"/>
                <w:szCs w:val="20"/>
                <w:lang w:val="sl-SI"/>
              </w:rPr>
              <w:t>30 cm</w:t>
            </w:r>
          </w:p>
        </w:tc>
        <w:tc>
          <w:tcPr>
            <w:tcW w:w="3225" w:type="dxa"/>
            <w:tcBorders>
              <w:bottom w:val="double" w:sz="4" w:space="0" w:color="auto"/>
            </w:tcBorders>
          </w:tcPr>
          <w:p w:rsidR="00993FB7" w:rsidRPr="00062F64" w:rsidRDefault="00993FB7" w:rsidP="00993FB7">
            <w:pPr>
              <w:autoSpaceDE w:val="0"/>
              <w:autoSpaceDN w:val="0"/>
              <w:adjustRightInd w:val="0"/>
              <w:spacing w:before="40" w:line="276" w:lineRule="auto"/>
              <w:jc w:val="center"/>
              <w:rPr>
                <w:rFonts w:eastAsia="Calibri" w:cs="Arial"/>
                <w:color w:val="000000"/>
                <w:sz w:val="20"/>
                <w:szCs w:val="20"/>
                <w:lang w:val="sl-SI"/>
              </w:rPr>
            </w:pPr>
            <w:r w:rsidRPr="00062F64">
              <w:rPr>
                <w:rFonts w:eastAsia="Calibri" w:cs="Arial"/>
                <w:color w:val="000000"/>
                <w:sz w:val="20"/>
                <w:szCs w:val="20"/>
                <w:lang w:val="sl-SI"/>
              </w:rPr>
              <w:t>30 cm</w:t>
            </w:r>
          </w:p>
        </w:tc>
      </w:tr>
      <w:tr w:rsidR="00993FB7" w:rsidRPr="00993FB7" w:rsidTr="003014E1">
        <w:trPr>
          <w:jc w:val="center"/>
        </w:trPr>
        <w:tc>
          <w:tcPr>
            <w:tcW w:w="2531" w:type="dxa"/>
            <w:tcBorders>
              <w:top w:val="double" w:sz="4" w:space="0" w:color="auto"/>
            </w:tcBorders>
          </w:tcPr>
          <w:p w:rsidR="00993FB7" w:rsidRPr="00062F64" w:rsidRDefault="00993FB7" w:rsidP="00993FB7">
            <w:pPr>
              <w:autoSpaceDE w:val="0"/>
              <w:autoSpaceDN w:val="0"/>
              <w:adjustRightInd w:val="0"/>
              <w:spacing w:before="40" w:line="276" w:lineRule="auto"/>
              <w:jc w:val="both"/>
              <w:rPr>
                <w:rFonts w:eastAsia="Calibri" w:cs="Arial"/>
                <w:color w:val="000000"/>
                <w:sz w:val="20"/>
                <w:szCs w:val="20"/>
                <w:lang w:val="sl-SI"/>
              </w:rPr>
            </w:pPr>
            <w:r w:rsidRPr="00062F64">
              <w:rPr>
                <w:rFonts w:eastAsia="Calibri" w:cs="Arial"/>
                <w:color w:val="000000"/>
                <w:sz w:val="20"/>
                <w:szCs w:val="20"/>
                <w:lang w:val="sl-SI"/>
              </w:rPr>
              <w:t>Sušilnik za lase</w:t>
            </w:r>
          </w:p>
        </w:tc>
        <w:tc>
          <w:tcPr>
            <w:tcW w:w="1843" w:type="dxa"/>
            <w:tcBorders>
              <w:top w:val="double" w:sz="4" w:space="0" w:color="auto"/>
            </w:tcBorders>
          </w:tcPr>
          <w:p w:rsidR="00993FB7" w:rsidRPr="00062F64" w:rsidRDefault="00993FB7" w:rsidP="00993FB7">
            <w:pPr>
              <w:autoSpaceDE w:val="0"/>
              <w:autoSpaceDN w:val="0"/>
              <w:adjustRightInd w:val="0"/>
              <w:spacing w:before="40" w:line="276" w:lineRule="auto"/>
              <w:jc w:val="center"/>
              <w:rPr>
                <w:rFonts w:eastAsia="Calibri" w:cs="Arial"/>
                <w:color w:val="000000"/>
                <w:sz w:val="20"/>
                <w:szCs w:val="20"/>
                <w:lang w:val="sl-SI"/>
              </w:rPr>
            </w:pPr>
            <w:r w:rsidRPr="00062F64">
              <w:rPr>
                <w:rFonts w:eastAsia="Calibri" w:cs="Arial"/>
                <w:color w:val="000000"/>
                <w:sz w:val="20"/>
                <w:szCs w:val="20"/>
                <w:lang w:val="sl-SI"/>
              </w:rPr>
              <w:t>6 - 2000 μT</w:t>
            </w:r>
          </w:p>
        </w:tc>
        <w:tc>
          <w:tcPr>
            <w:tcW w:w="1430" w:type="dxa"/>
            <w:gridSpan w:val="2"/>
            <w:tcBorders>
              <w:top w:val="double" w:sz="4" w:space="0" w:color="auto"/>
            </w:tcBorders>
          </w:tcPr>
          <w:p w:rsidR="00993FB7" w:rsidRPr="00062F64" w:rsidRDefault="00993FB7" w:rsidP="00993FB7">
            <w:pPr>
              <w:autoSpaceDE w:val="0"/>
              <w:autoSpaceDN w:val="0"/>
              <w:adjustRightInd w:val="0"/>
              <w:spacing w:before="40" w:line="276" w:lineRule="auto"/>
              <w:jc w:val="center"/>
              <w:rPr>
                <w:rFonts w:eastAsia="Calibri" w:cs="Arial"/>
                <w:color w:val="000000"/>
                <w:sz w:val="20"/>
                <w:szCs w:val="20"/>
                <w:lang w:val="sl-SI"/>
              </w:rPr>
            </w:pPr>
            <w:r w:rsidRPr="00062F64">
              <w:rPr>
                <w:rFonts w:eastAsia="Calibri" w:cs="Arial"/>
                <w:color w:val="000000"/>
                <w:sz w:val="20"/>
                <w:szCs w:val="20"/>
                <w:lang w:val="sl-SI"/>
              </w:rPr>
              <w:t>0,01 - 7 μT</w:t>
            </w:r>
          </w:p>
        </w:tc>
        <w:tc>
          <w:tcPr>
            <w:tcW w:w="3225" w:type="dxa"/>
            <w:tcBorders>
              <w:top w:val="double" w:sz="4" w:space="0" w:color="auto"/>
            </w:tcBorders>
          </w:tcPr>
          <w:p w:rsidR="00993FB7" w:rsidRPr="00062F64" w:rsidRDefault="00993FB7" w:rsidP="00993FB7">
            <w:pPr>
              <w:autoSpaceDE w:val="0"/>
              <w:autoSpaceDN w:val="0"/>
              <w:adjustRightInd w:val="0"/>
              <w:spacing w:before="40" w:line="276" w:lineRule="auto"/>
              <w:jc w:val="center"/>
              <w:rPr>
                <w:rFonts w:eastAsia="Calibri" w:cs="Arial"/>
                <w:color w:val="000000"/>
                <w:sz w:val="20"/>
                <w:szCs w:val="20"/>
                <w:lang w:val="sl-SI"/>
              </w:rPr>
            </w:pPr>
            <w:r w:rsidRPr="00062F64">
              <w:rPr>
                <w:rFonts w:eastAsia="Calibri" w:cs="Arial"/>
                <w:color w:val="000000"/>
                <w:sz w:val="20"/>
                <w:szCs w:val="20"/>
                <w:lang w:val="sl-SI"/>
              </w:rPr>
              <w:t>60 V/m</w:t>
            </w:r>
          </w:p>
        </w:tc>
      </w:tr>
      <w:tr w:rsidR="00993FB7" w:rsidRPr="00993FB7" w:rsidTr="003014E1">
        <w:trPr>
          <w:jc w:val="center"/>
        </w:trPr>
        <w:tc>
          <w:tcPr>
            <w:tcW w:w="2531" w:type="dxa"/>
            <w:tcBorders>
              <w:bottom w:val="single" w:sz="4" w:space="0" w:color="auto"/>
            </w:tcBorders>
          </w:tcPr>
          <w:p w:rsidR="00993FB7" w:rsidRPr="00062F64" w:rsidRDefault="00993FB7" w:rsidP="00993FB7">
            <w:pPr>
              <w:autoSpaceDE w:val="0"/>
              <w:autoSpaceDN w:val="0"/>
              <w:adjustRightInd w:val="0"/>
              <w:spacing w:before="40" w:line="276" w:lineRule="auto"/>
              <w:jc w:val="both"/>
              <w:rPr>
                <w:rFonts w:eastAsia="Calibri" w:cs="Arial"/>
                <w:color w:val="000000"/>
                <w:sz w:val="20"/>
                <w:szCs w:val="20"/>
                <w:lang w:val="sl-SI"/>
              </w:rPr>
            </w:pPr>
            <w:r w:rsidRPr="00062F64">
              <w:rPr>
                <w:rFonts w:eastAsia="Calibri" w:cs="Arial"/>
                <w:color w:val="000000"/>
                <w:sz w:val="20"/>
                <w:szCs w:val="20"/>
                <w:lang w:val="sl-SI"/>
              </w:rPr>
              <w:t>Sesalnik</w:t>
            </w:r>
          </w:p>
        </w:tc>
        <w:tc>
          <w:tcPr>
            <w:tcW w:w="1843" w:type="dxa"/>
            <w:tcBorders>
              <w:bottom w:val="single" w:sz="4" w:space="0" w:color="auto"/>
            </w:tcBorders>
          </w:tcPr>
          <w:p w:rsidR="00993FB7" w:rsidRPr="00062F64" w:rsidRDefault="00993FB7" w:rsidP="00993FB7">
            <w:pPr>
              <w:autoSpaceDE w:val="0"/>
              <w:autoSpaceDN w:val="0"/>
              <w:adjustRightInd w:val="0"/>
              <w:spacing w:before="40" w:line="276" w:lineRule="auto"/>
              <w:jc w:val="center"/>
              <w:rPr>
                <w:rFonts w:eastAsia="Calibri" w:cs="Arial"/>
                <w:color w:val="000000"/>
                <w:sz w:val="20"/>
                <w:szCs w:val="20"/>
                <w:lang w:val="sl-SI"/>
              </w:rPr>
            </w:pPr>
            <w:r w:rsidRPr="00062F64">
              <w:rPr>
                <w:rFonts w:eastAsia="Calibri" w:cs="Arial"/>
                <w:color w:val="000000"/>
                <w:sz w:val="20"/>
                <w:szCs w:val="20"/>
                <w:lang w:val="sl-SI"/>
              </w:rPr>
              <w:t>200 - 800 μT</w:t>
            </w:r>
          </w:p>
        </w:tc>
        <w:tc>
          <w:tcPr>
            <w:tcW w:w="1430" w:type="dxa"/>
            <w:gridSpan w:val="2"/>
            <w:tcBorders>
              <w:bottom w:val="single" w:sz="4" w:space="0" w:color="auto"/>
            </w:tcBorders>
          </w:tcPr>
          <w:p w:rsidR="00993FB7" w:rsidRPr="00062F64" w:rsidRDefault="00993FB7" w:rsidP="00993FB7">
            <w:pPr>
              <w:autoSpaceDE w:val="0"/>
              <w:autoSpaceDN w:val="0"/>
              <w:adjustRightInd w:val="0"/>
              <w:spacing w:before="40" w:line="276" w:lineRule="auto"/>
              <w:jc w:val="center"/>
              <w:rPr>
                <w:rFonts w:eastAsia="Calibri" w:cs="Arial"/>
                <w:color w:val="000000"/>
                <w:sz w:val="20"/>
                <w:szCs w:val="20"/>
                <w:lang w:val="sl-SI"/>
              </w:rPr>
            </w:pPr>
            <w:r w:rsidRPr="00062F64">
              <w:rPr>
                <w:rFonts w:eastAsia="Calibri" w:cs="Arial"/>
                <w:color w:val="000000"/>
                <w:sz w:val="20"/>
                <w:szCs w:val="20"/>
                <w:lang w:val="sl-SI"/>
              </w:rPr>
              <w:t>2 – 20 μT</w:t>
            </w:r>
          </w:p>
        </w:tc>
        <w:tc>
          <w:tcPr>
            <w:tcW w:w="3225" w:type="dxa"/>
            <w:tcBorders>
              <w:bottom w:val="single" w:sz="4" w:space="0" w:color="auto"/>
            </w:tcBorders>
          </w:tcPr>
          <w:p w:rsidR="00993FB7" w:rsidRPr="00062F64" w:rsidRDefault="00993FB7" w:rsidP="00993FB7">
            <w:pPr>
              <w:autoSpaceDE w:val="0"/>
              <w:autoSpaceDN w:val="0"/>
              <w:adjustRightInd w:val="0"/>
              <w:spacing w:before="40" w:line="276" w:lineRule="auto"/>
              <w:jc w:val="center"/>
              <w:rPr>
                <w:rFonts w:eastAsia="Calibri" w:cs="Arial"/>
                <w:color w:val="000000"/>
                <w:sz w:val="20"/>
                <w:szCs w:val="20"/>
                <w:lang w:val="sl-SI"/>
              </w:rPr>
            </w:pPr>
            <w:r w:rsidRPr="00062F64">
              <w:rPr>
                <w:rFonts w:eastAsia="Calibri" w:cs="Arial"/>
                <w:color w:val="000000"/>
                <w:sz w:val="20"/>
                <w:szCs w:val="20"/>
                <w:lang w:val="sl-SI"/>
              </w:rPr>
              <w:t>50 V/m</w:t>
            </w:r>
          </w:p>
        </w:tc>
      </w:tr>
      <w:tr w:rsidR="00993FB7" w:rsidRPr="00993FB7" w:rsidTr="003014E1">
        <w:trPr>
          <w:jc w:val="center"/>
        </w:trPr>
        <w:tc>
          <w:tcPr>
            <w:tcW w:w="2531" w:type="dxa"/>
            <w:tcBorders>
              <w:bottom w:val="double" w:sz="4" w:space="0" w:color="auto"/>
            </w:tcBorders>
          </w:tcPr>
          <w:p w:rsidR="00993FB7" w:rsidRPr="00062F64" w:rsidRDefault="00993FB7" w:rsidP="00993FB7">
            <w:pPr>
              <w:autoSpaceDE w:val="0"/>
              <w:autoSpaceDN w:val="0"/>
              <w:adjustRightInd w:val="0"/>
              <w:spacing w:before="40" w:line="276" w:lineRule="auto"/>
              <w:jc w:val="both"/>
              <w:rPr>
                <w:rFonts w:eastAsia="Calibri" w:cs="Arial"/>
                <w:color w:val="000000"/>
                <w:sz w:val="20"/>
                <w:szCs w:val="20"/>
                <w:lang w:val="sl-SI"/>
              </w:rPr>
            </w:pPr>
            <w:r w:rsidRPr="00062F64">
              <w:rPr>
                <w:rFonts w:eastAsia="Calibri" w:cs="Arial"/>
                <w:color w:val="000000"/>
                <w:sz w:val="20"/>
                <w:szCs w:val="20"/>
                <w:lang w:val="sl-SI"/>
              </w:rPr>
              <w:t>TV sprejemnik</w:t>
            </w:r>
          </w:p>
        </w:tc>
        <w:tc>
          <w:tcPr>
            <w:tcW w:w="1843" w:type="dxa"/>
            <w:tcBorders>
              <w:bottom w:val="double" w:sz="4" w:space="0" w:color="auto"/>
            </w:tcBorders>
          </w:tcPr>
          <w:p w:rsidR="00993FB7" w:rsidRPr="00062F64" w:rsidRDefault="00993FB7" w:rsidP="00993FB7">
            <w:pPr>
              <w:autoSpaceDE w:val="0"/>
              <w:autoSpaceDN w:val="0"/>
              <w:adjustRightInd w:val="0"/>
              <w:spacing w:before="40" w:line="276" w:lineRule="auto"/>
              <w:jc w:val="center"/>
              <w:rPr>
                <w:rFonts w:eastAsia="Calibri" w:cs="Arial"/>
                <w:color w:val="000000"/>
                <w:sz w:val="20"/>
                <w:szCs w:val="20"/>
                <w:lang w:val="sl-SI"/>
              </w:rPr>
            </w:pPr>
            <w:r w:rsidRPr="00062F64">
              <w:rPr>
                <w:rFonts w:eastAsia="Calibri" w:cs="Arial"/>
                <w:color w:val="000000"/>
                <w:sz w:val="20"/>
                <w:szCs w:val="20"/>
                <w:lang w:val="sl-SI"/>
              </w:rPr>
              <w:t>2,5 - 50 μT</w:t>
            </w:r>
          </w:p>
        </w:tc>
        <w:tc>
          <w:tcPr>
            <w:tcW w:w="1430" w:type="dxa"/>
            <w:gridSpan w:val="2"/>
            <w:tcBorders>
              <w:bottom w:val="double" w:sz="4" w:space="0" w:color="auto"/>
            </w:tcBorders>
          </w:tcPr>
          <w:p w:rsidR="00993FB7" w:rsidRPr="00062F64" w:rsidRDefault="00993FB7" w:rsidP="00993FB7">
            <w:pPr>
              <w:autoSpaceDE w:val="0"/>
              <w:autoSpaceDN w:val="0"/>
              <w:adjustRightInd w:val="0"/>
              <w:spacing w:before="40" w:line="276" w:lineRule="auto"/>
              <w:jc w:val="center"/>
              <w:rPr>
                <w:rFonts w:eastAsia="Calibri" w:cs="Arial"/>
                <w:color w:val="000000"/>
                <w:sz w:val="20"/>
                <w:szCs w:val="20"/>
                <w:lang w:val="sl-SI"/>
              </w:rPr>
            </w:pPr>
            <w:r w:rsidRPr="00062F64">
              <w:rPr>
                <w:rFonts w:eastAsia="Calibri" w:cs="Arial"/>
                <w:color w:val="000000"/>
                <w:sz w:val="20"/>
                <w:szCs w:val="20"/>
                <w:lang w:val="sl-SI"/>
              </w:rPr>
              <w:t>0,04 - 2 μT</w:t>
            </w:r>
          </w:p>
        </w:tc>
        <w:tc>
          <w:tcPr>
            <w:tcW w:w="3225" w:type="dxa"/>
            <w:tcBorders>
              <w:bottom w:val="double" w:sz="4" w:space="0" w:color="auto"/>
            </w:tcBorders>
          </w:tcPr>
          <w:p w:rsidR="00993FB7" w:rsidRPr="00062F64" w:rsidRDefault="00993FB7" w:rsidP="00993FB7">
            <w:pPr>
              <w:autoSpaceDE w:val="0"/>
              <w:autoSpaceDN w:val="0"/>
              <w:adjustRightInd w:val="0"/>
              <w:spacing w:before="40" w:line="276" w:lineRule="auto"/>
              <w:jc w:val="center"/>
              <w:rPr>
                <w:rFonts w:eastAsia="Calibri" w:cs="Arial"/>
                <w:color w:val="000000"/>
                <w:sz w:val="20"/>
                <w:szCs w:val="20"/>
                <w:lang w:val="sl-SI"/>
              </w:rPr>
            </w:pPr>
            <w:r w:rsidRPr="00062F64">
              <w:rPr>
                <w:rFonts w:eastAsia="Calibri" w:cs="Arial"/>
                <w:color w:val="000000"/>
                <w:sz w:val="20"/>
                <w:szCs w:val="20"/>
                <w:lang w:val="sl-SI"/>
              </w:rPr>
              <w:t>60 V/m</w:t>
            </w:r>
          </w:p>
        </w:tc>
      </w:tr>
      <w:tr w:rsidR="00993FB7" w:rsidRPr="00993FB7" w:rsidTr="003014E1">
        <w:trPr>
          <w:jc w:val="center"/>
        </w:trPr>
        <w:tc>
          <w:tcPr>
            <w:tcW w:w="2531" w:type="dxa"/>
            <w:tcBorders>
              <w:top w:val="double" w:sz="4" w:space="0" w:color="auto"/>
              <w:bottom w:val="double" w:sz="4" w:space="0" w:color="auto"/>
            </w:tcBorders>
          </w:tcPr>
          <w:p w:rsidR="00993FB7" w:rsidRPr="00062F64" w:rsidRDefault="00993FB7" w:rsidP="00993FB7">
            <w:pPr>
              <w:autoSpaceDE w:val="0"/>
              <w:autoSpaceDN w:val="0"/>
              <w:adjustRightInd w:val="0"/>
              <w:spacing w:before="40" w:line="276" w:lineRule="auto"/>
              <w:jc w:val="both"/>
              <w:rPr>
                <w:rFonts w:eastAsia="Calibri" w:cs="Arial"/>
                <w:color w:val="000000"/>
                <w:sz w:val="20"/>
                <w:szCs w:val="20"/>
                <w:lang w:val="sl-SI"/>
              </w:rPr>
            </w:pPr>
            <w:r w:rsidRPr="00062F64">
              <w:rPr>
                <w:rFonts w:eastAsia="Calibri" w:cs="Arial"/>
                <w:color w:val="000000"/>
                <w:sz w:val="20"/>
                <w:szCs w:val="20"/>
                <w:lang w:val="sl-SI"/>
              </w:rPr>
              <w:t>Mejna vrednost*</w:t>
            </w:r>
          </w:p>
        </w:tc>
        <w:tc>
          <w:tcPr>
            <w:tcW w:w="3273" w:type="dxa"/>
            <w:gridSpan w:val="3"/>
            <w:tcBorders>
              <w:top w:val="double" w:sz="4" w:space="0" w:color="auto"/>
              <w:bottom w:val="double" w:sz="4" w:space="0" w:color="auto"/>
            </w:tcBorders>
          </w:tcPr>
          <w:p w:rsidR="00993FB7" w:rsidRPr="00062F64" w:rsidRDefault="00993FB7" w:rsidP="00993FB7">
            <w:pPr>
              <w:autoSpaceDE w:val="0"/>
              <w:autoSpaceDN w:val="0"/>
              <w:adjustRightInd w:val="0"/>
              <w:spacing w:before="40" w:line="276" w:lineRule="auto"/>
              <w:jc w:val="center"/>
              <w:rPr>
                <w:rFonts w:eastAsia="Calibri" w:cs="Arial"/>
                <w:color w:val="000000"/>
                <w:sz w:val="20"/>
                <w:szCs w:val="20"/>
                <w:lang w:val="sl-SI"/>
              </w:rPr>
            </w:pPr>
            <w:r w:rsidRPr="00062F64">
              <w:rPr>
                <w:rFonts w:eastAsia="Calibri" w:cs="Arial"/>
                <w:color w:val="000000"/>
                <w:sz w:val="20"/>
                <w:szCs w:val="20"/>
                <w:lang w:val="sl-SI"/>
              </w:rPr>
              <w:t>10 μT</w:t>
            </w:r>
          </w:p>
        </w:tc>
        <w:tc>
          <w:tcPr>
            <w:tcW w:w="3225" w:type="dxa"/>
            <w:tcBorders>
              <w:top w:val="double" w:sz="4" w:space="0" w:color="auto"/>
              <w:bottom w:val="double" w:sz="4" w:space="0" w:color="auto"/>
            </w:tcBorders>
          </w:tcPr>
          <w:p w:rsidR="00993FB7" w:rsidRPr="00062F64" w:rsidRDefault="00993FB7" w:rsidP="00993FB7">
            <w:pPr>
              <w:autoSpaceDE w:val="0"/>
              <w:autoSpaceDN w:val="0"/>
              <w:adjustRightInd w:val="0"/>
              <w:spacing w:before="40" w:line="276" w:lineRule="auto"/>
              <w:jc w:val="center"/>
              <w:rPr>
                <w:rFonts w:eastAsia="Calibri" w:cs="Arial"/>
                <w:color w:val="000000"/>
                <w:sz w:val="20"/>
                <w:szCs w:val="20"/>
                <w:lang w:val="sl-SI"/>
              </w:rPr>
            </w:pPr>
            <w:r w:rsidRPr="00062F64">
              <w:rPr>
                <w:rFonts w:eastAsia="Calibri" w:cs="Arial"/>
                <w:color w:val="000000"/>
                <w:sz w:val="20"/>
                <w:szCs w:val="20"/>
                <w:lang w:val="sl-SI"/>
              </w:rPr>
              <w:t>500 V/m</w:t>
            </w:r>
          </w:p>
        </w:tc>
      </w:tr>
      <w:tr w:rsidR="00993FB7" w:rsidRPr="00993FB7" w:rsidTr="003014E1">
        <w:trPr>
          <w:jc w:val="center"/>
        </w:trPr>
        <w:tc>
          <w:tcPr>
            <w:tcW w:w="2531" w:type="dxa"/>
            <w:tcBorders>
              <w:top w:val="double" w:sz="4" w:space="0" w:color="auto"/>
              <w:bottom w:val="single" w:sz="4" w:space="0" w:color="auto"/>
            </w:tcBorders>
          </w:tcPr>
          <w:p w:rsidR="00993FB7" w:rsidRPr="00062F64" w:rsidRDefault="00993FB7" w:rsidP="00993FB7">
            <w:pPr>
              <w:autoSpaceDE w:val="0"/>
              <w:autoSpaceDN w:val="0"/>
              <w:adjustRightInd w:val="0"/>
              <w:spacing w:before="40" w:line="276" w:lineRule="auto"/>
              <w:rPr>
                <w:rFonts w:eastAsia="Calibri" w:cs="Arial"/>
                <w:color w:val="000000"/>
                <w:sz w:val="20"/>
                <w:szCs w:val="20"/>
                <w:lang w:val="sl-SI"/>
              </w:rPr>
            </w:pPr>
          </w:p>
        </w:tc>
        <w:tc>
          <w:tcPr>
            <w:tcW w:w="6498" w:type="dxa"/>
            <w:gridSpan w:val="4"/>
            <w:tcBorders>
              <w:top w:val="double" w:sz="4" w:space="0" w:color="auto"/>
              <w:bottom w:val="single" w:sz="4" w:space="0" w:color="auto"/>
            </w:tcBorders>
          </w:tcPr>
          <w:p w:rsidR="00993FB7" w:rsidRPr="00062F64" w:rsidRDefault="00993FB7" w:rsidP="00993FB7">
            <w:pPr>
              <w:spacing w:before="40" w:line="276" w:lineRule="auto"/>
              <w:jc w:val="center"/>
              <w:rPr>
                <w:rFonts w:eastAsia="Calibri" w:cs="Arial"/>
                <w:color w:val="000000"/>
                <w:sz w:val="20"/>
                <w:szCs w:val="20"/>
                <w:lang w:val="sl-SI"/>
              </w:rPr>
            </w:pPr>
            <w:r w:rsidRPr="00062F64">
              <w:rPr>
                <w:rFonts w:eastAsia="Calibri" w:cs="Arial"/>
                <w:color w:val="000000"/>
                <w:sz w:val="20"/>
                <w:szCs w:val="20"/>
                <w:lang w:val="sl-SI"/>
              </w:rPr>
              <w:t>Vplivno območje I. stopnje**</w:t>
            </w:r>
          </w:p>
        </w:tc>
      </w:tr>
      <w:tr w:rsidR="00993FB7" w:rsidRPr="00993FB7" w:rsidTr="003014E1">
        <w:trPr>
          <w:jc w:val="center"/>
        </w:trPr>
        <w:tc>
          <w:tcPr>
            <w:tcW w:w="2531" w:type="dxa"/>
            <w:tcBorders>
              <w:top w:val="single" w:sz="4" w:space="0" w:color="auto"/>
              <w:bottom w:val="single" w:sz="4" w:space="0" w:color="auto"/>
            </w:tcBorders>
          </w:tcPr>
          <w:p w:rsidR="00993FB7" w:rsidRPr="00062F64" w:rsidRDefault="00993FB7" w:rsidP="00993FB7">
            <w:pPr>
              <w:autoSpaceDE w:val="0"/>
              <w:autoSpaceDN w:val="0"/>
              <w:adjustRightInd w:val="0"/>
              <w:spacing w:before="40" w:line="276" w:lineRule="auto"/>
              <w:rPr>
                <w:rFonts w:eastAsia="Calibri" w:cs="Arial"/>
                <w:color w:val="000000"/>
                <w:sz w:val="20"/>
                <w:szCs w:val="20"/>
                <w:lang w:val="sl-SI"/>
              </w:rPr>
            </w:pPr>
            <w:r w:rsidRPr="00062F64">
              <w:rPr>
                <w:rFonts w:eastAsia="Calibri" w:cs="Arial"/>
                <w:color w:val="000000"/>
                <w:sz w:val="20"/>
                <w:szCs w:val="20"/>
                <w:lang w:val="sl-SI"/>
              </w:rPr>
              <w:t>400 kV daljnovod</w:t>
            </w:r>
          </w:p>
        </w:tc>
        <w:tc>
          <w:tcPr>
            <w:tcW w:w="3249" w:type="dxa"/>
            <w:gridSpan w:val="2"/>
            <w:tcBorders>
              <w:top w:val="single" w:sz="4" w:space="0" w:color="auto"/>
              <w:bottom w:val="single" w:sz="4" w:space="0" w:color="auto"/>
            </w:tcBorders>
          </w:tcPr>
          <w:p w:rsidR="00993FB7" w:rsidRPr="00062F64" w:rsidRDefault="00993FB7" w:rsidP="00993FB7">
            <w:pPr>
              <w:spacing w:before="40" w:line="276" w:lineRule="auto"/>
              <w:jc w:val="center"/>
              <w:rPr>
                <w:rFonts w:eastAsia="Calibri" w:cs="Arial"/>
                <w:sz w:val="20"/>
                <w:szCs w:val="20"/>
                <w:lang w:val="sl-SI"/>
              </w:rPr>
            </w:pPr>
            <w:r w:rsidRPr="00062F64">
              <w:rPr>
                <w:rFonts w:eastAsia="Calibri" w:cs="Arial"/>
                <w:color w:val="000000"/>
                <w:sz w:val="20"/>
                <w:szCs w:val="20"/>
                <w:lang w:val="sl-SI"/>
              </w:rPr>
              <w:t>25 – 28 m</w:t>
            </w:r>
          </w:p>
        </w:tc>
        <w:tc>
          <w:tcPr>
            <w:tcW w:w="3249" w:type="dxa"/>
            <w:gridSpan w:val="2"/>
            <w:tcBorders>
              <w:top w:val="single" w:sz="4" w:space="0" w:color="auto"/>
              <w:bottom w:val="single" w:sz="4" w:space="0" w:color="auto"/>
            </w:tcBorders>
          </w:tcPr>
          <w:p w:rsidR="00993FB7" w:rsidRPr="00062F64" w:rsidRDefault="00993FB7" w:rsidP="00993FB7">
            <w:pPr>
              <w:spacing w:before="40" w:line="276" w:lineRule="auto"/>
              <w:jc w:val="center"/>
              <w:rPr>
                <w:rFonts w:eastAsia="Calibri" w:cs="Arial"/>
                <w:sz w:val="20"/>
                <w:szCs w:val="20"/>
                <w:lang w:val="sl-SI"/>
              </w:rPr>
            </w:pPr>
            <w:r w:rsidRPr="00062F64">
              <w:rPr>
                <w:rFonts w:eastAsia="Calibri" w:cs="Arial"/>
                <w:color w:val="000000"/>
                <w:sz w:val="20"/>
                <w:szCs w:val="20"/>
                <w:lang w:val="sl-SI"/>
              </w:rPr>
              <w:t>42 – 46 m</w:t>
            </w:r>
          </w:p>
        </w:tc>
      </w:tr>
      <w:tr w:rsidR="00993FB7" w:rsidRPr="00993FB7" w:rsidTr="003014E1">
        <w:trPr>
          <w:jc w:val="center"/>
        </w:trPr>
        <w:tc>
          <w:tcPr>
            <w:tcW w:w="2531" w:type="dxa"/>
            <w:tcBorders>
              <w:top w:val="single" w:sz="4" w:space="0" w:color="auto"/>
              <w:bottom w:val="single" w:sz="4" w:space="0" w:color="auto"/>
            </w:tcBorders>
          </w:tcPr>
          <w:p w:rsidR="00993FB7" w:rsidRPr="00062F64" w:rsidRDefault="00993FB7" w:rsidP="00993FB7">
            <w:pPr>
              <w:autoSpaceDE w:val="0"/>
              <w:autoSpaceDN w:val="0"/>
              <w:adjustRightInd w:val="0"/>
              <w:spacing w:before="40" w:line="276" w:lineRule="auto"/>
              <w:rPr>
                <w:rFonts w:eastAsia="Calibri" w:cs="Arial"/>
                <w:color w:val="000000"/>
                <w:sz w:val="20"/>
                <w:szCs w:val="20"/>
                <w:lang w:val="sl-SI"/>
              </w:rPr>
            </w:pPr>
            <w:r w:rsidRPr="00062F64">
              <w:rPr>
                <w:rFonts w:eastAsia="Calibri" w:cs="Arial"/>
                <w:color w:val="000000"/>
                <w:sz w:val="20"/>
                <w:szCs w:val="20"/>
                <w:lang w:val="sl-SI"/>
              </w:rPr>
              <w:t xml:space="preserve">220 kV daljnovod </w:t>
            </w:r>
          </w:p>
        </w:tc>
        <w:tc>
          <w:tcPr>
            <w:tcW w:w="3249" w:type="dxa"/>
            <w:gridSpan w:val="2"/>
            <w:tcBorders>
              <w:top w:val="single" w:sz="4" w:space="0" w:color="auto"/>
              <w:bottom w:val="single" w:sz="4" w:space="0" w:color="auto"/>
            </w:tcBorders>
          </w:tcPr>
          <w:p w:rsidR="00993FB7" w:rsidRPr="00062F64" w:rsidRDefault="00993FB7" w:rsidP="00993FB7">
            <w:pPr>
              <w:spacing w:before="40" w:line="276" w:lineRule="auto"/>
              <w:jc w:val="center"/>
              <w:rPr>
                <w:rFonts w:eastAsia="Calibri" w:cs="Arial"/>
                <w:sz w:val="20"/>
                <w:szCs w:val="20"/>
                <w:lang w:val="sl-SI"/>
              </w:rPr>
            </w:pPr>
            <w:r w:rsidRPr="00062F64">
              <w:rPr>
                <w:rFonts w:eastAsia="Calibri" w:cs="Arial"/>
                <w:color w:val="000000"/>
                <w:sz w:val="20"/>
                <w:szCs w:val="20"/>
                <w:lang w:val="sl-SI"/>
              </w:rPr>
              <w:t>13 – 14 m</w:t>
            </w:r>
          </w:p>
        </w:tc>
        <w:tc>
          <w:tcPr>
            <w:tcW w:w="3249" w:type="dxa"/>
            <w:gridSpan w:val="2"/>
            <w:tcBorders>
              <w:top w:val="single" w:sz="4" w:space="0" w:color="auto"/>
              <w:bottom w:val="single" w:sz="4" w:space="0" w:color="auto"/>
            </w:tcBorders>
          </w:tcPr>
          <w:p w:rsidR="00993FB7" w:rsidRPr="00062F64" w:rsidRDefault="00993FB7" w:rsidP="00993FB7">
            <w:pPr>
              <w:spacing w:before="40" w:line="276" w:lineRule="auto"/>
              <w:jc w:val="center"/>
              <w:rPr>
                <w:rFonts w:eastAsia="Calibri" w:cs="Arial"/>
                <w:sz w:val="20"/>
                <w:szCs w:val="20"/>
                <w:lang w:val="sl-SI"/>
              </w:rPr>
            </w:pPr>
            <w:r w:rsidRPr="00062F64">
              <w:rPr>
                <w:rFonts w:eastAsia="Calibri" w:cs="Arial"/>
                <w:color w:val="000000"/>
                <w:sz w:val="20"/>
                <w:szCs w:val="20"/>
                <w:lang w:val="sl-SI"/>
              </w:rPr>
              <w:t>18 – 24 m</w:t>
            </w:r>
          </w:p>
        </w:tc>
      </w:tr>
      <w:tr w:rsidR="00993FB7" w:rsidRPr="00993FB7" w:rsidTr="003014E1">
        <w:trPr>
          <w:jc w:val="center"/>
        </w:trPr>
        <w:tc>
          <w:tcPr>
            <w:tcW w:w="2531" w:type="dxa"/>
            <w:tcBorders>
              <w:top w:val="single" w:sz="4" w:space="0" w:color="auto"/>
            </w:tcBorders>
          </w:tcPr>
          <w:p w:rsidR="00993FB7" w:rsidRPr="00062F64" w:rsidRDefault="00993FB7" w:rsidP="00993FB7">
            <w:pPr>
              <w:autoSpaceDE w:val="0"/>
              <w:autoSpaceDN w:val="0"/>
              <w:adjustRightInd w:val="0"/>
              <w:spacing w:before="40" w:line="276" w:lineRule="auto"/>
              <w:rPr>
                <w:rFonts w:eastAsia="Calibri" w:cs="Arial"/>
                <w:color w:val="000000"/>
                <w:sz w:val="20"/>
                <w:szCs w:val="20"/>
                <w:lang w:val="sl-SI"/>
              </w:rPr>
            </w:pPr>
            <w:r w:rsidRPr="00062F64">
              <w:rPr>
                <w:rFonts w:eastAsia="Calibri" w:cs="Arial"/>
                <w:color w:val="000000"/>
                <w:sz w:val="20"/>
                <w:szCs w:val="20"/>
                <w:lang w:val="sl-SI"/>
              </w:rPr>
              <w:t>110 kV daljnovod</w:t>
            </w:r>
          </w:p>
        </w:tc>
        <w:tc>
          <w:tcPr>
            <w:tcW w:w="3249" w:type="dxa"/>
            <w:gridSpan w:val="2"/>
            <w:tcBorders>
              <w:top w:val="single" w:sz="4" w:space="0" w:color="auto"/>
            </w:tcBorders>
          </w:tcPr>
          <w:p w:rsidR="00993FB7" w:rsidRPr="00062F64" w:rsidRDefault="00993FB7" w:rsidP="00993FB7">
            <w:pPr>
              <w:spacing w:before="40" w:line="276" w:lineRule="auto"/>
              <w:jc w:val="center"/>
              <w:rPr>
                <w:rFonts w:eastAsia="Calibri" w:cs="Arial"/>
                <w:sz w:val="20"/>
                <w:szCs w:val="20"/>
                <w:lang w:val="sl-SI"/>
              </w:rPr>
            </w:pPr>
            <w:r w:rsidRPr="00062F64">
              <w:rPr>
                <w:rFonts w:eastAsia="Calibri" w:cs="Arial"/>
                <w:color w:val="000000"/>
                <w:sz w:val="20"/>
                <w:szCs w:val="20"/>
                <w:lang w:val="sl-SI"/>
              </w:rPr>
              <w:t>4 – 7 m</w:t>
            </w:r>
          </w:p>
        </w:tc>
        <w:tc>
          <w:tcPr>
            <w:tcW w:w="3249" w:type="dxa"/>
            <w:gridSpan w:val="2"/>
            <w:tcBorders>
              <w:top w:val="single" w:sz="4" w:space="0" w:color="auto"/>
            </w:tcBorders>
          </w:tcPr>
          <w:p w:rsidR="00993FB7" w:rsidRPr="00062F64" w:rsidRDefault="00993FB7" w:rsidP="00993FB7">
            <w:pPr>
              <w:spacing w:before="40" w:line="276" w:lineRule="auto"/>
              <w:jc w:val="center"/>
              <w:rPr>
                <w:rFonts w:eastAsia="Calibri" w:cs="Arial"/>
                <w:sz w:val="20"/>
                <w:szCs w:val="20"/>
                <w:lang w:val="sl-SI"/>
              </w:rPr>
            </w:pPr>
            <w:r w:rsidRPr="00062F64">
              <w:rPr>
                <w:rFonts w:eastAsia="Calibri" w:cs="Arial"/>
                <w:color w:val="000000"/>
                <w:sz w:val="20"/>
                <w:szCs w:val="20"/>
                <w:lang w:val="sl-SI"/>
              </w:rPr>
              <w:t>11 – 14 m</w:t>
            </w:r>
          </w:p>
        </w:tc>
      </w:tr>
    </w:tbl>
    <w:p w:rsidR="001B34D7" w:rsidRDefault="001B34D7" w:rsidP="001B34D7">
      <w:pPr>
        <w:autoSpaceDE w:val="0"/>
        <w:autoSpaceDN w:val="0"/>
        <w:adjustRightInd w:val="0"/>
        <w:spacing w:after="200" w:line="276" w:lineRule="auto"/>
        <w:jc w:val="both"/>
        <w:rPr>
          <w:rFonts w:eastAsiaTheme="minorHAnsi" w:cs="Arial"/>
          <w:bCs/>
          <w:szCs w:val="20"/>
          <w:lang w:val="sl-SI"/>
        </w:rPr>
      </w:pPr>
    </w:p>
    <w:p w:rsidR="001B34D7" w:rsidRDefault="001B34D7" w:rsidP="001B34D7">
      <w:pPr>
        <w:autoSpaceDE w:val="0"/>
        <w:autoSpaceDN w:val="0"/>
        <w:adjustRightInd w:val="0"/>
        <w:spacing w:after="200" w:line="276" w:lineRule="auto"/>
        <w:jc w:val="both"/>
        <w:rPr>
          <w:rFonts w:eastAsiaTheme="minorHAnsi" w:cs="Arial"/>
          <w:bCs/>
          <w:szCs w:val="20"/>
          <w:lang w:val="sl-SI"/>
        </w:rPr>
      </w:pPr>
      <w:r w:rsidRPr="001B34D7">
        <w:rPr>
          <w:rFonts w:eastAsiaTheme="minorHAnsi" w:cs="Arial"/>
          <w:bCs/>
          <w:szCs w:val="20"/>
          <w:lang w:val="sl-SI"/>
        </w:rPr>
        <w:t xml:space="preserve">Nekateri viri EMS kljub temu, da ob njih živimo že dolgo, ob umeščanju v prostor sprožajo burne odzive okolice. Takšen primer so daljnovodi, saj povsod, kjer se izkaže potreba po umeščanju daljnovoda v prostor, naletijo na odpor okoliških prebivalcev. Na področju visokofrekvenčnih virov se srečujemo z vedno novimi viri, saj se omrežje mobilne telefonije še vedno izgrajuje, prav tako pa so se v zadnjih letih v prostor umestili novi televizijski oddajniki, ki nadomeščajo stare analogne oddajnike. A posameznik je najbolj izpostavljen EMS električnih </w:t>
      </w:r>
      <w:r w:rsidR="00FA5EE0">
        <w:rPr>
          <w:rFonts w:eastAsiaTheme="minorHAnsi" w:cs="Arial"/>
          <w:bCs/>
          <w:szCs w:val="20"/>
          <w:lang w:val="sl-SI"/>
        </w:rPr>
        <w:t xml:space="preserve">in elektronskih </w:t>
      </w:r>
      <w:r w:rsidRPr="001B34D7">
        <w:rPr>
          <w:rFonts w:eastAsiaTheme="minorHAnsi" w:cs="Arial"/>
          <w:bCs/>
          <w:szCs w:val="20"/>
          <w:lang w:val="sl-SI"/>
        </w:rPr>
        <w:t xml:space="preserve">naprav, ki jih uporablja v vsakdanjem življenju. </w:t>
      </w:r>
    </w:p>
    <w:p w:rsidR="001B34D7" w:rsidRPr="001B34D7" w:rsidRDefault="001B34D7" w:rsidP="001B34D7">
      <w:pPr>
        <w:autoSpaceDE w:val="0"/>
        <w:autoSpaceDN w:val="0"/>
        <w:adjustRightInd w:val="0"/>
        <w:spacing w:line="276" w:lineRule="auto"/>
        <w:jc w:val="both"/>
        <w:rPr>
          <w:rFonts w:eastAsiaTheme="minorHAnsi" w:cs="Arial"/>
          <w:bCs/>
          <w:szCs w:val="20"/>
          <w:lang w:val="sl-SI"/>
        </w:rPr>
      </w:pPr>
    </w:p>
    <w:p w:rsidR="00993FB7" w:rsidRPr="00993FB7" w:rsidRDefault="00993FB7" w:rsidP="00993FB7">
      <w:pPr>
        <w:autoSpaceDE w:val="0"/>
        <w:autoSpaceDN w:val="0"/>
        <w:adjustRightInd w:val="0"/>
        <w:spacing w:after="200" w:line="276" w:lineRule="auto"/>
        <w:rPr>
          <w:rFonts w:eastAsiaTheme="minorHAnsi" w:cs="Arial"/>
          <w:b/>
          <w:bCs/>
          <w:szCs w:val="20"/>
          <w:u w:val="single"/>
          <w:lang w:val="sl-SI"/>
        </w:rPr>
      </w:pPr>
      <w:r w:rsidRPr="00993FB7">
        <w:rPr>
          <w:rFonts w:eastAsiaTheme="minorHAnsi" w:cs="Arial"/>
          <w:b/>
          <w:bCs/>
          <w:szCs w:val="20"/>
          <w:u w:val="single"/>
          <w:lang w:val="sl-SI"/>
        </w:rPr>
        <w:t>1</w:t>
      </w:r>
      <w:r w:rsidR="00DE3B10">
        <w:rPr>
          <w:rFonts w:eastAsiaTheme="minorHAnsi" w:cs="Arial"/>
          <w:b/>
          <w:bCs/>
          <w:szCs w:val="20"/>
          <w:u w:val="single"/>
          <w:lang w:val="sl-SI"/>
        </w:rPr>
        <w:t>2</w:t>
      </w:r>
      <w:r w:rsidRPr="00993FB7">
        <w:rPr>
          <w:rFonts w:eastAsiaTheme="minorHAnsi" w:cs="Arial"/>
          <w:b/>
          <w:bCs/>
          <w:szCs w:val="20"/>
          <w:u w:val="single"/>
          <w:lang w:val="sl-SI"/>
        </w:rPr>
        <w:t>.3 Viri elektromagnetnega sevanja</w:t>
      </w:r>
    </w:p>
    <w:p w:rsidR="00993FB7" w:rsidRPr="00993FB7" w:rsidRDefault="00993FB7" w:rsidP="00993FB7">
      <w:pPr>
        <w:autoSpaceDE w:val="0"/>
        <w:autoSpaceDN w:val="0"/>
        <w:adjustRightInd w:val="0"/>
        <w:spacing w:after="200" w:line="276" w:lineRule="auto"/>
        <w:jc w:val="both"/>
        <w:rPr>
          <w:rFonts w:eastAsiaTheme="minorHAnsi" w:cs="Arial"/>
          <w:color w:val="000000"/>
          <w:szCs w:val="20"/>
          <w:lang w:val="sl-SI"/>
        </w:rPr>
      </w:pPr>
      <w:r w:rsidRPr="00CA4188">
        <w:rPr>
          <w:rFonts w:eastAsiaTheme="minorHAnsi" w:cs="Arial"/>
          <w:color w:val="000000"/>
          <w:szCs w:val="20"/>
          <w:lang w:val="sl-SI"/>
        </w:rPr>
        <w:t>Statična magnetna polja so prisotna pri enosmernem toku, ki se običajno uporablja v ž</w:t>
      </w:r>
      <w:r w:rsidRPr="00CA4188">
        <w:rPr>
          <w:rFonts w:eastAsiaTheme="minorHAnsi" w:cs="Arial"/>
          <w:szCs w:val="20"/>
          <w:lang w:val="sl-SI"/>
        </w:rPr>
        <w:t>elezniških sistemih, napravah za proizvodnjo aluminija in varilnih napravah. Pogostejša obremenitev prebivalstva s statičnim magnetnim poljem je prisotna v zdravstvu</w:t>
      </w:r>
      <w:r w:rsidR="00ED0D9D">
        <w:rPr>
          <w:rFonts w:eastAsiaTheme="minorHAnsi" w:cs="Arial"/>
          <w:szCs w:val="20"/>
          <w:lang w:val="sl-SI"/>
        </w:rPr>
        <w:t>,</w:t>
      </w:r>
      <w:r w:rsidRPr="00CA4188">
        <w:rPr>
          <w:rFonts w:eastAsiaTheme="minorHAnsi" w:cs="Arial"/>
          <w:szCs w:val="20"/>
          <w:lang w:val="sl-SI"/>
        </w:rPr>
        <w:t xml:space="preserve"> in sicer za namen diagnostike (npr. slikanje  možganov in drugih delov telesa z magnetno resonanco). V teh primerih izpostavljenost </w:t>
      </w:r>
      <w:r w:rsidR="00C221E8">
        <w:rPr>
          <w:rFonts w:eastAsiaTheme="minorHAnsi" w:cs="Arial"/>
          <w:szCs w:val="20"/>
          <w:lang w:val="sl-SI"/>
        </w:rPr>
        <w:t xml:space="preserve">magnetnemu polju </w:t>
      </w:r>
      <w:r w:rsidRPr="00CA4188">
        <w:rPr>
          <w:rFonts w:eastAsiaTheme="minorHAnsi" w:cs="Arial"/>
          <w:szCs w:val="20"/>
          <w:lang w:val="sl-SI"/>
        </w:rPr>
        <w:t xml:space="preserve">običajno presega mejne vrednosti in to tako za paciente kot za osebje. Ker pa imata diagnostika in zdravljenje večjo korist za ljudi kot kratkotrajni škodljivi vpliv statičnega magnetnega polja na organizem, se določbe </w:t>
      </w:r>
      <w:r w:rsidRPr="00CA4188">
        <w:rPr>
          <w:rFonts w:eastAsiaTheme="minorHAnsi" w:cs="Arial"/>
          <w:color w:val="000000"/>
          <w:szCs w:val="20"/>
          <w:lang w:val="sl-SI"/>
        </w:rPr>
        <w:t xml:space="preserve">Uredbe o elektromagnetnem sevanju v naravnem in življenjskem okolju (Uradni list RS, št. 70/96) ne uporabljajo za sevanja teh naprav. </w:t>
      </w:r>
      <w:r w:rsidRPr="00CA4188">
        <w:rPr>
          <w:rFonts w:eastAsiaTheme="minorHAnsi" w:cs="Arial"/>
          <w:szCs w:val="20"/>
          <w:lang w:val="sl-SI"/>
        </w:rPr>
        <w:t xml:space="preserve">Osebje, ki uporablja te naprave v zdravstvu, je </w:t>
      </w:r>
      <w:r w:rsidRPr="00CA4188">
        <w:rPr>
          <w:rFonts w:eastAsiaTheme="minorHAnsi" w:cs="Arial"/>
          <w:color w:val="000000"/>
          <w:szCs w:val="20"/>
          <w:lang w:val="sl-SI"/>
        </w:rPr>
        <w:t>obravnav</w:t>
      </w:r>
      <w:r w:rsidR="00ED0D9D">
        <w:rPr>
          <w:rFonts w:eastAsiaTheme="minorHAnsi" w:cs="Arial"/>
          <w:color w:val="000000"/>
          <w:szCs w:val="20"/>
          <w:lang w:val="sl-SI"/>
        </w:rPr>
        <w:t>a</w:t>
      </w:r>
      <w:r w:rsidRPr="00CA4188">
        <w:rPr>
          <w:rFonts w:eastAsiaTheme="minorHAnsi" w:cs="Arial"/>
          <w:color w:val="000000"/>
          <w:szCs w:val="20"/>
          <w:lang w:val="sl-SI"/>
        </w:rPr>
        <w:t xml:space="preserve">no v Direktivi 2013/35/EU Evropskega parlamenta in Sveta z dne 26. junija 2013 o minimalnih zdravstvenih in varnostnih zahtevah v zvezi z izpostavljenostjo delavcev tveganjem, ki nastajajo zaradi fizikalnih dejavnikov (elektromagnetnih sevanj) (20. posebna direktiva v smislu člena 16(1) Direktive 89/391/EGS) in razveljavitvi Direktive 2004/40/ES. Mejne vrednosti za delavce, ki so izpostavljeni EMS, so višje od mejnih vrednosti za prebivalstvo, saj so zanje zagotovljeni dodatni varnostni ukrepi in aktivnosti. Prenos omenjene direktive v slovenski pravni red </w:t>
      </w:r>
      <w:r w:rsidR="00A51864">
        <w:rPr>
          <w:rFonts w:eastAsiaTheme="minorHAnsi" w:cs="Arial"/>
          <w:color w:val="000000"/>
          <w:szCs w:val="20"/>
          <w:lang w:val="sl-SI"/>
        </w:rPr>
        <w:t xml:space="preserve">je izveden s predpisom s področja varnosti in zdravja pri delu. </w:t>
      </w:r>
      <w:r w:rsidRPr="00993FB7">
        <w:rPr>
          <w:rFonts w:eastAsiaTheme="minorHAnsi" w:cs="Arial"/>
          <w:color w:val="000000"/>
          <w:szCs w:val="20"/>
          <w:lang w:val="sl-SI"/>
        </w:rPr>
        <w:t xml:space="preserve"> </w:t>
      </w:r>
    </w:p>
    <w:p w:rsidR="00993FB7" w:rsidRPr="00993FB7" w:rsidRDefault="00993FB7" w:rsidP="00993FB7">
      <w:pPr>
        <w:autoSpaceDE w:val="0"/>
        <w:autoSpaceDN w:val="0"/>
        <w:adjustRightInd w:val="0"/>
        <w:spacing w:after="200" w:line="276" w:lineRule="auto"/>
        <w:jc w:val="both"/>
        <w:rPr>
          <w:rFonts w:eastAsiaTheme="minorHAnsi" w:cs="Arial"/>
          <w:color w:val="000000"/>
          <w:szCs w:val="20"/>
          <w:lang w:val="sl-SI"/>
        </w:rPr>
      </w:pPr>
      <w:r w:rsidRPr="00993FB7">
        <w:rPr>
          <w:rFonts w:eastAsiaTheme="minorHAnsi" w:cs="Arial"/>
          <w:color w:val="000000"/>
          <w:szCs w:val="20"/>
          <w:lang w:val="sl-SI"/>
        </w:rPr>
        <w:t xml:space="preserve">Za nizkofrekvenčne vire EMS se </w:t>
      </w:r>
      <w:r w:rsidR="00ED0D9D">
        <w:rPr>
          <w:rFonts w:eastAsiaTheme="minorHAnsi" w:cs="Arial"/>
          <w:color w:val="000000"/>
          <w:szCs w:val="20"/>
          <w:lang w:val="sl-SI"/>
        </w:rPr>
        <w:t xml:space="preserve">v </w:t>
      </w:r>
      <w:r w:rsidRPr="00993FB7">
        <w:rPr>
          <w:rFonts w:eastAsiaTheme="minorHAnsi" w:cs="Arial"/>
          <w:color w:val="000000"/>
          <w:szCs w:val="20"/>
          <w:lang w:val="sl-SI"/>
        </w:rPr>
        <w:t>sklad</w:t>
      </w:r>
      <w:r w:rsidR="00ED0D9D">
        <w:rPr>
          <w:rFonts w:eastAsiaTheme="minorHAnsi" w:cs="Arial"/>
          <w:color w:val="000000"/>
          <w:szCs w:val="20"/>
          <w:lang w:val="sl-SI"/>
        </w:rPr>
        <w:t>u</w:t>
      </w:r>
      <w:r w:rsidRPr="00993FB7">
        <w:rPr>
          <w:rFonts w:eastAsiaTheme="minorHAnsi" w:cs="Arial"/>
          <w:color w:val="000000"/>
          <w:szCs w:val="20"/>
          <w:lang w:val="sl-SI"/>
        </w:rPr>
        <w:t xml:space="preserve"> z uredbo upoštevajo naprave, ki obratujejo v frekvenčnem območju do 10.000 Hz. Nizkofrekvenčni viri EMS, ki s</w:t>
      </w:r>
      <w:r w:rsidR="00ED0D9D">
        <w:rPr>
          <w:rFonts w:eastAsiaTheme="minorHAnsi" w:cs="Arial"/>
          <w:color w:val="000000"/>
          <w:szCs w:val="20"/>
          <w:lang w:val="sl-SI"/>
        </w:rPr>
        <w:t>o</w:t>
      </w:r>
      <w:r w:rsidRPr="00993FB7">
        <w:rPr>
          <w:rFonts w:eastAsiaTheme="minorHAnsi" w:cs="Arial"/>
          <w:color w:val="000000"/>
          <w:szCs w:val="20"/>
          <w:lang w:val="sl-SI"/>
        </w:rPr>
        <w:t xml:space="preserve"> v posredni ali neposredni bližini ljudi, obratujejo običajno pri frekvenci 50 Hz. Med nizkofrekvenčne vire EMS spadajo električne naprave, ki jih vsakodnevno uporabljamo v gospodinjstvu in prostem času, nizko-, srednje- in visokonapetostni daljnovodi, </w:t>
      </w:r>
      <w:r w:rsidR="00A51864">
        <w:rPr>
          <w:rFonts w:eastAsiaTheme="minorHAnsi" w:cs="Arial"/>
          <w:color w:val="000000"/>
          <w:szCs w:val="20"/>
          <w:lang w:val="sl-SI"/>
        </w:rPr>
        <w:t xml:space="preserve">podzemni ali nadzemni </w:t>
      </w:r>
      <w:r w:rsidRPr="00993FB7">
        <w:rPr>
          <w:rFonts w:eastAsiaTheme="minorHAnsi" w:cs="Arial"/>
          <w:color w:val="000000"/>
          <w:szCs w:val="20"/>
          <w:lang w:val="sl-SI"/>
        </w:rPr>
        <w:t xml:space="preserve">kablovodi, transformatorske postaje in železniški transportni sistem. V industriji </w:t>
      </w:r>
      <w:r w:rsidR="00ED0D9D">
        <w:rPr>
          <w:rFonts w:eastAsiaTheme="minorHAnsi" w:cs="Arial"/>
          <w:color w:val="000000"/>
          <w:szCs w:val="20"/>
          <w:lang w:val="sl-SI"/>
        </w:rPr>
        <w:t xml:space="preserve">so viri </w:t>
      </w:r>
      <w:r w:rsidRPr="00993FB7">
        <w:rPr>
          <w:rFonts w:eastAsiaTheme="minorHAnsi" w:cs="Arial"/>
          <w:color w:val="000000"/>
          <w:szCs w:val="20"/>
          <w:lang w:val="sl-SI"/>
        </w:rPr>
        <w:t xml:space="preserve">EMS transformatorji, indukcijske peči in varilne naprave, v elektrogospodarstvu pa generatorji v elektrarnah. Tudi nekatere medicinske naprave </w:t>
      </w:r>
      <w:r w:rsidR="00A51864">
        <w:rPr>
          <w:rFonts w:eastAsiaTheme="minorHAnsi" w:cs="Arial"/>
          <w:color w:val="000000"/>
          <w:szCs w:val="20"/>
          <w:lang w:val="sl-SI"/>
        </w:rPr>
        <w:t xml:space="preserve">vsebujejo vire </w:t>
      </w:r>
      <w:r w:rsidRPr="00993FB7">
        <w:rPr>
          <w:rFonts w:eastAsiaTheme="minorHAnsi" w:cs="Arial"/>
          <w:color w:val="000000"/>
          <w:szCs w:val="20"/>
          <w:lang w:val="sl-SI"/>
        </w:rPr>
        <w:t xml:space="preserve">EMS izjemno nizkih frekvenc, na primer za </w:t>
      </w:r>
      <w:r w:rsidR="00ED0D9D">
        <w:rPr>
          <w:rFonts w:eastAsiaTheme="minorHAnsi" w:cs="Arial"/>
          <w:color w:val="000000"/>
          <w:szCs w:val="20"/>
          <w:lang w:val="sl-SI"/>
        </w:rPr>
        <w:t>spodbujanje</w:t>
      </w:r>
      <w:r w:rsidRPr="00993FB7">
        <w:rPr>
          <w:rFonts w:eastAsiaTheme="minorHAnsi" w:cs="Arial"/>
          <w:color w:val="000000"/>
          <w:szCs w:val="20"/>
          <w:lang w:val="sl-SI"/>
        </w:rPr>
        <w:t xml:space="preserve"> rasti kosti, blaženje bolečin in za odkrivanje rakavih sprememb.</w:t>
      </w:r>
    </w:p>
    <w:p w:rsidR="00993FB7" w:rsidRDefault="00993FB7" w:rsidP="00993FB7">
      <w:pPr>
        <w:autoSpaceDE w:val="0"/>
        <w:autoSpaceDN w:val="0"/>
        <w:adjustRightInd w:val="0"/>
        <w:spacing w:after="200" w:line="276" w:lineRule="auto"/>
        <w:jc w:val="both"/>
        <w:rPr>
          <w:rFonts w:eastAsiaTheme="minorHAnsi" w:cs="Arial"/>
          <w:color w:val="000000"/>
          <w:szCs w:val="20"/>
          <w:lang w:val="sl-SI"/>
        </w:rPr>
      </w:pPr>
      <w:r w:rsidRPr="00993FB7">
        <w:rPr>
          <w:rFonts w:eastAsiaTheme="minorHAnsi" w:cs="Arial"/>
          <w:color w:val="000000"/>
          <w:szCs w:val="20"/>
          <w:lang w:val="sl-SI"/>
        </w:rPr>
        <w:t>Pomembna je tudi vsakodnevna izpostavljenost obremenit</w:t>
      </w:r>
      <w:r w:rsidR="00C221E8">
        <w:rPr>
          <w:rFonts w:eastAsiaTheme="minorHAnsi" w:cs="Arial"/>
          <w:color w:val="000000"/>
          <w:szCs w:val="20"/>
          <w:lang w:val="sl-SI"/>
        </w:rPr>
        <w:t>vam visokofrekvenčnim virom EMS</w:t>
      </w:r>
      <w:r w:rsidRPr="00993FB7">
        <w:rPr>
          <w:rFonts w:eastAsiaTheme="minorHAnsi" w:cs="Arial"/>
          <w:color w:val="000000"/>
          <w:szCs w:val="20"/>
          <w:lang w:val="sl-SI"/>
        </w:rPr>
        <w:t xml:space="preserve">. Najbolj pogosta vira teh sevanj, ki ju vsakodnevno uporablja človek, sta mobilni telefon in mikrovalovna pečica. Nadalje smo stalno izpostavljeni EMS zaradi delovanja lokalnih brezžičnih omrežij, oddajanja RTV oddajnikov in baznih postaj mobilne telefonije ter radarskih sistemov. Ker se obremenitev EMS z oddaljenostjo hitro zmanjšuje, je večina ljudi izpostavljena le majhnemu delu mejne vrednosti. V medicini se uporabljajo močna visokofrekvenčna EMS za segrevanje telesnega tkiva, kar lajša bolečine ali uničujejo rakave celice. </w:t>
      </w:r>
    </w:p>
    <w:p w:rsidR="001B34D7" w:rsidRPr="00993FB7" w:rsidRDefault="001B34D7" w:rsidP="001B34D7">
      <w:pPr>
        <w:autoSpaceDE w:val="0"/>
        <w:autoSpaceDN w:val="0"/>
        <w:adjustRightInd w:val="0"/>
        <w:spacing w:line="276" w:lineRule="auto"/>
        <w:jc w:val="both"/>
        <w:rPr>
          <w:rFonts w:eastAsiaTheme="minorHAnsi" w:cs="Arial"/>
          <w:color w:val="000000"/>
          <w:szCs w:val="20"/>
          <w:lang w:val="sl-SI"/>
        </w:rPr>
      </w:pPr>
    </w:p>
    <w:p w:rsidR="00993FB7" w:rsidRPr="00993FB7" w:rsidRDefault="00993FB7" w:rsidP="00993FB7">
      <w:pPr>
        <w:autoSpaceDE w:val="0"/>
        <w:autoSpaceDN w:val="0"/>
        <w:adjustRightInd w:val="0"/>
        <w:spacing w:after="200" w:line="276" w:lineRule="auto"/>
        <w:rPr>
          <w:rFonts w:eastAsiaTheme="minorHAnsi" w:cs="Arial"/>
          <w:b/>
          <w:bCs/>
          <w:szCs w:val="20"/>
          <w:u w:val="single"/>
          <w:lang w:val="sl-SI"/>
        </w:rPr>
      </w:pPr>
      <w:r w:rsidRPr="00993FB7">
        <w:rPr>
          <w:rFonts w:eastAsiaTheme="minorHAnsi" w:cs="Arial"/>
          <w:b/>
          <w:bCs/>
          <w:szCs w:val="20"/>
          <w:u w:val="single"/>
          <w:lang w:val="sl-SI"/>
        </w:rPr>
        <w:t>1</w:t>
      </w:r>
      <w:r w:rsidR="00DE3B10">
        <w:rPr>
          <w:rFonts w:eastAsiaTheme="minorHAnsi" w:cs="Arial"/>
          <w:b/>
          <w:bCs/>
          <w:szCs w:val="20"/>
          <w:u w:val="single"/>
          <w:lang w:val="sl-SI"/>
        </w:rPr>
        <w:t>2</w:t>
      </w:r>
      <w:r w:rsidRPr="00993FB7">
        <w:rPr>
          <w:rFonts w:eastAsiaTheme="minorHAnsi" w:cs="Arial"/>
          <w:b/>
          <w:bCs/>
          <w:szCs w:val="20"/>
          <w:u w:val="single"/>
          <w:lang w:val="sl-SI"/>
        </w:rPr>
        <w:t>.4 Vpliv elektromagnetnega sevanja na zdravje prebivalstva</w:t>
      </w:r>
    </w:p>
    <w:p w:rsidR="00993FB7" w:rsidRPr="00993FB7" w:rsidRDefault="00993FB7" w:rsidP="00993FB7">
      <w:pPr>
        <w:autoSpaceDE w:val="0"/>
        <w:autoSpaceDN w:val="0"/>
        <w:adjustRightInd w:val="0"/>
        <w:spacing w:after="200" w:line="276" w:lineRule="auto"/>
        <w:jc w:val="both"/>
        <w:rPr>
          <w:rFonts w:eastAsiaTheme="minorHAnsi" w:cs="Arial"/>
          <w:color w:val="000000"/>
          <w:szCs w:val="20"/>
          <w:lang w:val="sl-SI"/>
        </w:rPr>
      </w:pPr>
      <w:r w:rsidRPr="00993FB7">
        <w:rPr>
          <w:rFonts w:eastAsiaTheme="minorHAnsi" w:cs="Arial"/>
          <w:color w:val="000000"/>
          <w:szCs w:val="20"/>
          <w:lang w:val="sl-SI"/>
        </w:rPr>
        <w:t xml:space="preserve">Znanstveno je potrjeno, da EMS v človekovem telesu povzročajo nastanek polj ter tokov in imajo, v odvisnosti od jakosti in frekvenčnega območja, tudi </w:t>
      </w:r>
      <w:r w:rsidR="00ED0D9D">
        <w:rPr>
          <w:rFonts w:eastAsiaTheme="minorHAnsi" w:cs="Arial"/>
          <w:color w:val="000000"/>
          <w:szCs w:val="20"/>
          <w:lang w:val="sl-SI"/>
        </w:rPr>
        <w:t xml:space="preserve">številne </w:t>
      </w:r>
      <w:r w:rsidRPr="00993FB7">
        <w:rPr>
          <w:rFonts w:eastAsiaTheme="minorHAnsi" w:cs="Arial"/>
          <w:color w:val="000000"/>
          <w:szCs w:val="20"/>
          <w:lang w:val="sl-SI"/>
        </w:rPr>
        <w:t>učink</w:t>
      </w:r>
      <w:r w:rsidR="00ED0D9D">
        <w:rPr>
          <w:rFonts w:eastAsiaTheme="minorHAnsi" w:cs="Arial"/>
          <w:color w:val="000000"/>
          <w:szCs w:val="20"/>
          <w:lang w:val="sl-SI"/>
        </w:rPr>
        <w:t>e</w:t>
      </w:r>
      <w:r w:rsidRPr="00993FB7">
        <w:rPr>
          <w:rFonts w:eastAsiaTheme="minorHAnsi" w:cs="Arial"/>
          <w:color w:val="000000"/>
          <w:szCs w:val="20"/>
          <w:lang w:val="sl-SI"/>
        </w:rPr>
        <w:t xml:space="preserve">, npr. </w:t>
      </w:r>
      <w:r w:rsidR="00ED0D9D">
        <w:rPr>
          <w:rFonts w:eastAsiaTheme="minorHAnsi" w:cs="Arial"/>
          <w:color w:val="000000"/>
          <w:szCs w:val="20"/>
          <w:lang w:val="sl-SI"/>
        </w:rPr>
        <w:t xml:space="preserve">spodbujajo </w:t>
      </w:r>
      <w:r w:rsidRPr="00993FB7">
        <w:rPr>
          <w:rFonts w:eastAsiaTheme="minorHAnsi" w:cs="Arial"/>
          <w:color w:val="000000"/>
          <w:szCs w:val="20"/>
          <w:lang w:val="sl-SI"/>
        </w:rPr>
        <w:t>vzdražen</w:t>
      </w:r>
      <w:r w:rsidR="00ED0D9D">
        <w:rPr>
          <w:rFonts w:eastAsiaTheme="minorHAnsi" w:cs="Arial"/>
          <w:color w:val="000000"/>
          <w:szCs w:val="20"/>
          <w:lang w:val="sl-SI"/>
        </w:rPr>
        <w:t>e</w:t>
      </w:r>
      <w:r w:rsidRPr="00993FB7">
        <w:rPr>
          <w:rFonts w:eastAsiaTheme="minorHAnsi" w:cs="Arial"/>
          <w:color w:val="000000"/>
          <w:szCs w:val="20"/>
          <w:lang w:val="sl-SI"/>
        </w:rPr>
        <w:t xml:space="preserve"> živce in mišic</w:t>
      </w:r>
      <w:r w:rsidR="00ED0D9D">
        <w:rPr>
          <w:rFonts w:eastAsiaTheme="minorHAnsi" w:cs="Arial"/>
          <w:color w:val="000000"/>
          <w:szCs w:val="20"/>
          <w:lang w:val="sl-SI"/>
        </w:rPr>
        <w:t>e</w:t>
      </w:r>
      <w:r w:rsidRPr="00993FB7">
        <w:rPr>
          <w:rFonts w:eastAsiaTheme="minorHAnsi" w:cs="Arial"/>
          <w:color w:val="000000"/>
          <w:szCs w:val="20"/>
          <w:lang w:val="sl-SI"/>
        </w:rPr>
        <w:t xml:space="preserve"> ter </w:t>
      </w:r>
      <w:r w:rsidR="00ED0D9D">
        <w:rPr>
          <w:rFonts w:eastAsiaTheme="minorHAnsi" w:cs="Arial"/>
          <w:color w:val="000000"/>
          <w:szCs w:val="20"/>
          <w:lang w:val="sl-SI"/>
        </w:rPr>
        <w:t xml:space="preserve">povečujejo </w:t>
      </w:r>
      <w:r w:rsidRPr="00993FB7">
        <w:rPr>
          <w:rFonts w:eastAsiaTheme="minorHAnsi" w:cs="Arial"/>
          <w:color w:val="000000"/>
          <w:szCs w:val="20"/>
          <w:lang w:val="sl-SI"/>
        </w:rPr>
        <w:t>temperatur</w:t>
      </w:r>
      <w:r w:rsidR="00ED0D9D">
        <w:rPr>
          <w:rFonts w:eastAsiaTheme="minorHAnsi" w:cs="Arial"/>
          <w:color w:val="000000"/>
          <w:szCs w:val="20"/>
          <w:lang w:val="sl-SI"/>
        </w:rPr>
        <w:t>o</w:t>
      </w:r>
      <w:r w:rsidRPr="00993FB7">
        <w:rPr>
          <w:rFonts w:eastAsiaTheme="minorHAnsi" w:cs="Arial"/>
          <w:color w:val="000000"/>
          <w:szCs w:val="20"/>
          <w:lang w:val="sl-SI"/>
        </w:rPr>
        <w:t xml:space="preserve"> v izpostavljenih tkivih. Svetovna zdravstvena organizacija (WHO) je na podlagi pregleda doslej izvedenih raziskav ugotovila, da človekova dolgotrajna izpostavljenost EMS nizkih jakosti (pod znanstveno določenimi mejnimi vrednostmi) ne vpliva na njegovo zdravje. Navkljub temu pa WHO podpira nadaljnje raziskave, </w:t>
      </w:r>
      <w:r w:rsidR="00ED0D9D">
        <w:rPr>
          <w:rFonts w:eastAsiaTheme="minorHAnsi" w:cs="Arial"/>
          <w:color w:val="000000"/>
          <w:szCs w:val="20"/>
          <w:lang w:val="sl-SI"/>
        </w:rPr>
        <w:t xml:space="preserve">na podlagi </w:t>
      </w:r>
      <w:r w:rsidRPr="00993FB7">
        <w:rPr>
          <w:rFonts w:eastAsiaTheme="minorHAnsi" w:cs="Arial"/>
          <w:color w:val="000000"/>
          <w:szCs w:val="20"/>
          <w:lang w:val="sl-SI"/>
        </w:rPr>
        <w:t>katerih bo mogoče bolje opredeliti tveganje v povezavi z izpostavljenostjo EMS.</w:t>
      </w:r>
    </w:p>
    <w:p w:rsidR="00993FB7" w:rsidRPr="00993FB7" w:rsidRDefault="00993FB7" w:rsidP="00993FB7">
      <w:pPr>
        <w:autoSpaceDE w:val="0"/>
        <w:autoSpaceDN w:val="0"/>
        <w:adjustRightInd w:val="0"/>
        <w:spacing w:after="200" w:line="276" w:lineRule="auto"/>
        <w:jc w:val="both"/>
        <w:rPr>
          <w:rFonts w:eastAsiaTheme="minorHAnsi" w:cs="Arial"/>
          <w:color w:val="000000"/>
          <w:szCs w:val="20"/>
          <w:lang w:val="sl-SI"/>
        </w:rPr>
      </w:pPr>
      <w:r w:rsidRPr="00993FB7">
        <w:rPr>
          <w:rFonts w:eastAsiaTheme="minorHAnsi" w:cs="Arial"/>
          <w:color w:val="000000"/>
          <w:szCs w:val="20"/>
          <w:lang w:val="sl-SI"/>
        </w:rPr>
        <w:t xml:space="preserve">V zadnjih letih so se številne študije ukvarjale z vprašanjem, ali lahko EMS povzročajo ali pospešujejo raka. V </w:t>
      </w:r>
      <w:r w:rsidR="00FB5F63">
        <w:rPr>
          <w:rFonts w:eastAsiaTheme="minorHAnsi" w:cs="Arial"/>
          <w:color w:val="000000"/>
          <w:szCs w:val="20"/>
          <w:lang w:val="sl-SI"/>
        </w:rPr>
        <w:t xml:space="preserve">središču </w:t>
      </w:r>
      <w:r w:rsidRPr="00993FB7">
        <w:rPr>
          <w:rFonts w:eastAsiaTheme="minorHAnsi" w:cs="Arial"/>
          <w:color w:val="000000"/>
          <w:szCs w:val="20"/>
          <w:lang w:val="sl-SI"/>
        </w:rPr>
        <w:t xml:space="preserve">raziskav so nedvomno mobilni telefoni </w:t>
      </w:r>
      <w:r w:rsidR="00FB5F63">
        <w:rPr>
          <w:rFonts w:eastAsiaTheme="minorHAnsi" w:cs="Arial"/>
          <w:color w:val="000000"/>
          <w:szCs w:val="20"/>
          <w:lang w:val="sl-SI"/>
        </w:rPr>
        <w:t xml:space="preserve">in </w:t>
      </w:r>
      <w:r w:rsidRPr="00993FB7">
        <w:rPr>
          <w:rFonts w:eastAsiaTheme="minorHAnsi" w:cs="Arial"/>
          <w:color w:val="000000"/>
          <w:szCs w:val="20"/>
          <w:lang w:val="sl-SI"/>
        </w:rPr>
        <w:t xml:space="preserve">daljnovodi. Leta 2002 je Mednarodna agencija za raziskave raka (IARC) razvrstila magnetna polja </w:t>
      </w:r>
      <w:r w:rsidR="00FB5F63">
        <w:rPr>
          <w:rFonts w:eastAsiaTheme="minorHAnsi" w:cs="Arial"/>
          <w:color w:val="000000"/>
          <w:szCs w:val="20"/>
          <w:lang w:val="sl-SI"/>
        </w:rPr>
        <w:t xml:space="preserve">izjemno </w:t>
      </w:r>
      <w:r w:rsidRPr="00993FB7">
        <w:rPr>
          <w:rFonts w:eastAsiaTheme="minorHAnsi" w:cs="Arial"/>
          <w:color w:val="000000"/>
          <w:szCs w:val="20"/>
          <w:lang w:val="sl-SI"/>
        </w:rPr>
        <w:t xml:space="preserve">nizkih frekvenc med "možne kancerogene snovi za ljudi" (skupina 2B). To je temeljilo na epidemioloških študijah, ki so pokazale, da je pri otrocih, ki so izpostavljeni magnetnim poljem, višjim od 0,3-0,4 µT (24-urno povprečje), večja verjetnost za razvoj levkemije. Leta 2011 je </w:t>
      </w:r>
      <w:hyperlink r:id="rId203" w:tgtFrame="_blank" w:tooltip="Opens external link in new window" w:history="1"/>
      <w:r w:rsidRPr="00993FB7">
        <w:rPr>
          <w:rFonts w:eastAsiaTheme="minorHAnsi" w:cs="Arial"/>
          <w:color w:val="000000"/>
          <w:szCs w:val="20"/>
          <w:lang w:val="sl-SI"/>
        </w:rPr>
        <w:t xml:space="preserve">IARC razvrstil visokofrekvenčna EMS prav tako v skupino 2B »možno kancerogenih snovi za ljudi«. </w:t>
      </w:r>
      <w:r w:rsidR="00FB5F63">
        <w:rPr>
          <w:rFonts w:eastAsiaTheme="minorHAnsi" w:cs="Arial"/>
          <w:color w:val="000000"/>
          <w:szCs w:val="20"/>
          <w:lang w:val="sl-SI"/>
        </w:rPr>
        <w:t xml:space="preserve">Ta </w:t>
      </w:r>
      <w:r w:rsidRPr="00993FB7">
        <w:rPr>
          <w:rFonts w:eastAsiaTheme="minorHAnsi" w:cs="Arial"/>
          <w:color w:val="000000"/>
          <w:szCs w:val="20"/>
          <w:lang w:val="sl-SI"/>
        </w:rPr>
        <w:t xml:space="preserve">razvrstitev se </w:t>
      </w:r>
      <w:r w:rsidRPr="00993FB7">
        <w:rPr>
          <w:rFonts w:eastAsiaTheme="minorHAnsi" w:cs="Arial"/>
          <w:szCs w:val="20"/>
          <w:lang w:val="sl-SI"/>
        </w:rPr>
        <w:t xml:space="preserve">nanaša predvsem na možnost, da lahko izpostavljenost šibkim jakostim EMS povzroča </w:t>
      </w:r>
      <w:r w:rsidRPr="00993FB7">
        <w:rPr>
          <w:rFonts w:eastAsiaTheme="minorHAnsi" w:cs="Arial"/>
          <w:color w:val="000000"/>
          <w:szCs w:val="20"/>
          <w:lang w:val="sl-SI"/>
        </w:rPr>
        <w:t xml:space="preserve">zapoznele učinke, še </w:t>
      </w:r>
      <w:r w:rsidR="00FB5F63">
        <w:rPr>
          <w:rFonts w:eastAsiaTheme="minorHAnsi" w:cs="Arial"/>
          <w:color w:val="000000"/>
          <w:szCs w:val="20"/>
          <w:lang w:val="sl-SI"/>
        </w:rPr>
        <w:t xml:space="preserve">zlasti </w:t>
      </w:r>
      <w:r w:rsidRPr="00993FB7">
        <w:rPr>
          <w:rFonts w:eastAsiaTheme="minorHAnsi" w:cs="Arial"/>
          <w:color w:val="000000"/>
          <w:szCs w:val="20"/>
          <w:lang w:val="sl-SI"/>
        </w:rPr>
        <w:t xml:space="preserve">povečano tveganje za raka. IARC je ugotovil, da določene epidemiološke raziskave med uporabniki mobilnih telefonov kažejo na 40 % povečanje tveganja za nastanek glioma </w:t>
      </w:r>
      <w:r w:rsidR="00FB5F63">
        <w:rPr>
          <w:rFonts w:eastAsiaTheme="minorHAnsi" w:cs="Arial"/>
          <w:color w:val="000000"/>
          <w:szCs w:val="20"/>
          <w:lang w:val="sl-SI"/>
        </w:rPr>
        <w:t xml:space="preserve">in </w:t>
      </w:r>
      <w:r w:rsidRPr="00993FB7">
        <w:rPr>
          <w:rFonts w:eastAsiaTheme="minorHAnsi" w:cs="Arial"/>
          <w:color w:val="000000"/>
          <w:szCs w:val="20"/>
          <w:lang w:val="sl-SI"/>
        </w:rPr>
        <w:t xml:space="preserve">15 % povečanje tveganja za meningiom med najbolj pogostimi uporabniki (povprečno vsaj 30 minut na dan v zadnjih 10 letih). Pri tem je </w:t>
      </w:r>
      <w:r w:rsidR="00FB5F63">
        <w:rPr>
          <w:rFonts w:eastAsiaTheme="minorHAnsi" w:cs="Arial"/>
          <w:color w:val="000000"/>
          <w:szCs w:val="20"/>
          <w:lang w:val="sl-SI"/>
        </w:rPr>
        <w:t xml:space="preserve">treba </w:t>
      </w:r>
      <w:r w:rsidRPr="00993FB7">
        <w:rPr>
          <w:rFonts w:eastAsiaTheme="minorHAnsi" w:cs="Arial"/>
          <w:color w:val="000000"/>
          <w:szCs w:val="20"/>
          <w:lang w:val="sl-SI"/>
        </w:rPr>
        <w:t xml:space="preserve">poudariti, da povezava med izpostavljenostjo visokofrekvenčnim EMS zaradi mobilnega telefona in rakom v glavi zaradi </w:t>
      </w:r>
      <w:r w:rsidR="00FB5F63">
        <w:rPr>
          <w:rFonts w:eastAsiaTheme="minorHAnsi" w:cs="Arial"/>
          <w:color w:val="000000"/>
          <w:szCs w:val="20"/>
          <w:lang w:val="sl-SI"/>
        </w:rPr>
        <w:t xml:space="preserve">nedoslednosti </w:t>
      </w:r>
      <w:r w:rsidRPr="00993FB7">
        <w:rPr>
          <w:rFonts w:eastAsiaTheme="minorHAnsi" w:cs="Arial"/>
          <w:color w:val="000000"/>
          <w:szCs w:val="20"/>
          <w:lang w:val="sl-SI"/>
        </w:rPr>
        <w:t xml:space="preserve">pri ugotavljanju izpostavljenosti in pomanjkanja podpore v drugih potrebnih raziskavah (predvsem verjetne razlage osnovnih mehanizmov) ne dosega ali ne zadošča </w:t>
      </w:r>
      <w:r w:rsidR="00FB5F63">
        <w:rPr>
          <w:rFonts w:eastAsiaTheme="minorHAnsi" w:cs="Arial"/>
          <w:color w:val="000000"/>
          <w:szCs w:val="20"/>
          <w:lang w:val="sl-SI"/>
        </w:rPr>
        <w:t xml:space="preserve">merilom </w:t>
      </w:r>
      <w:r w:rsidRPr="00993FB7">
        <w:rPr>
          <w:rFonts w:eastAsiaTheme="minorHAnsi" w:cs="Arial"/>
          <w:color w:val="000000"/>
          <w:szCs w:val="20"/>
          <w:lang w:val="sl-SI"/>
        </w:rPr>
        <w:t>za nedvoumno potrditev vzročne povezave. Zato je potrebno ugotovljeno povezavo med visokofrekvenčnimi sevanji mobilnih telefonov in možganskim tumorjem razumeti kot šibko, a vendar nezanemarljivo.</w:t>
      </w:r>
    </w:p>
    <w:p w:rsidR="00993FB7" w:rsidRPr="00993FB7" w:rsidRDefault="00993FB7" w:rsidP="00993FB7">
      <w:pPr>
        <w:autoSpaceDE w:val="0"/>
        <w:autoSpaceDN w:val="0"/>
        <w:adjustRightInd w:val="0"/>
        <w:spacing w:after="200" w:line="276" w:lineRule="auto"/>
        <w:jc w:val="both"/>
        <w:rPr>
          <w:rFonts w:eastAsiaTheme="minorHAnsi" w:cs="Arial"/>
          <w:color w:val="000000"/>
          <w:szCs w:val="20"/>
          <w:lang w:val="sl-SI"/>
        </w:rPr>
      </w:pPr>
      <w:r w:rsidRPr="00993FB7">
        <w:rPr>
          <w:rFonts w:eastAsiaTheme="minorHAnsi" w:cs="Arial"/>
          <w:color w:val="000000"/>
          <w:szCs w:val="20"/>
          <w:lang w:val="sl-SI"/>
        </w:rPr>
        <w:t xml:space="preserve">V zvezi s kategorijami IARC še pojasnilo, da skupina 1 (kancerogeno za ljudi) vključuje med drugim alkohol in tobak, skupina 2A (verjetno kancerogeno za ljudi) </w:t>
      </w:r>
      <w:r w:rsidR="001115D4">
        <w:rPr>
          <w:rFonts w:eastAsiaTheme="minorHAnsi" w:cs="Arial"/>
          <w:color w:val="000000"/>
          <w:szCs w:val="20"/>
          <w:lang w:val="sl-SI"/>
        </w:rPr>
        <w:t>pa izpušne pline dizelskega goriva</w:t>
      </w:r>
      <w:r w:rsidRPr="00993FB7">
        <w:rPr>
          <w:rFonts w:eastAsiaTheme="minorHAnsi" w:cs="Arial"/>
          <w:color w:val="000000"/>
          <w:szCs w:val="20"/>
          <w:lang w:val="sl-SI"/>
        </w:rPr>
        <w:t>. Pri tem upoštevajo, da je v nasprotju z izpostavljenostjo obremenitvam po lastni volji, izpostavljenost obremenitvam z EMS lahko 24-urna, ni predmet prostovoljne izbire in obremenjeni so lahko tudi otroci.</w:t>
      </w:r>
    </w:p>
    <w:p w:rsidR="00993FB7" w:rsidRPr="00993FB7" w:rsidRDefault="00993FB7" w:rsidP="00993FB7">
      <w:pPr>
        <w:autoSpaceDE w:val="0"/>
        <w:autoSpaceDN w:val="0"/>
        <w:adjustRightInd w:val="0"/>
        <w:spacing w:after="200" w:line="276" w:lineRule="auto"/>
        <w:jc w:val="both"/>
        <w:rPr>
          <w:rFonts w:eastAsiaTheme="minorHAnsi" w:cs="Arial"/>
          <w:color w:val="000000"/>
          <w:szCs w:val="20"/>
          <w:lang w:val="sl-SI"/>
        </w:rPr>
      </w:pPr>
      <w:r w:rsidRPr="00993FB7">
        <w:rPr>
          <w:rFonts w:eastAsiaTheme="minorHAnsi" w:cs="Arial"/>
          <w:color w:val="000000"/>
          <w:szCs w:val="20"/>
          <w:lang w:val="sl-SI"/>
        </w:rPr>
        <w:t xml:space="preserve">Na predlog Evropske </w:t>
      </w:r>
      <w:r w:rsidR="00BC56D7">
        <w:rPr>
          <w:rFonts w:eastAsiaTheme="minorHAnsi" w:cs="Arial"/>
          <w:color w:val="000000"/>
          <w:szCs w:val="20"/>
          <w:lang w:val="sl-SI"/>
        </w:rPr>
        <w:t>k</w:t>
      </w:r>
      <w:r w:rsidRPr="00993FB7">
        <w:rPr>
          <w:rFonts w:eastAsiaTheme="minorHAnsi" w:cs="Arial"/>
          <w:color w:val="000000"/>
          <w:szCs w:val="20"/>
          <w:lang w:val="sl-SI"/>
        </w:rPr>
        <w:t xml:space="preserve">omisije je bilo sprejeto Priporočilo Sveta z dne 12. </w:t>
      </w:r>
      <w:r w:rsidR="00BC56D7">
        <w:rPr>
          <w:rFonts w:eastAsiaTheme="minorHAnsi" w:cs="Arial"/>
          <w:color w:val="000000"/>
          <w:szCs w:val="20"/>
          <w:lang w:val="sl-SI"/>
        </w:rPr>
        <w:t>j</w:t>
      </w:r>
      <w:r w:rsidRPr="00993FB7">
        <w:rPr>
          <w:rFonts w:eastAsiaTheme="minorHAnsi" w:cs="Arial"/>
          <w:color w:val="000000"/>
          <w:szCs w:val="20"/>
          <w:lang w:val="sl-SI"/>
        </w:rPr>
        <w:t>ulija 1999 o omejevanju izpostavljenosti prebivalstva elektromagnetnim sevanjem (</w:t>
      </w:r>
      <w:r w:rsidR="00BC56D7">
        <w:rPr>
          <w:rFonts w:eastAsiaTheme="minorHAnsi" w:cs="Arial"/>
          <w:color w:val="000000"/>
          <w:szCs w:val="20"/>
          <w:lang w:val="sl-SI"/>
        </w:rPr>
        <w:t xml:space="preserve">od </w:t>
      </w:r>
      <w:r w:rsidRPr="00993FB7">
        <w:rPr>
          <w:rFonts w:eastAsiaTheme="minorHAnsi" w:cs="Arial"/>
          <w:color w:val="000000"/>
          <w:szCs w:val="20"/>
          <w:lang w:val="sl-SI"/>
        </w:rPr>
        <w:t xml:space="preserve">0 Hz do 300 GHz) (1999/519/ES) z namenom zagotovitve nacionalnih politik in ukrepov v okviru EU, s katerimi bi se zaščitilo prebivalstvo pred EMS. To priporočilo temelji na smernicah ICNIRP, ki so določene na podlagi akutnih učinkov, ki jih ima izpostavljenost EMS na ljudi. Temeljne smernice ICNIRP, ki so bile sprejete leta 1998, določajo med drugim referenčne vrednosti, t.j. neposredno merljive veličine električnega polja, magnetnega polja in gostote pretoka moči. Referenčne vrednosti so omejene z upoštevanjem varnostnega faktorja, ki je za delavce 10-kratnik jasno dokazanih učinkov prej omenjenih veličin elektromagnetnega polja na človeka, za prebivalstvo pa je ta varnostni faktor 50. ICNIRP je v letih od 1998 dalje izvedel več raziskav morebitnih škodljivih učinkov EMS, s katerimi je ovrednotil primernost sprejetih smernic in ugotovil, da uveljavljene smernice zagotavljajo ustrezno zaščito ljudi in da ni znanstveno dokazanih učinkov EMS, na podlagi katerih bi bilo </w:t>
      </w:r>
      <w:r w:rsidR="00BC56D7">
        <w:rPr>
          <w:rFonts w:eastAsiaTheme="minorHAnsi" w:cs="Arial"/>
          <w:color w:val="000000"/>
          <w:szCs w:val="20"/>
          <w:lang w:val="sl-SI"/>
        </w:rPr>
        <w:t xml:space="preserve">treba </w:t>
      </w:r>
      <w:r w:rsidR="001115D4">
        <w:rPr>
          <w:rFonts w:eastAsiaTheme="minorHAnsi" w:cs="Arial"/>
          <w:color w:val="000000"/>
          <w:szCs w:val="20"/>
          <w:lang w:val="sl-SI"/>
        </w:rPr>
        <w:t>referenčne vrednosti sprem</w:t>
      </w:r>
      <w:r w:rsidR="00BC56D7">
        <w:rPr>
          <w:rFonts w:eastAsiaTheme="minorHAnsi" w:cs="Arial"/>
          <w:color w:val="000000"/>
          <w:szCs w:val="20"/>
          <w:lang w:val="sl-SI"/>
        </w:rPr>
        <w:t xml:space="preserve">eniti. </w:t>
      </w:r>
      <w:r w:rsidRPr="00993FB7">
        <w:rPr>
          <w:rFonts w:eastAsiaTheme="minorHAnsi" w:cs="Arial"/>
          <w:color w:val="000000"/>
          <w:szCs w:val="20"/>
          <w:lang w:val="sl-SI"/>
        </w:rPr>
        <w:t xml:space="preserve"> </w:t>
      </w:r>
    </w:p>
    <w:p w:rsidR="00993FB7" w:rsidRPr="00993FB7" w:rsidRDefault="00993FB7" w:rsidP="00993FB7">
      <w:pPr>
        <w:autoSpaceDE w:val="0"/>
        <w:autoSpaceDN w:val="0"/>
        <w:adjustRightInd w:val="0"/>
        <w:spacing w:after="200" w:line="276" w:lineRule="auto"/>
        <w:jc w:val="both"/>
        <w:rPr>
          <w:rFonts w:eastAsiaTheme="minorHAnsi" w:cs="Arial"/>
          <w:color w:val="000000"/>
          <w:szCs w:val="20"/>
          <w:lang w:val="sl-SI"/>
        </w:rPr>
      </w:pPr>
      <w:r w:rsidRPr="00993FB7">
        <w:rPr>
          <w:rFonts w:eastAsiaTheme="minorHAnsi" w:cs="Arial"/>
          <w:color w:val="000000"/>
          <w:szCs w:val="20"/>
          <w:lang w:val="sl-SI"/>
        </w:rPr>
        <w:t>V Sloveniji določa mejne vrednosti EMS Uredba o elektromagnetnem sevanju v naravnem in življenjskem okolju (Uradni list RS, št. 70/96). Čeprav je bila pripravljena pred Priporočilom Sveta 1999/519/ES, mejne vrednosti povzemajo referenčne vrednosti ICNIRP, za območja I. stopnje varstva pred sevanji (stanovanjska območja in območja socialnih, zdravstvenih, vzgojnih in izobraževalnih dejavnosti…) pa s</w:t>
      </w:r>
      <w:r w:rsidR="00A51864">
        <w:rPr>
          <w:rFonts w:eastAsiaTheme="minorHAnsi" w:cs="Arial"/>
          <w:color w:val="000000"/>
          <w:szCs w:val="20"/>
          <w:lang w:val="sl-SI"/>
        </w:rPr>
        <w:t>o</w:t>
      </w:r>
      <w:r w:rsidRPr="00993FB7">
        <w:rPr>
          <w:rFonts w:eastAsiaTheme="minorHAnsi" w:cs="Arial"/>
          <w:color w:val="000000"/>
          <w:szCs w:val="20"/>
          <w:lang w:val="sl-SI"/>
        </w:rPr>
        <w:t xml:space="preserve"> celo za faktor 10 </w:t>
      </w:r>
      <w:r w:rsidR="00A51864">
        <w:rPr>
          <w:rFonts w:eastAsiaTheme="minorHAnsi" w:cs="Arial"/>
          <w:color w:val="000000"/>
          <w:szCs w:val="20"/>
          <w:lang w:val="sl-SI"/>
        </w:rPr>
        <w:t xml:space="preserve">strožje </w:t>
      </w:r>
      <w:r w:rsidRPr="00993FB7">
        <w:rPr>
          <w:rFonts w:eastAsiaTheme="minorHAnsi" w:cs="Arial"/>
          <w:color w:val="000000"/>
          <w:szCs w:val="20"/>
          <w:lang w:val="sl-SI"/>
        </w:rPr>
        <w:t>od referenčnih vrednosti ICNIRP. Takšen pristop uvršča Republiko Slovenijo med države</w:t>
      </w:r>
      <w:r w:rsidR="00BC56D7">
        <w:rPr>
          <w:rFonts w:eastAsiaTheme="minorHAnsi" w:cs="Arial"/>
          <w:color w:val="000000"/>
          <w:szCs w:val="20"/>
          <w:lang w:val="sl-SI"/>
        </w:rPr>
        <w:t xml:space="preserve"> s strožjo </w:t>
      </w:r>
      <w:r w:rsidRPr="00993FB7">
        <w:rPr>
          <w:rFonts w:eastAsiaTheme="minorHAnsi" w:cs="Arial"/>
          <w:color w:val="000000"/>
          <w:szCs w:val="20"/>
          <w:lang w:val="sl-SI"/>
        </w:rPr>
        <w:t>zakonodajo na tem področju.</w:t>
      </w:r>
    </w:p>
    <w:p w:rsidR="00993FB7" w:rsidRPr="00993FB7" w:rsidRDefault="00993FB7" w:rsidP="001B34D7">
      <w:pPr>
        <w:autoSpaceDE w:val="0"/>
        <w:autoSpaceDN w:val="0"/>
        <w:adjustRightInd w:val="0"/>
        <w:spacing w:line="276" w:lineRule="auto"/>
        <w:rPr>
          <w:rFonts w:eastAsiaTheme="minorHAnsi" w:cs="Arial"/>
          <w:b/>
          <w:bCs/>
          <w:szCs w:val="20"/>
          <w:u w:val="single"/>
          <w:lang w:val="sl-SI"/>
        </w:rPr>
      </w:pPr>
    </w:p>
    <w:p w:rsidR="00993FB7" w:rsidRPr="00993FB7" w:rsidRDefault="000E1873" w:rsidP="00993FB7">
      <w:pPr>
        <w:autoSpaceDE w:val="0"/>
        <w:autoSpaceDN w:val="0"/>
        <w:adjustRightInd w:val="0"/>
        <w:spacing w:after="200" w:line="276" w:lineRule="auto"/>
        <w:rPr>
          <w:rFonts w:eastAsiaTheme="minorHAnsi" w:cs="Arial"/>
          <w:b/>
          <w:bCs/>
          <w:szCs w:val="20"/>
          <w:u w:val="single"/>
          <w:lang w:val="sl-SI"/>
        </w:rPr>
      </w:pPr>
      <w:r>
        <w:rPr>
          <w:rFonts w:eastAsiaTheme="minorHAnsi" w:cs="Arial"/>
          <w:b/>
          <w:bCs/>
          <w:szCs w:val="20"/>
          <w:u w:val="single"/>
          <w:lang w:val="sl-SI"/>
        </w:rPr>
        <w:br w:type="column"/>
      </w:r>
      <w:r w:rsidR="00993FB7" w:rsidRPr="00993FB7">
        <w:rPr>
          <w:rFonts w:eastAsiaTheme="minorHAnsi" w:cs="Arial"/>
          <w:b/>
          <w:bCs/>
          <w:szCs w:val="20"/>
          <w:u w:val="single"/>
          <w:lang w:val="sl-SI"/>
        </w:rPr>
        <w:t>1</w:t>
      </w:r>
      <w:r w:rsidR="00DE3B10">
        <w:rPr>
          <w:rFonts w:eastAsiaTheme="minorHAnsi" w:cs="Arial"/>
          <w:b/>
          <w:bCs/>
          <w:szCs w:val="20"/>
          <w:u w:val="single"/>
          <w:lang w:val="sl-SI"/>
        </w:rPr>
        <w:t>2</w:t>
      </w:r>
      <w:r w:rsidR="00993FB7" w:rsidRPr="00993FB7">
        <w:rPr>
          <w:rFonts w:eastAsiaTheme="minorHAnsi" w:cs="Arial"/>
          <w:b/>
          <w:bCs/>
          <w:szCs w:val="20"/>
          <w:u w:val="single"/>
          <w:lang w:val="sl-SI"/>
        </w:rPr>
        <w:t>.5 Nadzor virov elektromagnetnega sevanja</w:t>
      </w:r>
    </w:p>
    <w:p w:rsidR="00993FB7" w:rsidRPr="00993FB7" w:rsidRDefault="00993FB7" w:rsidP="00993FB7">
      <w:pPr>
        <w:autoSpaceDE w:val="0"/>
        <w:autoSpaceDN w:val="0"/>
        <w:adjustRightInd w:val="0"/>
        <w:spacing w:after="200" w:line="276" w:lineRule="auto"/>
        <w:jc w:val="both"/>
        <w:rPr>
          <w:rFonts w:eastAsiaTheme="minorHAnsi" w:cs="Arial"/>
          <w:color w:val="000000"/>
          <w:szCs w:val="20"/>
          <w:lang w:val="sl-SI"/>
        </w:rPr>
      </w:pPr>
      <w:r w:rsidRPr="00993FB7">
        <w:rPr>
          <w:rFonts w:eastAsiaTheme="minorHAnsi" w:cs="Arial"/>
          <w:bCs/>
          <w:szCs w:val="20"/>
          <w:lang w:val="sl-SI"/>
        </w:rPr>
        <w:t xml:space="preserve">Nadzor virov EMS v okolju se izvaja skladno z zgornjo uredbo in </w:t>
      </w:r>
      <w:r w:rsidRPr="00993FB7">
        <w:rPr>
          <w:rFonts w:eastAsiaTheme="minorHAnsi" w:cs="Arial"/>
          <w:color w:val="000000"/>
          <w:szCs w:val="20"/>
          <w:lang w:val="sl-SI"/>
        </w:rPr>
        <w:t xml:space="preserve">Pravilnikom o prvih meritvah in obratovalnem monitoringu za vire elektromagnetnega sevanja ter o pogojih za njegovo izvajanje (Uradni list RS, št. 70/96). </w:t>
      </w:r>
    </w:p>
    <w:p w:rsidR="00993FB7" w:rsidRPr="00993FB7" w:rsidRDefault="00993FB7" w:rsidP="00993FB7">
      <w:pPr>
        <w:autoSpaceDE w:val="0"/>
        <w:autoSpaceDN w:val="0"/>
        <w:adjustRightInd w:val="0"/>
        <w:spacing w:line="276" w:lineRule="auto"/>
        <w:jc w:val="both"/>
        <w:rPr>
          <w:rFonts w:eastAsiaTheme="minorHAnsi" w:cs="Arial"/>
          <w:color w:val="000000"/>
          <w:szCs w:val="20"/>
          <w:lang w:val="sl-SI"/>
        </w:rPr>
      </w:pPr>
      <w:r w:rsidRPr="00993FB7">
        <w:rPr>
          <w:rFonts w:eastAsiaTheme="minorHAnsi" w:cs="Arial"/>
          <w:color w:val="000000"/>
          <w:szCs w:val="20"/>
          <w:lang w:val="sl-SI"/>
        </w:rPr>
        <w:t>Agencija RS za okolje (ARSO) vodi na področju EMS naslednje postopke:</w:t>
      </w:r>
    </w:p>
    <w:p w:rsidR="00993FB7" w:rsidRPr="00993FB7" w:rsidRDefault="00993FB7" w:rsidP="00ED7C74">
      <w:pPr>
        <w:numPr>
          <w:ilvl w:val="0"/>
          <w:numId w:val="14"/>
        </w:numPr>
        <w:spacing w:before="60" w:after="200" w:line="276" w:lineRule="auto"/>
        <w:ind w:left="357" w:hanging="357"/>
        <w:jc w:val="both"/>
        <w:rPr>
          <w:rFonts w:eastAsiaTheme="minorHAnsi" w:cs="Arial"/>
          <w:szCs w:val="20"/>
          <w:lang w:val="sl-SI"/>
        </w:rPr>
      </w:pPr>
      <w:r w:rsidRPr="00993FB7">
        <w:rPr>
          <w:rFonts w:eastAsiaTheme="minorHAnsi" w:cs="Arial"/>
          <w:szCs w:val="20"/>
          <w:lang w:val="sl-SI"/>
        </w:rPr>
        <w:t xml:space="preserve">izdaja pooblastila za izvajanje prvih meritev in obratovalnega monitoringa skladno z zgoraj omenjenim pravilnikom; </w:t>
      </w:r>
    </w:p>
    <w:p w:rsidR="00993FB7" w:rsidRPr="00993FB7" w:rsidRDefault="00993FB7" w:rsidP="00ED7C74">
      <w:pPr>
        <w:numPr>
          <w:ilvl w:val="0"/>
          <w:numId w:val="14"/>
        </w:numPr>
        <w:spacing w:before="60" w:after="200" w:line="276" w:lineRule="auto"/>
        <w:ind w:left="357" w:hanging="357"/>
        <w:jc w:val="both"/>
        <w:rPr>
          <w:rFonts w:eastAsiaTheme="minorHAnsi" w:cs="Arial"/>
          <w:szCs w:val="20"/>
          <w:lang w:val="sl-SI"/>
        </w:rPr>
      </w:pPr>
      <w:r w:rsidRPr="00993FB7">
        <w:rPr>
          <w:rFonts w:eastAsiaTheme="minorHAnsi" w:cs="Arial"/>
          <w:szCs w:val="20"/>
          <w:lang w:val="sl-SI"/>
        </w:rPr>
        <w:t>vodi seznam pooblaščencev za izvajanje prvih meritev in obratovalnega monitoringa za vire elektromagnetnega sevanja, ki je na voljo na spletni strani</w:t>
      </w:r>
      <w:r w:rsidR="00BC56D7" w:rsidRPr="00BC56D7">
        <w:rPr>
          <w:rFonts w:eastAsiaTheme="minorHAnsi" w:cs="Arial"/>
          <w:szCs w:val="20"/>
          <w:lang w:val="sl-SI"/>
        </w:rPr>
        <w:t xml:space="preserve"> </w:t>
      </w:r>
      <w:r w:rsidR="00BC56D7" w:rsidRPr="00993FB7">
        <w:rPr>
          <w:rFonts w:eastAsiaTheme="minorHAnsi" w:cs="Arial"/>
          <w:szCs w:val="20"/>
          <w:lang w:val="sl-SI"/>
        </w:rPr>
        <w:t>ARSO</w:t>
      </w:r>
      <w:r w:rsidRPr="00993FB7">
        <w:rPr>
          <w:rFonts w:eastAsiaTheme="minorHAnsi" w:cs="Arial"/>
          <w:szCs w:val="20"/>
          <w:lang w:val="sl-SI"/>
        </w:rPr>
        <w:t>;</w:t>
      </w:r>
    </w:p>
    <w:p w:rsidR="00993FB7" w:rsidRPr="00993FB7" w:rsidRDefault="00993FB7" w:rsidP="00ED7C74">
      <w:pPr>
        <w:numPr>
          <w:ilvl w:val="0"/>
          <w:numId w:val="14"/>
        </w:numPr>
        <w:spacing w:before="60" w:after="200" w:line="276" w:lineRule="auto"/>
        <w:ind w:left="357" w:hanging="357"/>
        <w:jc w:val="both"/>
        <w:rPr>
          <w:rFonts w:eastAsiaTheme="minorHAnsi" w:cs="Arial"/>
          <w:szCs w:val="20"/>
          <w:lang w:val="sl-SI"/>
        </w:rPr>
      </w:pPr>
      <w:r w:rsidRPr="00993FB7">
        <w:rPr>
          <w:rFonts w:eastAsiaTheme="minorHAnsi" w:cs="Arial"/>
          <w:szCs w:val="20"/>
          <w:lang w:val="sl-SI"/>
        </w:rPr>
        <w:t>zbira poročila o prvih meritvah in obratovalnih monitoringih za vire elektromagnetnih sevanj. Poročila, katerih seznam je na spletni strani</w:t>
      </w:r>
      <w:r w:rsidR="00BC56D7" w:rsidRPr="00BC56D7">
        <w:rPr>
          <w:rFonts w:eastAsiaTheme="minorHAnsi" w:cs="Arial"/>
          <w:szCs w:val="20"/>
          <w:lang w:val="sl-SI"/>
        </w:rPr>
        <w:t xml:space="preserve"> </w:t>
      </w:r>
      <w:r w:rsidR="00BC56D7" w:rsidRPr="00993FB7">
        <w:rPr>
          <w:rFonts w:eastAsiaTheme="minorHAnsi" w:cs="Arial"/>
          <w:szCs w:val="20"/>
          <w:lang w:val="sl-SI"/>
        </w:rPr>
        <w:t>ARSO</w:t>
      </w:r>
      <w:r w:rsidRPr="00993FB7">
        <w:rPr>
          <w:rFonts w:eastAsiaTheme="minorHAnsi" w:cs="Arial"/>
          <w:szCs w:val="20"/>
          <w:lang w:val="sl-SI"/>
        </w:rPr>
        <w:t>, so javnosti dostopna na vpogled.</w:t>
      </w:r>
    </w:p>
    <w:p w:rsidR="00BC56D7" w:rsidRPr="005771BD" w:rsidRDefault="00BC56D7" w:rsidP="00BC56D7">
      <w:pPr>
        <w:autoSpaceDE w:val="0"/>
        <w:autoSpaceDN w:val="0"/>
        <w:adjustRightInd w:val="0"/>
        <w:spacing w:after="200" w:line="276" w:lineRule="auto"/>
        <w:jc w:val="both"/>
        <w:rPr>
          <w:rFonts w:eastAsiaTheme="minorHAnsi" w:cs="Arial"/>
          <w:color w:val="000000"/>
          <w:szCs w:val="20"/>
          <w:lang w:val="sl-SI"/>
        </w:rPr>
      </w:pPr>
      <w:r w:rsidRPr="005771BD">
        <w:rPr>
          <w:rFonts w:eastAsiaTheme="minorHAnsi" w:cs="Arial"/>
          <w:color w:val="000000"/>
          <w:szCs w:val="20"/>
          <w:lang w:val="sl-SI"/>
        </w:rPr>
        <w:t>Inšpektorat RS za okolje in prostor (IRSOP) izvaja nadzor virov EMS. V obdobju po letu 2009 se je število inšpekcijskih nadzorov približno prepolovilo glede na obdobje 2006</w:t>
      </w:r>
      <w:r>
        <w:rPr>
          <w:rFonts w:eastAsiaTheme="minorHAnsi" w:cs="Arial"/>
          <w:color w:val="000000"/>
          <w:szCs w:val="20"/>
          <w:lang w:val="sl-SI"/>
        </w:rPr>
        <w:t>–</w:t>
      </w:r>
      <w:r w:rsidRPr="005771BD">
        <w:rPr>
          <w:rFonts w:eastAsiaTheme="minorHAnsi" w:cs="Arial"/>
          <w:color w:val="000000"/>
          <w:szCs w:val="20"/>
          <w:lang w:val="sl-SI"/>
        </w:rPr>
        <w:t>2009. Če je bilo v obdobju 2006</w:t>
      </w:r>
      <w:r>
        <w:rPr>
          <w:rFonts w:eastAsiaTheme="minorHAnsi" w:cs="Arial"/>
          <w:color w:val="000000"/>
          <w:szCs w:val="20"/>
          <w:lang w:val="sl-SI"/>
        </w:rPr>
        <w:t>–</w:t>
      </w:r>
      <w:r w:rsidRPr="005771BD">
        <w:rPr>
          <w:rFonts w:eastAsiaTheme="minorHAnsi" w:cs="Arial"/>
          <w:color w:val="000000"/>
          <w:szCs w:val="20"/>
          <w:lang w:val="sl-SI"/>
        </w:rPr>
        <w:t xml:space="preserve">2009 ugotovljenih več kršitev in je inšpekcija izdala upravljavcem virov EMS 65 ukrepov in </w:t>
      </w:r>
      <w:r>
        <w:rPr>
          <w:rFonts w:eastAsiaTheme="minorHAnsi" w:cs="Arial"/>
          <w:color w:val="000000"/>
          <w:szCs w:val="20"/>
          <w:lang w:val="sl-SI"/>
        </w:rPr>
        <w:t>za</w:t>
      </w:r>
      <w:r w:rsidRPr="005771BD">
        <w:rPr>
          <w:rFonts w:eastAsiaTheme="minorHAnsi" w:cs="Arial"/>
          <w:color w:val="000000"/>
          <w:szCs w:val="20"/>
          <w:lang w:val="sl-SI"/>
        </w:rPr>
        <w:t xml:space="preserve">čela 7 postopkov zaradi kršitev, pa v obdobju po letu 2009 ni bilo ugotovljenih </w:t>
      </w:r>
      <w:r>
        <w:rPr>
          <w:rFonts w:eastAsiaTheme="minorHAnsi" w:cs="Arial"/>
          <w:color w:val="000000"/>
          <w:szCs w:val="20"/>
          <w:lang w:val="sl-SI"/>
        </w:rPr>
        <w:t>kršitev</w:t>
      </w:r>
      <w:r w:rsidRPr="005771BD">
        <w:rPr>
          <w:rFonts w:eastAsiaTheme="minorHAnsi" w:cs="Arial"/>
          <w:color w:val="000000"/>
          <w:szCs w:val="20"/>
          <w:lang w:val="sl-SI"/>
        </w:rPr>
        <w:t xml:space="preserve"> zakonodaje. </w:t>
      </w:r>
    </w:p>
    <w:p w:rsidR="00BC56D7" w:rsidRPr="005771BD" w:rsidRDefault="00BC56D7" w:rsidP="00BC56D7">
      <w:pPr>
        <w:autoSpaceDE w:val="0"/>
        <w:autoSpaceDN w:val="0"/>
        <w:adjustRightInd w:val="0"/>
        <w:spacing w:after="200" w:line="276" w:lineRule="auto"/>
        <w:jc w:val="both"/>
        <w:rPr>
          <w:rFonts w:eastAsiaTheme="minorHAnsi" w:cs="Arial"/>
          <w:color w:val="000000"/>
          <w:szCs w:val="20"/>
          <w:lang w:val="sl-SI"/>
        </w:rPr>
      </w:pPr>
      <w:r w:rsidRPr="005771BD">
        <w:rPr>
          <w:rFonts w:eastAsiaTheme="minorHAnsi" w:cs="Arial"/>
          <w:color w:val="000000"/>
          <w:szCs w:val="20"/>
          <w:lang w:val="sl-SI"/>
        </w:rPr>
        <w:t>V zadnjem času se sicer povečuje število prijav občanov po postavitvi baznih postaj mobilne telefonije ter GSM-R</w:t>
      </w:r>
      <w:r>
        <w:rPr>
          <w:rFonts w:eastAsiaTheme="minorHAnsi" w:cs="Arial"/>
          <w:color w:val="000000"/>
          <w:szCs w:val="20"/>
          <w:lang w:val="sl-SI"/>
        </w:rPr>
        <w:t>-</w:t>
      </w:r>
      <w:r w:rsidRPr="005771BD">
        <w:rPr>
          <w:rFonts w:eastAsiaTheme="minorHAnsi" w:cs="Arial"/>
          <w:color w:val="000000"/>
          <w:szCs w:val="20"/>
          <w:lang w:val="sl-SI"/>
        </w:rPr>
        <w:t>omrežja v železniškem omrežju. IRSOP do</w:t>
      </w:r>
      <w:r>
        <w:rPr>
          <w:rFonts w:eastAsiaTheme="minorHAnsi" w:cs="Arial"/>
          <w:color w:val="000000"/>
          <w:szCs w:val="20"/>
          <w:lang w:val="sl-SI"/>
        </w:rPr>
        <w:t>slej</w:t>
      </w:r>
      <w:r w:rsidRPr="005771BD">
        <w:rPr>
          <w:rFonts w:eastAsiaTheme="minorHAnsi" w:cs="Arial"/>
          <w:color w:val="000000"/>
          <w:szCs w:val="20"/>
          <w:lang w:val="sl-SI"/>
        </w:rPr>
        <w:t xml:space="preserve"> ni ugotovil obremenitve EMS baznih postaj prek mejnih vrednosti za območja I. stopnje varstva. Pri tem je treb</w:t>
      </w:r>
      <w:r>
        <w:rPr>
          <w:rFonts w:eastAsiaTheme="minorHAnsi" w:cs="Arial"/>
          <w:color w:val="000000"/>
          <w:szCs w:val="20"/>
          <w:lang w:val="sl-SI"/>
        </w:rPr>
        <w:t>a</w:t>
      </w:r>
      <w:r w:rsidRPr="005771BD">
        <w:rPr>
          <w:rFonts w:eastAsiaTheme="minorHAnsi" w:cs="Arial"/>
          <w:color w:val="000000"/>
          <w:szCs w:val="20"/>
          <w:lang w:val="sl-SI"/>
        </w:rPr>
        <w:t xml:space="preserve"> </w:t>
      </w:r>
      <w:r>
        <w:rPr>
          <w:rFonts w:eastAsiaTheme="minorHAnsi" w:cs="Arial"/>
          <w:color w:val="000000"/>
          <w:szCs w:val="20"/>
          <w:lang w:val="sl-SI"/>
        </w:rPr>
        <w:t xml:space="preserve">opozoriti na neurejenost </w:t>
      </w:r>
      <w:r w:rsidRPr="005771BD">
        <w:rPr>
          <w:rFonts w:eastAsiaTheme="minorHAnsi" w:cs="Arial"/>
          <w:color w:val="000000"/>
          <w:szCs w:val="20"/>
          <w:lang w:val="sl-SI"/>
        </w:rPr>
        <w:t xml:space="preserve"> te</w:t>
      </w:r>
      <w:r>
        <w:rPr>
          <w:rFonts w:eastAsiaTheme="minorHAnsi" w:cs="Arial"/>
          <w:color w:val="000000"/>
          <w:szCs w:val="20"/>
          <w:lang w:val="sl-SI"/>
        </w:rPr>
        <w:t>ga</w:t>
      </w:r>
      <w:r w:rsidRPr="005771BD">
        <w:rPr>
          <w:rFonts w:eastAsiaTheme="minorHAnsi" w:cs="Arial"/>
          <w:color w:val="000000"/>
          <w:szCs w:val="20"/>
          <w:lang w:val="sl-SI"/>
        </w:rPr>
        <w:t xml:space="preserve"> področj</w:t>
      </w:r>
      <w:r>
        <w:rPr>
          <w:rFonts w:eastAsiaTheme="minorHAnsi" w:cs="Arial"/>
          <w:color w:val="000000"/>
          <w:szCs w:val="20"/>
          <w:lang w:val="sl-SI"/>
        </w:rPr>
        <w:t>a</w:t>
      </w:r>
      <w:r w:rsidRPr="005771BD">
        <w:rPr>
          <w:rFonts w:eastAsiaTheme="minorHAnsi" w:cs="Arial"/>
          <w:color w:val="000000"/>
          <w:szCs w:val="20"/>
          <w:lang w:val="sl-SI"/>
        </w:rPr>
        <w:t>, saj se bazne postaje vse pogosteje in množičneje umeščajo v naselja. Pri tem operaterji mobilne telefonije postavljajo svoje antene v bližini anten drugih operaterjev, kar med prebivalstvom vzbuja nelagodje in ogorčenje.</w:t>
      </w:r>
    </w:p>
    <w:p w:rsidR="00BC56D7" w:rsidRPr="005771BD" w:rsidRDefault="00BC56D7" w:rsidP="00BC56D7">
      <w:pPr>
        <w:autoSpaceDE w:val="0"/>
        <w:autoSpaceDN w:val="0"/>
        <w:adjustRightInd w:val="0"/>
        <w:spacing w:after="200" w:line="276" w:lineRule="auto"/>
        <w:jc w:val="both"/>
        <w:rPr>
          <w:rFonts w:eastAsiaTheme="minorHAnsi" w:cs="Arial"/>
          <w:bCs/>
          <w:szCs w:val="20"/>
          <w:lang w:val="sl-SI"/>
        </w:rPr>
      </w:pPr>
      <w:r w:rsidRPr="005771BD">
        <w:rPr>
          <w:rFonts w:eastAsiaTheme="minorHAnsi" w:cs="Arial"/>
          <w:bCs/>
          <w:szCs w:val="20"/>
          <w:lang w:val="sl-SI"/>
        </w:rPr>
        <w:t xml:space="preserve">EMS spada tudi v delovno področje Uprave RS za varstvo pred sevanji (URSVS), ki deluje v sestavi Ministrstva za zdravje in ki </w:t>
      </w:r>
      <w:r>
        <w:rPr>
          <w:rFonts w:eastAsiaTheme="minorHAnsi" w:cs="Arial"/>
          <w:bCs/>
          <w:szCs w:val="20"/>
          <w:lang w:val="sl-SI"/>
        </w:rPr>
        <w:t>na</w:t>
      </w:r>
      <w:r w:rsidRPr="005771BD">
        <w:rPr>
          <w:rFonts w:eastAsiaTheme="minorHAnsi" w:cs="Arial"/>
          <w:bCs/>
          <w:szCs w:val="20"/>
          <w:lang w:val="sl-SI"/>
        </w:rPr>
        <w:t xml:space="preserve"> svetovnem spletu objavlja koristne informacije in pojasnila na vprašanja javnosti glede umeščanja baznih postaj mobilne telefonije in daljnovodov v bližino prebivališč.</w:t>
      </w:r>
    </w:p>
    <w:p w:rsidR="00BC56D7" w:rsidRPr="005771BD" w:rsidRDefault="00BC56D7" w:rsidP="00BC56D7">
      <w:pPr>
        <w:autoSpaceDE w:val="0"/>
        <w:autoSpaceDN w:val="0"/>
        <w:adjustRightInd w:val="0"/>
        <w:spacing w:after="200" w:line="276" w:lineRule="auto"/>
        <w:jc w:val="both"/>
        <w:rPr>
          <w:rFonts w:eastAsiaTheme="minorHAnsi" w:cs="Arial"/>
          <w:szCs w:val="20"/>
          <w:lang w:val="sl-SI"/>
        </w:rPr>
      </w:pPr>
      <w:r>
        <w:rPr>
          <w:rFonts w:eastAsiaTheme="minorHAnsi" w:cs="Arial"/>
          <w:bCs/>
          <w:szCs w:val="20"/>
          <w:lang w:val="sl-SI"/>
        </w:rPr>
        <w:t>V</w:t>
      </w:r>
      <w:r w:rsidRPr="005771BD">
        <w:rPr>
          <w:rFonts w:eastAsiaTheme="minorHAnsi" w:cs="Arial"/>
          <w:bCs/>
          <w:szCs w:val="20"/>
          <w:lang w:val="sl-SI"/>
        </w:rPr>
        <w:t>arovanj</w:t>
      </w:r>
      <w:r>
        <w:rPr>
          <w:rFonts w:eastAsiaTheme="minorHAnsi" w:cs="Arial"/>
          <w:bCs/>
          <w:szCs w:val="20"/>
          <w:lang w:val="sl-SI"/>
        </w:rPr>
        <w:t>e pred</w:t>
      </w:r>
      <w:r w:rsidRPr="005771BD">
        <w:rPr>
          <w:rFonts w:eastAsiaTheme="minorHAnsi" w:cs="Arial"/>
          <w:bCs/>
          <w:szCs w:val="20"/>
          <w:lang w:val="sl-SI"/>
        </w:rPr>
        <w:t xml:space="preserve"> izpostavljenost</w:t>
      </w:r>
      <w:r>
        <w:rPr>
          <w:rFonts w:eastAsiaTheme="minorHAnsi" w:cs="Arial"/>
          <w:bCs/>
          <w:szCs w:val="20"/>
          <w:lang w:val="sl-SI"/>
        </w:rPr>
        <w:t>jo</w:t>
      </w:r>
      <w:r w:rsidRPr="005771BD">
        <w:rPr>
          <w:rFonts w:eastAsiaTheme="minorHAnsi" w:cs="Arial"/>
          <w:bCs/>
          <w:szCs w:val="20"/>
          <w:lang w:val="sl-SI"/>
        </w:rPr>
        <w:t xml:space="preserve"> delavcev pred EMS je pristojnost </w:t>
      </w:r>
      <w:r w:rsidRPr="005771BD">
        <w:rPr>
          <w:rFonts w:eastAsiaTheme="minorHAnsi" w:cs="Arial"/>
          <w:szCs w:val="20"/>
          <w:lang w:val="sl-SI"/>
        </w:rPr>
        <w:t xml:space="preserve">Sektorja za varnost in zdravje pri delu, ki deluje v sestavi Ministrstva za delo, družino, socialne zadeve in enake možnosti. </w:t>
      </w:r>
    </w:p>
    <w:p w:rsidR="00993FB7" w:rsidRPr="00993FB7" w:rsidRDefault="00993FB7" w:rsidP="001B34D7">
      <w:pPr>
        <w:autoSpaceDE w:val="0"/>
        <w:autoSpaceDN w:val="0"/>
        <w:adjustRightInd w:val="0"/>
        <w:spacing w:line="276" w:lineRule="auto"/>
        <w:jc w:val="both"/>
        <w:rPr>
          <w:rFonts w:eastAsiaTheme="minorHAnsi" w:cs="Arial"/>
          <w:b/>
          <w:bCs/>
          <w:szCs w:val="20"/>
          <w:u w:val="single"/>
          <w:lang w:val="sl-SI"/>
        </w:rPr>
      </w:pPr>
    </w:p>
    <w:p w:rsidR="00993FB7" w:rsidRPr="00993FB7" w:rsidRDefault="00993FB7" w:rsidP="00993FB7">
      <w:pPr>
        <w:autoSpaceDE w:val="0"/>
        <w:autoSpaceDN w:val="0"/>
        <w:adjustRightInd w:val="0"/>
        <w:spacing w:after="200" w:line="276" w:lineRule="auto"/>
        <w:rPr>
          <w:rFonts w:eastAsiaTheme="minorHAnsi" w:cs="Arial"/>
          <w:b/>
          <w:bCs/>
          <w:szCs w:val="20"/>
          <w:u w:val="single"/>
          <w:lang w:val="sl-SI"/>
        </w:rPr>
      </w:pPr>
      <w:r w:rsidRPr="00993FB7">
        <w:rPr>
          <w:rFonts w:eastAsiaTheme="minorHAnsi" w:cs="Arial"/>
          <w:b/>
          <w:bCs/>
          <w:szCs w:val="20"/>
          <w:u w:val="single"/>
          <w:lang w:val="sl-SI"/>
        </w:rPr>
        <w:t>1</w:t>
      </w:r>
      <w:r w:rsidR="00DE3B10">
        <w:rPr>
          <w:rFonts w:eastAsiaTheme="minorHAnsi" w:cs="Arial"/>
          <w:b/>
          <w:bCs/>
          <w:szCs w:val="20"/>
          <w:u w:val="single"/>
          <w:lang w:val="sl-SI"/>
        </w:rPr>
        <w:t>2</w:t>
      </w:r>
      <w:r w:rsidRPr="00993FB7">
        <w:rPr>
          <w:rFonts w:eastAsiaTheme="minorHAnsi" w:cs="Arial"/>
          <w:b/>
          <w:bCs/>
          <w:szCs w:val="20"/>
          <w:u w:val="single"/>
          <w:lang w:val="sl-SI"/>
        </w:rPr>
        <w:t xml:space="preserve">.6 Napotki </w:t>
      </w:r>
    </w:p>
    <w:p w:rsidR="00993FB7" w:rsidRPr="00993FB7" w:rsidRDefault="00993FB7" w:rsidP="00993FB7">
      <w:pPr>
        <w:autoSpaceDE w:val="0"/>
        <w:autoSpaceDN w:val="0"/>
        <w:adjustRightInd w:val="0"/>
        <w:spacing w:after="200" w:line="276" w:lineRule="auto"/>
        <w:jc w:val="both"/>
        <w:rPr>
          <w:rFonts w:eastAsiaTheme="minorHAnsi" w:cs="Arial"/>
          <w:bCs/>
          <w:szCs w:val="20"/>
          <w:lang w:val="sl-SI"/>
        </w:rPr>
      </w:pPr>
      <w:r w:rsidRPr="00993FB7">
        <w:rPr>
          <w:rFonts w:eastAsiaTheme="minorHAnsi" w:cs="Arial"/>
          <w:bCs/>
          <w:szCs w:val="20"/>
          <w:lang w:val="sl-SI"/>
        </w:rPr>
        <w:t xml:space="preserve">Čeprav z vidika preseganja </w:t>
      </w:r>
      <w:r w:rsidR="00A51864">
        <w:rPr>
          <w:rFonts w:eastAsiaTheme="minorHAnsi" w:cs="Arial"/>
          <w:bCs/>
          <w:szCs w:val="20"/>
          <w:lang w:val="sl-SI"/>
        </w:rPr>
        <w:t xml:space="preserve">predpisanih </w:t>
      </w:r>
      <w:r w:rsidRPr="00993FB7">
        <w:rPr>
          <w:rFonts w:eastAsiaTheme="minorHAnsi" w:cs="Arial"/>
          <w:bCs/>
          <w:szCs w:val="20"/>
          <w:lang w:val="sl-SI"/>
        </w:rPr>
        <w:t xml:space="preserve">mejnih vrednosti obremenjenost prebivalstva z EMS </w:t>
      </w:r>
      <w:r w:rsidR="00BC56D7">
        <w:rPr>
          <w:rFonts w:eastAsiaTheme="minorHAnsi" w:cs="Arial"/>
          <w:bCs/>
          <w:szCs w:val="20"/>
          <w:lang w:val="sl-SI"/>
        </w:rPr>
        <w:t xml:space="preserve">ni problematična, </w:t>
      </w:r>
      <w:r w:rsidRPr="00993FB7">
        <w:rPr>
          <w:rFonts w:eastAsiaTheme="minorHAnsi" w:cs="Arial"/>
          <w:bCs/>
          <w:szCs w:val="20"/>
          <w:lang w:val="sl-SI"/>
        </w:rPr>
        <w:t xml:space="preserve">je </w:t>
      </w:r>
      <w:r w:rsidR="00BC56D7">
        <w:rPr>
          <w:rFonts w:eastAsiaTheme="minorHAnsi" w:cs="Arial"/>
          <w:bCs/>
          <w:szCs w:val="20"/>
          <w:lang w:val="sl-SI"/>
        </w:rPr>
        <w:t xml:space="preserve">treba </w:t>
      </w:r>
      <w:r w:rsidRPr="00993FB7">
        <w:rPr>
          <w:rFonts w:eastAsiaTheme="minorHAnsi" w:cs="Arial"/>
          <w:bCs/>
          <w:szCs w:val="20"/>
          <w:lang w:val="sl-SI"/>
        </w:rPr>
        <w:t>izboljšati preglednost obratovanja virov EMS ter umeščanje novih virov EMS v prostor.</w:t>
      </w:r>
    </w:p>
    <w:p w:rsidR="00993FB7" w:rsidRPr="00993FB7" w:rsidRDefault="00993FB7" w:rsidP="00993FB7">
      <w:pPr>
        <w:autoSpaceDE w:val="0"/>
        <w:autoSpaceDN w:val="0"/>
        <w:adjustRightInd w:val="0"/>
        <w:spacing w:after="200" w:line="276" w:lineRule="auto"/>
        <w:jc w:val="both"/>
        <w:rPr>
          <w:rFonts w:eastAsiaTheme="minorHAnsi" w:cs="Arial"/>
          <w:bCs/>
          <w:szCs w:val="20"/>
          <w:lang w:val="sl-SI"/>
        </w:rPr>
      </w:pPr>
      <w:r w:rsidRPr="00993FB7">
        <w:rPr>
          <w:rFonts w:eastAsiaTheme="minorHAnsi" w:cs="Arial"/>
          <w:bCs/>
          <w:szCs w:val="20"/>
          <w:lang w:val="sl-SI"/>
        </w:rPr>
        <w:t>Zagotoviti bo treba dostopnost javnosti do registra virov EMS ter obratovalnega monitoringa njihovega obratovanja na enostaven in pregleden način</w:t>
      </w:r>
      <w:r w:rsidR="00A51864">
        <w:rPr>
          <w:rFonts w:eastAsiaTheme="minorHAnsi" w:cs="Arial"/>
          <w:bCs/>
          <w:szCs w:val="20"/>
          <w:lang w:val="sl-SI"/>
        </w:rPr>
        <w:t xml:space="preserve">, da bi </w:t>
      </w:r>
      <w:r w:rsidRPr="00993FB7">
        <w:rPr>
          <w:rFonts w:eastAsiaTheme="minorHAnsi" w:cs="Arial"/>
          <w:bCs/>
          <w:szCs w:val="20"/>
          <w:lang w:val="sl-SI"/>
        </w:rPr>
        <w:t xml:space="preserve">vzpostaviti zaupanje in </w:t>
      </w:r>
      <w:r w:rsidR="004E00F6">
        <w:rPr>
          <w:rFonts w:eastAsiaTheme="minorHAnsi" w:cs="Arial"/>
          <w:bCs/>
          <w:szCs w:val="20"/>
          <w:lang w:val="sl-SI"/>
        </w:rPr>
        <w:t xml:space="preserve">razumevanje </w:t>
      </w:r>
      <w:r w:rsidRPr="00993FB7">
        <w:rPr>
          <w:rFonts w:eastAsiaTheme="minorHAnsi" w:cs="Arial"/>
          <w:bCs/>
          <w:szCs w:val="20"/>
          <w:lang w:val="sl-SI"/>
        </w:rPr>
        <w:t xml:space="preserve">prebivalstva, da obremenitev z EMS ne </w:t>
      </w:r>
      <w:r w:rsidR="00BC56D7">
        <w:rPr>
          <w:rFonts w:eastAsiaTheme="minorHAnsi" w:cs="Arial"/>
          <w:bCs/>
          <w:szCs w:val="20"/>
          <w:lang w:val="sl-SI"/>
        </w:rPr>
        <w:t xml:space="preserve">ogroža </w:t>
      </w:r>
      <w:r w:rsidR="004E00F6">
        <w:rPr>
          <w:rFonts w:eastAsiaTheme="minorHAnsi" w:cs="Arial"/>
          <w:bCs/>
          <w:szCs w:val="20"/>
          <w:lang w:val="sl-SI"/>
        </w:rPr>
        <w:t xml:space="preserve">kakovosti </w:t>
      </w:r>
      <w:r w:rsidRPr="00993FB7">
        <w:rPr>
          <w:rFonts w:eastAsiaTheme="minorHAnsi" w:cs="Arial"/>
          <w:bCs/>
          <w:szCs w:val="20"/>
          <w:lang w:val="sl-SI"/>
        </w:rPr>
        <w:t xml:space="preserve">njihovega bivanja. </w:t>
      </w:r>
    </w:p>
    <w:p w:rsidR="00993FB7" w:rsidRPr="00993FB7" w:rsidRDefault="00993FB7" w:rsidP="00993FB7">
      <w:pPr>
        <w:autoSpaceDE w:val="0"/>
        <w:autoSpaceDN w:val="0"/>
        <w:adjustRightInd w:val="0"/>
        <w:spacing w:after="200" w:line="276" w:lineRule="auto"/>
        <w:jc w:val="both"/>
        <w:rPr>
          <w:rFonts w:eastAsiaTheme="minorHAnsi" w:cs="Arial"/>
          <w:bCs/>
          <w:szCs w:val="20"/>
          <w:lang w:val="sl-SI"/>
        </w:rPr>
      </w:pPr>
      <w:r w:rsidRPr="00993FB7">
        <w:rPr>
          <w:rFonts w:eastAsiaTheme="minorHAnsi" w:cs="Arial"/>
          <w:color w:val="000000"/>
          <w:szCs w:val="20"/>
          <w:lang w:val="sl-SI"/>
        </w:rPr>
        <w:t>Nov</w:t>
      </w:r>
      <w:r w:rsidR="00BC56D7">
        <w:rPr>
          <w:rFonts w:eastAsiaTheme="minorHAnsi" w:cs="Arial"/>
          <w:color w:val="000000"/>
          <w:szCs w:val="20"/>
          <w:lang w:val="sl-SI"/>
        </w:rPr>
        <w:t>e</w:t>
      </w:r>
      <w:r w:rsidRPr="00993FB7">
        <w:rPr>
          <w:rFonts w:eastAsiaTheme="minorHAnsi" w:cs="Arial"/>
          <w:color w:val="000000"/>
          <w:szCs w:val="20"/>
          <w:lang w:val="sl-SI"/>
        </w:rPr>
        <w:t xml:space="preserve"> vir</w:t>
      </w:r>
      <w:r w:rsidR="00BC56D7">
        <w:rPr>
          <w:rFonts w:eastAsiaTheme="minorHAnsi" w:cs="Arial"/>
          <w:color w:val="000000"/>
          <w:szCs w:val="20"/>
          <w:lang w:val="sl-SI"/>
        </w:rPr>
        <w:t>e</w:t>
      </w:r>
      <w:r w:rsidRPr="00993FB7">
        <w:rPr>
          <w:rFonts w:eastAsiaTheme="minorHAnsi" w:cs="Arial"/>
          <w:color w:val="000000"/>
          <w:szCs w:val="20"/>
          <w:lang w:val="sl-SI"/>
        </w:rPr>
        <w:t xml:space="preserve"> EMS </w:t>
      </w:r>
      <w:r w:rsidR="00BC56D7">
        <w:rPr>
          <w:rFonts w:eastAsiaTheme="minorHAnsi" w:cs="Arial"/>
          <w:color w:val="000000"/>
          <w:szCs w:val="20"/>
          <w:lang w:val="sl-SI"/>
        </w:rPr>
        <w:t>je treba namestiti n</w:t>
      </w:r>
      <w:r w:rsidRPr="00993FB7">
        <w:rPr>
          <w:rFonts w:eastAsiaTheme="minorHAnsi" w:cs="Arial"/>
          <w:color w:val="000000"/>
          <w:szCs w:val="20"/>
          <w:lang w:val="sl-SI"/>
        </w:rPr>
        <w:t xml:space="preserve">a mesta, kjer bodo ljudje čim manj izpostavljeni. Postavitvi novih virov EMS v bližini vrtcev, šol in otroških igrišč je treba </w:t>
      </w:r>
      <w:r w:rsidR="00BC56D7">
        <w:rPr>
          <w:rFonts w:eastAsiaTheme="minorHAnsi" w:cs="Arial"/>
          <w:color w:val="000000"/>
          <w:szCs w:val="20"/>
          <w:lang w:val="sl-SI"/>
        </w:rPr>
        <w:t xml:space="preserve">namenjati </w:t>
      </w:r>
      <w:r w:rsidRPr="00993FB7">
        <w:rPr>
          <w:rFonts w:eastAsiaTheme="minorHAnsi" w:cs="Arial"/>
          <w:color w:val="000000"/>
          <w:szCs w:val="20"/>
          <w:lang w:val="sl-SI"/>
        </w:rPr>
        <w:t>posebno pozornost. Pri umeščanju novih virov EMS se mora nedvoumno ovrednotiti skupna obremenit</w:t>
      </w:r>
      <w:r w:rsidR="004E00F6">
        <w:rPr>
          <w:rFonts w:eastAsiaTheme="minorHAnsi" w:cs="Arial"/>
          <w:color w:val="000000"/>
          <w:szCs w:val="20"/>
          <w:lang w:val="sl-SI"/>
        </w:rPr>
        <w:t xml:space="preserve">ev </w:t>
      </w:r>
      <w:r w:rsidRPr="00993FB7">
        <w:rPr>
          <w:rFonts w:eastAsiaTheme="minorHAnsi" w:cs="Arial"/>
          <w:color w:val="000000"/>
          <w:szCs w:val="20"/>
          <w:lang w:val="sl-SI"/>
        </w:rPr>
        <w:t>okolice z EMS, tj. vključno z obremenitvijo že obstoječih virov EMS na lokaciji. Odkrita, poštena in neposredna komunikacija med upravljavci vira EMS, krajevnimi organi in javnostjo v posameznih faz</w:t>
      </w:r>
      <w:r w:rsidR="004E00F6">
        <w:rPr>
          <w:rFonts w:eastAsiaTheme="minorHAnsi" w:cs="Arial"/>
          <w:color w:val="000000"/>
          <w:szCs w:val="20"/>
          <w:lang w:val="sl-SI"/>
        </w:rPr>
        <w:t xml:space="preserve">ah načrtovanja postavitve, od priprave prostorskih načrtov naprej, </w:t>
      </w:r>
      <w:r w:rsidRPr="00993FB7">
        <w:rPr>
          <w:rFonts w:eastAsiaTheme="minorHAnsi" w:cs="Arial"/>
          <w:color w:val="000000"/>
          <w:szCs w:val="20"/>
          <w:lang w:val="sl-SI"/>
        </w:rPr>
        <w:t xml:space="preserve">lahko pripomore k razumevanju problematike in večji sprejemljivosti </w:t>
      </w:r>
      <w:r w:rsidR="00BC56D7">
        <w:rPr>
          <w:rFonts w:eastAsiaTheme="minorHAnsi" w:cs="Arial"/>
          <w:color w:val="000000"/>
          <w:szCs w:val="20"/>
          <w:lang w:val="sl-SI"/>
        </w:rPr>
        <w:t xml:space="preserve">postavitve </w:t>
      </w:r>
      <w:r w:rsidRPr="00993FB7">
        <w:rPr>
          <w:rFonts w:eastAsiaTheme="minorHAnsi" w:cs="Arial"/>
          <w:color w:val="000000"/>
          <w:szCs w:val="20"/>
          <w:lang w:val="sl-SI"/>
        </w:rPr>
        <w:t xml:space="preserve">novih virov EMS. </w:t>
      </w:r>
    </w:p>
    <w:p w:rsidR="00993FB7" w:rsidRPr="00993FB7" w:rsidRDefault="00993FB7" w:rsidP="001B34D7">
      <w:pPr>
        <w:autoSpaceDE w:val="0"/>
        <w:autoSpaceDN w:val="0"/>
        <w:adjustRightInd w:val="0"/>
        <w:spacing w:line="276" w:lineRule="auto"/>
        <w:rPr>
          <w:rFonts w:eastAsiaTheme="minorHAnsi" w:cs="Arial"/>
          <w:b/>
          <w:bCs/>
          <w:szCs w:val="20"/>
          <w:u w:val="single"/>
          <w:lang w:val="sl-SI"/>
        </w:rPr>
      </w:pPr>
    </w:p>
    <w:p w:rsidR="00993FB7" w:rsidRPr="00993FB7" w:rsidRDefault="00993FB7" w:rsidP="00993FB7">
      <w:pPr>
        <w:autoSpaceDE w:val="0"/>
        <w:autoSpaceDN w:val="0"/>
        <w:adjustRightInd w:val="0"/>
        <w:spacing w:after="200" w:line="276" w:lineRule="auto"/>
        <w:rPr>
          <w:rFonts w:eastAsiaTheme="minorHAnsi" w:cs="Arial"/>
          <w:b/>
          <w:bCs/>
          <w:szCs w:val="20"/>
          <w:u w:val="single"/>
          <w:lang w:val="sl-SI"/>
        </w:rPr>
      </w:pPr>
      <w:r w:rsidRPr="00993FB7">
        <w:rPr>
          <w:rFonts w:eastAsiaTheme="minorHAnsi" w:cs="Arial"/>
          <w:b/>
          <w:bCs/>
          <w:szCs w:val="20"/>
          <w:u w:val="single"/>
          <w:lang w:val="sl-SI"/>
        </w:rPr>
        <w:t>1</w:t>
      </w:r>
      <w:r w:rsidR="00DE3B10">
        <w:rPr>
          <w:rFonts w:eastAsiaTheme="minorHAnsi" w:cs="Arial"/>
          <w:b/>
          <w:bCs/>
          <w:szCs w:val="20"/>
          <w:u w:val="single"/>
          <w:lang w:val="sl-SI"/>
        </w:rPr>
        <w:t>2</w:t>
      </w:r>
      <w:r w:rsidRPr="00993FB7">
        <w:rPr>
          <w:rFonts w:eastAsiaTheme="minorHAnsi" w:cs="Arial"/>
          <w:b/>
          <w:bCs/>
          <w:szCs w:val="20"/>
          <w:u w:val="single"/>
          <w:lang w:val="sl-SI"/>
        </w:rPr>
        <w:t>.</w:t>
      </w:r>
      <w:r w:rsidR="00DE3B10">
        <w:rPr>
          <w:rFonts w:eastAsiaTheme="minorHAnsi" w:cs="Arial"/>
          <w:b/>
          <w:bCs/>
          <w:szCs w:val="20"/>
          <w:u w:val="single"/>
          <w:lang w:val="sl-SI"/>
        </w:rPr>
        <w:t>7</w:t>
      </w:r>
      <w:r w:rsidRPr="00993FB7">
        <w:rPr>
          <w:rFonts w:eastAsiaTheme="minorHAnsi" w:cs="Arial"/>
          <w:b/>
          <w:bCs/>
          <w:szCs w:val="20"/>
          <w:u w:val="single"/>
          <w:lang w:val="sl-SI"/>
        </w:rPr>
        <w:t xml:space="preserve"> Viri</w:t>
      </w:r>
    </w:p>
    <w:p w:rsidR="00BC56D7" w:rsidRPr="005771BD" w:rsidRDefault="00BC56D7" w:rsidP="00BC56D7">
      <w:pPr>
        <w:autoSpaceDE w:val="0"/>
        <w:autoSpaceDN w:val="0"/>
        <w:adjustRightInd w:val="0"/>
        <w:spacing w:before="120" w:line="276" w:lineRule="auto"/>
        <w:rPr>
          <w:rFonts w:eastAsiaTheme="minorHAnsi" w:cs="Arial"/>
          <w:bCs/>
          <w:szCs w:val="20"/>
          <w:lang w:val="sl-SI"/>
        </w:rPr>
      </w:pPr>
      <w:r w:rsidRPr="005771BD">
        <w:rPr>
          <w:rFonts w:eastAsiaTheme="minorHAnsi" w:cs="Arial"/>
          <w:bCs/>
          <w:szCs w:val="20"/>
          <w:lang w:val="sl-SI"/>
        </w:rPr>
        <w:t>Informacije na spletiščih:</w:t>
      </w:r>
    </w:p>
    <w:p w:rsidR="00BC56D7" w:rsidRPr="005771BD" w:rsidRDefault="00BC56D7" w:rsidP="00BC56D7">
      <w:pPr>
        <w:autoSpaceDE w:val="0"/>
        <w:autoSpaceDN w:val="0"/>
        <w:adjustRightInd w:val="0"/>
        <w:spacing w:before="120" w:line="276" w:lineRule="auto"/>
        <w:rPr>
          <w:rFonts w:eastAsiaTheme="minorHAnsi" w:cs="Arial"/>
          <w:bCs/>
          <w:szCs w:val="20"/>
          <w:lang w:val="sl-SI"/>
        </w:rPr>
      </w:pPr>
      <w:r w:rsidRPr="005771BD">
        <w:rPr>
          <w:rFonts w:eastAsiaTheme="minorHAnsi" w:cs="Arial"/>
          <w:bCs/>
          <w:szCs w:val="20"/>
          <w:lang w:val="sl-SI"/>
        </w:rPr>
        <w:t xml:space="preserve">Agencije RS za okolje, dostopno na: </w:t>
      </w:r>
      <w:hyperlink r:id="rId204" w:history="1">
        <w:r w:rsidRPr="005771BD">
          <w:rPr>
            <w:rFonts w:eastAsiaTheme="minorHAnsi" w:cs="Arial"/>
            <w:bCs/>
            <w:color w:val="0000FF"/>
            <w:szCs w:val="20"/>
            <w:u w:val="single"/>
            <w:lang w:val="sl-SI"/>
          </w:rPr>
          <w:t>http://www.arso.gov.si/varstvo%20okolja/sevanja/</w:t>
        </w:r>
      </w:hyperlink>
      <w:r w:rsidRPr="005771BD">
        <w:rPr>
          <w:rFonts w:eastAsiaTheme="minorHAnsi" w:cs="Arial"/>
          <w:bCs/>
          <w:szCs w:val="20"/>
          <w:lang w:val="sl-SI"/>
        </w:rPr>
        <w:t xml:space="preserve"> </w:t>
      </w:r>
    </w:p>
    <w:p w:rsidR="00BC56D7" w:rsidRPr="005771BD" w:rsidRDefault="00BC56D7" w:rsidP="00BC56D7">
      <w:pPr>
        <w:tabs>
          <w:tab w:val="left" w:pos="7866"/>
        </w:tabs>
        <w:autoSpaceDE w:val="0"/>
        <w:autoSpaceDN w:val="0"/>
        <w:adjustRightInd w:val="0"/>
        <w:spacing w:before="120" w:line="276" w:lineRule="auto"/>
        <w:rPr>
          <w:rFonts w:eastAsiaTheme="minorHAnsi" w:cs="Arial"/>
          <w:bCs/>
          <w:szCs w:val="20"/>
          <w:lang w:val="sl-SI"/>
        </w:rPr>
      </w:pPr>
      <w:r w:rsidRPr="005771BD">
        <w:rPr>
          <w:rFonts w:eastAsiaTheme="minorHAnsi" w:cs="Arial"/>
          <w:bCs/>
          <w:szCs w:val="20"/>
          <w:lang w:val="sl-SI"/>
        </w:rPr>
        <w:t xml:space="preserve">Foruma EMS, dostopno na: </w:t>
      </w:r>
      <w:hyperlink r:id="rId205" w:history="1">
        <w:r w:rsidRPr="005771BD">
          <w:rPr>
            <w:rFonts w:eastAsiaTheme="minorHAnsi" w:cs="Arial"/>
            <w:bCs/>
            <w:color w:val="0000FF"/>
            <w:szCs w:val="20"/>
            <w:u w:val="single"/>
            <w:lang w:val="sl-SI"/>
          </w:rPr>
          <w:t>http://www.forum-ems.si/portal.html</w:t>
        </w:r>
      </w:hyperlink>
      <w:r w:rsidRPr="005771BD">
        <w:rPr>
          <w:rFonts w:eastAsiaTheme="minorHAnsi" w:cs="Arial"/>
          <w:bCs/>
          <w:szCs w:val="20"/>
          <w:lang w:val="sl-SI"/>
        </w:rPr>
        <w:t xml:space="preserve">; </w:t>
      </w:r>
      <w:hyperlink r:id="rId206" w:history="1">
        <w:r w:rsidRPr="005771BD">
          <w:rPr>
            <w:rFonts w:eastAsiaTheme="minorHAnsi" w:cs="Arial"/>
            <w:bCs/>
            <w:color w:val="0000FF"/>
            <w:szCs w:val="20"/>
            <w:u w:val="single"/>
            <w:lang w:val="sl-SI"/>
          </w:rPr>
          <w:t>http://www.forum-ems.si/e_karta_karta.html</w:t>
        </w:r>
      </w:hyperlink>
      <w:r w:rsidRPr="005771BD">
        <w:rPr>
          <w:rFonts w:eastAsiaTheme="minorHAnsi" w:cs="Arial"/>
          <w:bCs/>
          <w:szCs w:val="20"/>
          <w:lang w:val="sl-SI"/>
        </w:rPr>
        <w:t xml:space="preserve"> </w:t>
      </w:r>
    </w:p>
    <w:p w:rsidR="00BC56D7" w:rsidRPr="005771BD" w:rsidRDefault="00BC56D7" w:rsidP="00BC56D7">
      <w:pPr>
        <w:autoSpaceDE w:val="0"/>
        <w:autoSpaceDN w:val="0"/>
        <w:adjustRightInd w:val="0"/>
        <w:spacing w:before="120" w:line="276" w:lineRule="auto"/>
        <w:rPr>
          <w:rFonts w:eastAsiaTheme="minorHAnsi" w:cs="Arial"/>
          <w:bCs/>
          <w:szCs w:val="20"/>
          <w:lang w:val="sl-SI"/>
        </w:rPr>
      </w:pPr>
      <w:r w:rsidRPr="005771BD">
        <w:rPr>
          <w:rFonts w:eastAsiaTheme="minorHAnsi" w:cs="Arial"/>
          <w:bCs/>
          <w:szCs w:val="20"/>
          <w:lang w:val="sl-SI"/>
        </w:rPr>
        <w:t xml:space="preserve">Inšpektorata RS za okolje in prostor, dostopno na:  </w:t>
      </w:r>
      <w:hyperlink r:id="rId207" w:history="1">
        <w:r w:rsidRPr="005771BD">
          <w:rPr>
            <w:rFonts w:eastAsiaTheme="minorHAnsi" w:cs="Arial"/>
            <w:bCs/>
            <w:color w:val="0000FF"/>
            <w:szCs w:val="20"/>
            <w:u w:val="single"/>
            <w:lang w:val="sl-SI"/>
          </w:rPr>
          <w:t>http://www.arhiv.iko.gov.si/si/o_inspektoratu/porocila_o_delu_inspektorata/</w:t>
        </w:r>
      </w:hyperlink>
      <w:r w:rsidRPr="005771BD">
        <w:rPr>
          <w:rFonts w:eastAsiaTheme="minorHAnsi" w:cs="Arial"/>
          <w:bCs/>
          <w:szCs w:val="20"/>
          <w:lang w:val="sl-SI"/>
        </w:rPr>
        <w:t xml:space="preserve"> </w:t>
      </w:r>
    </w:p>
    <w:p w:rsidR="00BC56D7" w:rsidRPr="005771BD" w:rsidRDefault="00BC56D7" w:rsidP="00BC56D7">
      <w:pPr>
        <w:autoSpaceDE w:val="0"/>
        <w:autoSpaceDN w:val="0"/>
        <w:adjustRightInd w:val="0"/>
        <w:spacing w:before="120" w:line="276" w:lineRule="auto"/>
        <w:rPr>
          <w:rFonts w:eastAsiaTheme="minorHAnsi" w:cs="Arial"/>
          <w:bCs/>
          <w:szCs w:val="20"/>
          <w:lang w:val="sl-SI"/>
        </w:rPr>
      </w:pPr>
      <w:r w:rsidRPr="005771BD">
        <w:rPr>
          <w:rFonts w:eastAsiaTheme="minorHAnsi" w:cs="Arial"/>
          <w:bCs/>
          <w:szCs w:val="20"/>
          <w:lang w:val="sl-SI"/>
        </w:rPr>
        <w:t xml:space="preserve">Inštituta za neionizirna sevanja, dostopno na: </w:t>
      </w:r>
      <w:hyperlink r:id="rId208" w:history="1">
        <w:r w:rsidRPr="005771BD">
          <w:rPr>
            <w:rFonts w:eastAsiaTheme="minorHAnsi" w:cs="Arial"/>
            <w:bCs/>
            <w:color w:val="0000FF"/>
            <w:szCs w:val="20"/>
            <w:u w:val="single"/>
            <w:lang w:val="sl-SI"/>
          </w:rPr>
          <w:t>http://www.inis.si/</w:t>
        </w:r>
      </w:hyperlink>
      <w:r w:rsidRPr="005771BD">
        <w:rPr>
          <w:rFonts w:eastAsiaTheme="minorHAnsi" w:cs="Arial"/>
          <w:bCs/>
          <w:szCs w:val="20"/>
          <w:lang w:val="sl-SI"/>
        </w:rPr>
        <w:t xml:space="preserve"> </w:t>
      </w:r>
    </w:p>
    <w:p w:rsidR="00BC56D7" w:rsidRPr="005771BD" w:rsidRDefault="00BC56D7" w:rsidP="00BC56D7">
      <w:pPr>
        <w:autoSpaceDE w:val="0"/>
        <w:autoSpaceDN w:val="0"/>
        <w:adjustRightInd w:val="0"/>
        <w:spacing w:before="120" w:line="276" w:lineRule="auto"/>
        <w:rPr>
          <w:rFonts w:eastAsiaTheme="minorHAnsi" w:cs="Arial"/>
          <w:bCs/>
          <w:szCs w:val="20"/>
          <w:lang w:val="sl-SI"/>
        </w:rPr>
      </w:pPr>
      <w:r w:rsidRPr="005771BD">
        <w:rPr>
          <w:rFonts w:eastAsiaTheme="minorHAnsi" w:cs="Arial"/>
          <w:bCs/>
          <w:szCs w:val="20"/>
          <w:lang w:val="sl-SI"/>
        </w:rPr>
        <w:t xml:space="preserve">Ministrstva za okolje in prostor, dostopno na: </w:t>
      </w:r>
      <w:hyperlink r:id="rId209" w:history="1">
        <w:r w:rsidRPr="005771BD">
          <w:rPr>
            <w:rFonts w:eastAsiaTheme="minorHAnsi" w:cs="Arial"/>
            <w:bCs/>
            <w:color w:val="0000FF"/>
            <w:szCs w:val="20"/>
            <w:u w:val="single"/>
            <w:lang w:val="sl-SI"/>
          </w:rPr>
          <w:t>http://www.mop.gov.si/si/zakonodaja_in_dokumenti/veljavni_predpisi/okolje/zakon_o_varstvu_okolja/svetlobno_onesnazevanje_elektromagnetna_sevanja/</w:t>
        </w:r>
      </w:hyperlink>
      <w:r w:rsidRPr="005771BD">
        <w:rPr>
          <w:rFonts w:eastAsiaTheme="minorHAnsi" w:cs="Arial"/>
          <w:bCs/>
          <w:szCs w:val="20"/>
          <w:lang w:val="sl-SI"/>
        </w:rPr>
        <w:t xml:space="preserve"> </w:t>
      </w:r>
    </w:p>
    <w:p w:rsidR="00BC56D7" w:rsidRPr="005771BD" w:rsidRDefault="00BC56D7" w:rsidP="00BC56D7">
      <w:pPr>
        <w:autoSpaceDE w:val="0"/>
        <w:autoSpaceDN w:val="0"/>
        <w:adjustRightInd w:val="0"/>
        <w:spacing w:before="120" w:line="276" w:lineRule="auto"/>
        <w:rPr>
          <w:rFonts w:eastAsiaTheme="minorHAnsi" w:cs="Arial"/>
          <w:bCs/>
          <w:szCs w:val="20"/>
          <w:lang w:val="sl-SI"/>
        </w:rPr>
      </w:pPr>
      <w:r w:rsidRPr="005771BD">
        <w:rPr>
          <w:rFonts w:eastAsiaTheme="minorHAnsi" w:cs="Arial"/>
          <w:bCs/>
          <w:szCs w:val="20"/>
          <w:lang w:val="sl-SI"/>
        </w:rPr>
        <w:t>Uprave RS za varstvo pred sevanji, dostopno na:</w:t>
      </w:r>
      <w:r w:rsidRPr="001775CF">
        <w:rPr>
          <w:lang w:val="sl-SI"/>
        </w:rPr>
        <w:t xml:space="preserve"> </w:t>
      </w:r>
      <w:r w:rsidRPr="005771BD">
        <w:rPr>
          <w:rFonts w:eastAsiaTheme="minorHAnsi" w:cs="Arial"/>
          <w:bCs/>
          <w:szCs w:val="20"/>
          <w:lang w:val="sl-SI"/>
        </w:rPr>
        <w:t xml:space="preserve">http://www.uvps.gov.si/ </w:t>
      </w:r>
    </w:p>
    <w:p w:rsidR="003B2707" w:rsidRPr="005771BD" w:rsidRDefault="00993FB7" w:rsidP="00DE3B10">
      <w:pPr>
        <w:spacing w:after="360" w:line="276" w:lineRule="auto"/>
        <w:rPr>
          <w:rFonts w:eastAsiaTheme="minorHAnsi" w:cs="Arial"/>
          <w:b/>
          <w:sz w:val="22"/>
          <w:szCs w:val="22"/>
          <w:lang w:val="sl-SI"/>
        </w:rPr>
      </w:pPr>
      <w:r w:rsidRPr="00993FB7">
        <w:rPr>
          <w:rFonts w:eastAsiaTheme="minorHAnsi" w:cs="Arial"/>
          <w:b/>
          <w:color w:val="FF0000"/>
          <w:szCs w:val="20"/>
          <w:lang w:val="sl-SI"/>
        </w:rPr>
        <w:br w:type="column"/>
      </w:r>
      <w:r w:rsidR="003B2707" w:rsidRPr="005771BD">
        <w:rPr>
          <w:rFonts w:eastAsiaTheme="minorHAnsi" w:cs="Arial"/>
          <w:b/>
          <w:sz w:val="22"/>
          <w:szCs w:val="22"/>
          <w:lang w:val="sl-SI"/>
        </w:rPr>
        <w:t>1</w:t>
      </w:r>
      <w:r w:rsidR="00DE3B10">
        <w:rPr>
          <w:rFonts w:eastAsiaTheme="minorHAnsi" w:cs="Arial"/>
          <w:b/>
          <w:sz w:val="22"/>
          <w:szCs w:val="22"/>
          <w:lang w:val="sl-SI"/>
        </w:rPr>
        <w:t>3</w:t>
      </w:r>
      <w:r w:rsidR="003B2707" w:rsidRPr="005771BD">
        <w:rPr>
          <w:rFonts w:eastAsiaTheme="minorHAnsi" w:cs="Arial"/>
          <w:b/>
          <w:sz w:val="22"/>
          <w:szCs w:val="22"/>
          <w:lang w:val="sl-SI"/>
        </w:rPr>
        <w:t xml:space="preserve"> BIOTEHNOLOGIJA </w:t>
      </w:r>
      <w:r w:rsidR="003B2707">
        <w:rPr>
          <w:rFonts w:eastAsiaTheme="minorHAnsi" w:cs="Arial"/>
          <w:b/>
          <w:sz w:val="22"/>
          <w:szCs w:val="22"/>
          <w:lang w:val="sl-SI"/>
        </w:rPr>
        <w:t>–</w:t>
      </w:r>
      <w:r w:rsidR="003B2707" w:rsidRPr="005771BD">
        <w:rPr>
          <w:rFonts w:eastAsiaTheme="minorHAnsi" w:cs="Arial"/>
          <w:b/>
          <w:sz w:val="22"/>
          <w:szCs w:val="22"/>
          <w:lang w:val="sl-SI"/>
        </w:rPr>
        <w:t xml:space="preserve"> GSO IN BIOLOŠKA VARNOST</w:t>
      </w:r>
    </w:p>
    <w:p w:rsidR="003B2707" w:rsidRPr="005771BD" w:rsidRDefault="003B2707" w:rsidP="003B2707">
      <w:pPr>
        <w:spacing w:after="200" w:line="276" w:lineRule="auto"/>
        <w:contextualSpacing/>
        <w:jc w:val="both"/>
        <w:rPr>
          <w:rFonts w:eastAsiaTheme="minorHAnsi" w:cs="Arial"/>
          <w:b/>
          <w:szCs w:val="20"/>
          <w:u w:val="single"/>
          <w:lang w:val="sl-SI"/>
        </w:rPr>
      </w:pPr>
      <w:r w:rsidRPr="005771BD">
        <w:rPr>
          <w:rFonts w:eastAsiaTheme="minorHAnsi" w:cs="Arial"/>
          <w:b/>
          <w:szCs w:val="20"/>
          <w:u w:val="single"/>
          <w:lang w:val="sl-SI"/>
        </w:rPr>
        <w:t>1</w:t>
      </w:r>
      <w:r w:rsidR="00DE3B10">
        <w:rPr>
          <w:rFonts w:eastAsiaTheme="minorHAnsi" w:cs="Arial"/>
          <w:b/>
          <w:szCs w:val="20"/>
          <w:u w:val="single"/>
          <w:lang w:val="sl-SI"/>
        </w:rPr>
        <w:t>3</w:t>
      </w:r>
      <w:r w:rsidRPr="005771BD">
        <w:rPr>
          <w:rFonts w:eastAsiaTheme="minorHAnsi" w:cs="Arial"/>
          <w:b/>
          <w:szCs w:val="20"/>
          <w:u w:val="single"/>
          <w:lang w:val="sl-SI"/>
        </w:rPr>
        <w:t>.1 Povzetek</w:t>
      </w:r>
    </w:p>
    <w:p w:rsidR="003B2707" w:rsidRPr="005771BD" w:rsidRDefault="003B2707" w:rsidP="003B2707">
      <w:pPr>
        <w:spacing w:after="200" w:line="276" w:lineRule="auto"/>
        <w:contextualSpacing/>
        <w:jc w:val="both"/>
        <w:rPr>
          <w:rFonts w:eastAsiaTheme="minorHAnsi" w:cs="Arial"/>
          <w:b/>
          <w:szCs w:val="20"/>
          <w:u w:val="single"/>
          <w:lang w:val="sl-SI"/>
        </w:rPr>
      </w:pPr>
    </w:p>
    <w:p w:rsidR="003B2707" w:rsidRPr="005771BD" w:rsidRDefault="003B2707" w:rsidP="003B2707">
      <w:pPr>
        <w:spacing w:after="200" w:line="276" w:lineRule="auto"/>
        <w:jc w:val="both"/>
        <w:rPr>
          <w:rFonts w:eastAsiaTheme="minorHAnsi" w:cs="Arial"/>
          <w:szCs w:val="20"/>
          <w:lang w:val="sl-SI"/>
        </w:rPr>
      </w:pPr>
      <w:r w:rsidRPr="005771BD">
        <w:rPr>
          <w:rFonts w:eastAsiaTheme="minorHAnsi" w:cs="Arial"/>
          <w:szCs w:val="20"/>
          <w:lang w:val="sl-SI"/>
        </w:rPr>
        <w:t>Biotehnologija je tehnološka uporaba bioloških sistemov, živih organizmov in njihovih delov za pripravo izdelkov ali njihovo spreminjanje, kakor tudi pripravo procesov za</w:t>
      </w:r>
      <w:r>
        <w:rPr>
          <w:rFonts w:eastAsiaTheme="minorHAnsi" w:cs="Arial"/>
          <w:szCs w:val="20"/>
          <w:lang w:val="sl-SI"/>
        </w:rPr>
        <w:t xml:space="preserve"> posebne</w:t>
      </w:r>
      <w:r w:rsidRPr="005771BD">
        <w:rPr>
          <w:rFonts w:eastAsiaTheme="minorHAnsi" w:cs="Arial"/>
          <w:szCs w:val="20"/>
          <w:lang w:val="sl-SI"/>
        </w:rPr>
        <w:t xml:space="preserve"> namene. Je ena ključnih panog razvoja v tem stoletju. Interakcije njenih novih izdelkov, gensko spremenjenih organizmov (v nadaljevanju: GSO) z različnimi ekosistemi še vedno niso dovolj dobro znane. Sproščanje GSO v okolje in dajanje izdelkov na trg zato zahteva previdnost in postopnost ter obravnavo od primera do primera zaradi možnih potencialnih negativnih učinkov na biološko raznovrstnost </w:t>
      </w:r>
      <w:r>
        <w:rPr>
          <w:rFonts w:eastAsiaTheme="minorHAnsi" w:cs="Arial"/>
          <w:szCs w:val="20"/>
          <w:lang w:val="sl-SI"/>
        </w:rPr>
        <w:t>in</w:t>
      </w:r>
      <w:r w:rsidRPr="005771BD">
        <w:rPr>
          <w:rFonts w:eastAsiaTheme="minorHAnsi" w:cs="Arial"/>
          <w:szCs w:val="20"/>
          <w:lang w:val="sl-SI"/>
        </w:rPr>
        <w:t xml:space="preserve"> zdravje ljudi. Zaradi zmanjšanja ali odstranitve potencialnih tveganj, ki jih sodobna biotehnologija in njeni izdelki GSO lahko p</w:t>
      </w:r>
      <w:r>
        <w:rPr>
          <w:rFonts w:eastAsiaTheme="minorHAnsi" w:cs="Arial"/>
          <w:szCs w:val="20"/>
          <w:lang w:val="sl-SI"/>
        </w:rPr>
        <w:t>omenijo</w:t>
      </w:r>
      <w:r w:rsidRPr="005771BD">
        <w:rPr>
          <w:rFonts w:eastAsiaTheme="minorHAnsi" w:cs="Arial"/>
          <w:szCs w:val="20"/>
          <w:lang w:val="sl-SI"/>
        </w:rPr>
        <w:t xml:space="preserve">, je v Sloveniji vzpostavljen </w:t>
      </w:r>
      <w:r>
        <w:rPr>
          <w:rFonts w:eastAsiaTheme="minorHAnsi" w:cs="Arial"/>
          <w:szCs w:val="20"/>
          <w:lang w:val="sl-SI"/>
        </w:rPr>
        <w:t>celovit</w:t>
      </w:r>
      <w:r w:rsidRPr="005771BD">
        <w:rPr>
          <w:rFonts w:eastAsiaTheme="minorHAnsi" w:cs="Arial"/>
          <w:szCs w:val="20"/>
          <w:lang w:val="sl-SI"/>
        </w:rPr>
        <w:t xml:space="preserve"> sistem biološke varnosti. Njegov osrednji del je analiza tveganj. Sistem določa ukrepe za preprečevanje in zmanjševanje možnih škodljivih vplivov na zdravje ljudi in okolje, do katerih bi lahko prišlo pri delu z GSO v zaprtih sistemih, namernem sproščanju GSO v okolje ali </w:t>
      </w:r>
      <w:r>
        <w:rPr>
          <w:rFonts w:eastAsiaTheme="minorHAnsi" w:cs="Arial"/>
          <w:szCs w:val="20"/>
          <w:lang w:val="sl-SI"/>
        </w:rPr>
        <w:t xml:space="preserve">pri </w:t>
      </w:r>
      <w:r w:rsidRPr="005771BD">
        <w:rPr>
          <w:rFonts w:eastAsiaTheme="minorHAnsi" w:cs="Arial"/>
          <w:szCs w:val="20"/>
          <w:lang w:val="sl-SI"/>
        </w:rPr>
        <w:t xml:space="preserve">dajanju izdelkov na trg. </w:t>
      </w:r>
    </w:p>
    <w:p w:rsidR="003B2707" w:rsidRPr="005771BD" w:rsidRDefault="003B2707" w:rsidP="003B2707">
      <w:pPr>
        <w:spacing w:after="200" w:line="276" w:lineRule="auto"/>
        <w:jc w:val="both"/>
        <w:rPr>
          <w:rFonts w:eastAsiaTheme="minorHAnsi" w:cs="Arial"/>
          <w:szCs w:val="20"/>
          <w:lang w:val="sl-SI"/>
        </w:rPr>
      </w:pPr>
      <w:r w:rsidRPr="005771BD">
        <w:rPr>
          <w:rFonts w:eastAsiaTheme="minorHAnsi" w:cs="Arial"/>
          <w:szCs w:val="20"/>
          <w:lang w:val="sl-SI"/>
        </w:rPr>
        <w:t xml:space="preserve">V Sloveniji v okviru sistema biološke varnosti na področju sodobne biotehnologije poteka največja aktivnost v zaprtih sistemih v izobraževalnih in raziskovalnih ustanovah ter industriji. Na </w:t>
      </w:r>
      <w:r>
        <w:rPr>
          <w:rFonts w:eastAsiaTheme="minorHAnsi" w:cs="Arial"/>
          <w:szCs w:val="20"/>
          <w:lang w:val="sl-SI"/>
        </w:rPr>
        <w:t>podlagi</w:t>
      </w:r>
      <w:r w:rsidRPr="005771BD">
        <w:rPr>
          <w:rFonts w:eastAsiaTheme="minorHAnsi" w:cs="Arial"/>
          <w:szCs w:val="20"/>
          <w:lang w:val="sl-SI"/>
        </w:rPr>
        <w:t xml:space="preserve"> izvedene analize tveganj in ob zagotavljanju zahtevanih zadrževalnih ukrepov je v register v Sloveniji vpisnih 66 zaprtih sistemov. Delo z GSO v zaprtih sistemih poteka </w:t>
      </w:r>
      <w:r>
        <w:rPr>
          <w:rFonts w:eastAsiaTheme="minorHAnsi" w:cs="Arial"/>
          <w:szCs w:val="20"/>
          <w:lang w:val="sl-SI"/>
        </w:rPr>
        <w:t>večinoma</w:t>
      </w:r>
      <w:r w:rsidRPr="005771BD">
        <w:rPr>
          <w:rFonts w:eastAsiaTheme="minorHAnsi" w:cs="Arial"/>
          <w:szCs w:val="20"/>
          <w:lang w:val="sl-SI"/>
        </w:rPr>
        <w:t xml:space="preserve"> v 82 % primerov v prvem varnostnem razredu, medtem ko se 18 % del z GSO izvaja </w:t>
      </w:r>
      <w:r>
        <w:rPr>
          <w:rFonts w:eastAsiaTheme="minorHAnsi" w:cs="Arial"/>
          <w:szCs w:val="20"/>
          <w:lang w:val="sl-SI"/>
        </w:rPr>
        <w:t xml:space="preserve">ob </w:t>
      </w:r>
      <w:r w:rsidRPr="005771BD">
        <w:rPr>
          <w:rFonts w:eastAsiaTheme="minorHAnsi" w:cs="Arial"/>
          <w:szCs w:val="20"/>
          <w:lang w:val="sl-SI"/>
        </w:rPr>
        <w:t>majhn</w:t>
      </w:r>
      <w:r>
        <w:rPr>
          <w:rFonts w:eastAsiaTheme="minorHAnsi" w:cs="Arial"/>
          <w:szCs w:val="20"/>
          <w:lang w:val="sl-SI"/>
        </w:rPr>
        <w:t>em</w:t>
      </w:r>
      <w:r w:rsidRPr="005771BD">
        <w:rPr>
          <w:rFonts w:eastAsiaTheme="minorHAnsi" w:cs="Arial"/>
          <w:szCs w:val="20"/>
          <w:lang w:val="sl-SI"/>
        </w:rPr>
        <w:t xml:space="preserve"> tveganj</w:t>
      </w:r>
      <w:r>
        <w:rPr>
          <w:rFonts w:eastAsiaTheme="minorHAnsi" w:cs="Arial"/>
          <w:szCs w:val="20"/>
          <w:lang w:val="sl-SI"/>
        </w:rPr>
        <w:t>u</w:t>
      </w:r>
      <w:r w:rsidRPr="005771BD">
        <w:rPr>
          <w:rFonts w:eastAsiaTheme="minorHAnsi" w:cs="Arial"/>
          <w:szCs w:val="20"/>
          <w:lang w:val="sl-SI"/>
        </w:rPr>
        <w:t xml:space="preserve"> v drugem varnostnem razredu. Sproščanja gensko spremenjenih rastlin v raziskovalne namene Slovenija nima. V register namernega sproščanja GSO v okolje v raziskovalne namene sta vpisani dve genski terapiji na živalih, ki pa ne uporabljata z zakonom </w:t>
      </w:r>
      <w:r>
        <w:rPr>
          <w:rFonts w:eastAsiaTheme="minorHAnsi" w:cs="Arial"/>
          <w:szCs w:val="20"/>
          <w:lang w:val="sl-SI"/>
        </w:rPr>
        <w:t>opredeljenih</w:t>
      </w:r>
      <w:r w:rsidRPr="005771BD">
        <w:rPr>
          <w:rFonts w:eastAsiaTheme="minorHAnsi" w:cs="Arial"/>
          <w:szCs w:val="20"/>
          <w:lang w:val="sl-SI"/>
        </w:rPr>
        <w:t xml:space="preserve"> GSO, a sta v Sloveniji na </w:t>
      </w:r>
      <w:r>
        <w:rPr>
          <w:rFonts w:eastAsiaTheme="minorHAnsi" w:cs="Arial"/>
          <w:szCs w:val="20"/>
          <w:lang w:val="sl-SI"/>
        </w:rPr>
        <w:t>podlagi</w:t>
      </w:r>
      <w:r w:rsidRPr="005771BD">
        <w:rPr>
          <w:rFonts w:eastAsiaTheme="minorHAnsi" w:cs="Arial"/>
          <w:szCs w:val="20"/>
          <w:lang w:val="sl-SI"/>
        </w:rPr>
        <w:t xml:space="preserve"> analize tveganj vključeni v register zaradi zagotavljanja visoke stopnje biološke varnosti. </w:t>
      </w:r>
    </w:p>
    <w:p w:rsidR="003B2707" w:rsidRPr="005771BD" w:rsidRDefault="003B2707" w:rsidP="003B2707">
      <w:pPr>
        <w:spacing w:after="200" w:line="276" w:lineRule="auto"/>
        <w:jc w:val="both"/>
        <w:rPr>
          <w:rFonts w:eastAsiaTheme="minorHAnsi" w:cs="Arial"/>
          <w:szCs w:val="20"/>
          <w:lang w:val="sl-SI"/>
        </w:rPr>
      </w:pPr>
      <w:r w:rsidRPr="005771BD">
        <w:rPr>
          <w:rFonts w:eastAsiaTheme="minorHAnsi" w:cs="Arial"/>
          <w:szCs w:val="20"/>
          <w:lang w:val="sl-SI"/>
        </w:rPr>
        <w:t>Vzpostavljen</w:t>
      </w:r>
      <w:r>
        <w:rPr>
          <w:rFonts w:eastAsiaTheme="minorHAnsi" w:cs="Arial"/>
          <w:szCs w:val="20"/>
          <w:lang w:val="sl-SI"/>
        </w:rPr>
        <w:t>i</w:t>
      </w:r>
      <w:r w:rsidRPr="005771BD">
        <w:rPr>
          <w:rFonts w:eastAsiaTheme="minorHAnsi" w:cs="Arial"/>
          <w:szCs w:val="20"/>
          <w:lang w:val="sl-SI"/>
        </w:rPr>
        <w:t xml:space="preserve"> sistem biološke varnosti dovoljuje dajanje na trg tistih GSO, ki ne p</w:t>
      </w:r>
      <w:r>
        <w:rPr>
          <w:rFonts w:eastAsiaTheme="minorHAnsi" w:cs="Arial"/>
          <w:szCs w:val="20"/>
          <w:lang w:val="sl-SI"/>
        </w:rPr>
        <w:t>omenijo</w:t>
      </w:r>
      <w:r w:rsidRPr="005771BD">
        <w:rPr>
          <w:rFonts w:eastAsiaTheme="minorHAnsi" w:cs="Arial"/>
          <w:szCs w:val="20"/>
          <w:lang w:val="sl-SI"/>
        </w:rPr>
        <w:t xml:space="preserve"> tveganja za zdravje ljudi in okolje. V Sloveniji dos</w:t>
      </w:r>
      <w:r>
        <w:rPr>
          <w:rFonts w:eastAsiaTheme="minorHAnsi" w:cs="Arial"/>
          <w:szCs w:val="20"/>
          <w:lang w:val="sl-SI"/>
        </w:rPr>
        <w:t>lej</w:t>
      </w:r>
      <w:r w:rsidRPr="005771BD">
        <w:rPr>
          <w:rFonts w:eastAsiaTheme="minorHAnsi" w:cs="Arial"/>
          <w:szCs w:val="20"/>
          <w:lang w:val="sl-SI"/>
        </w:rPr>
        <w:t xml:space="preserve"> ni bilo prijav pridelave gensko spremenjenih rastli (GSR) pristojnemu ministrstvu. Dodatno je zaradi zagotavljanja sledljivosti GSO zahtevano označevanje, ki potrošniku zagotavlja možnost informirane izbire. V Sloveniji se izvaja</w:t>
      </w:r>
      <w:r>
        <w:rPr>
          <w:rFonts w:eastAsiaTheme="minorHAnsi" w:cs="Arial"/>
          <w:szCs w:val="20"/>
          <w:lang w:val="sl-SI"/>
        </w:rPr>
        <w:t xml:space="preserve"> spremljanje</w:t>
      </w:r>
      <w:r w:rsidRPr="005771BD">
        <w:rPr>
          <w:rFonts w:eastAsiaTheme="minorHAnsi" w:cs="Arial"/>
          <w:szCs w:val="20"/>
          <w:lang w:val="sl-SI"/>
        </w:rPr>
        <w:t xml:space="preserve"> prisotnosti GSO v hrani in krmi ter semenskem materialu. Za prisotnost GSO v semenskem materialu velja »ničelna toleranca«, kar pomeni, da je treba ob ugotovljeni najmanjši prisotnosti dovoljenih GSO tak izdelek označiti ali ga umakniti s slovenskega strga. Monitoringi glede prisotnosti GSO v semenskem materialu koruze, oljne ogrščice in soje kaže v Sloveniji na relativno ugodno s</w:t>
      </w:r>
      <w:r>
        <w:rPr>
          <w:rFonts w:eastAsiaTheme="minorHAnsi" w:cs="Arial"/>
          <w:szCs w:val="20"/>
          <w:lang w:val="sl-SI"/>
        </w:rPr>
        <w:t>tanje</w:t>
      </w:r>
      <w:r w:rsidRPr="005771BD">
        <w:rPr>
          <w:rFonts w:eastAsiaTheme="minorHAnsi" w:cs="Arial"/>
          <w:szCs w:val="20"/>
          <w:lang w:val="sl-SI"/>
        </w:rPr>
        <w:t xml:space="preserve"> glede na »ničelno toleranco«. V semenih oljne ogrščice in soje dos</w:t>
      </w:r>
      <w:r>
        <w:rPr>
          <w:rFonts w:eastAsiaTheme="minorHAnsi" w:cs="Arial"/>
          <w:szCs w:val="20"/>
          <w:lang w:val="sl-SI"/>
        </w:rPr>
        <w:t>lej</w:t>
      </w:r>
      <w:r w:rsidRPr="005771BD">
        <w:rPr>
          <w:rFonts w:eastAsiaTheme="minorHAnsi" w:cs="Arial"/>
          <w:szCs w:val="20"/>
          <w:lang w:val="sl-SI"/>
        </w:rPr>
        <w:t xml:space="preserve"> ni bila zaznana prisotnost GSO. Z opravljenimi monitoringi pri semenski koruzi je bilo v 6 % primerov zaznati prisotnost GSO v sledovih (&lt; 0.1 %), kar je imelo vedno za posledico umik take koruze s slovenskega trga. </w:t>
      </w:r>
    </w:p>
    <w:p w:rsidR="003B2707" w:rsidRPr="005771BD" w:rsidRDefault="003B2707" w:rsidP="00DE3B10">
      <w:pPr>
        <w:spacing w:after="360" w:line="276" w:lineRule="auto"/>
        <w:jc w:val="both"/>
        <w:rPr>
          <w:rFonts w:eastAsiaTheme="minorHAnsi" w:cs="Arial"/>
          <w:szCs w:val="20"/>
          <w:lang w:val="sl-SI"/>
        </w:rPr>
      </w:pPr>
      <w:r w:rsidRPr="005771BD">
        <w:rPr>
          <w:rFonts w:eastAsiaTheme="minorHAnsi" w:cs="Arial"/>
          <w:szCs w:val="20"/>
          <w:lang w:val="sl-SI"/>
        </w:rPr>
        <w:t xml:space="preserve">Uporaba sodobne biotehnologije in njenih izdelkov na področjih varovanja okolja, kmetijstva, farmacije, medicine, veterine in kemijske industrije zagotovo daje Sloveniji nove razvojne možnosti in izzive. </w:t>
      </w:r>
      <w:r>
        <w:rPr>
          <w:rFonts w:eastAsiaTheme="minorHAnsi" w:cs="Arial"/>
          <w:szCs w:val="20"/>
          <w:lang w:val="sl-SI"/>
        </w:rPr>
        <w:t>Pregleden</w:t>
      </w:r>
      <w:r w:rsidRPr="005771BD">
        <w:rPr>
          <w:rFonts w:eastAsiaTheme="minorHAnsi" w:cs="Arial"/>
          <w:szCs w:val="20"/>
          <w:lang w:val="sl-SI"/>
        </w:rPr>
        <w:t xml:space="preserve"> in učinkovit sistem biološke varnosti</w:t>
      </w:r>
      <w:r>
        <w:rPr>
          <w:rFonts w:eastAsiaTheme="minorHAnsi" w:cs="Arial"/>
          <w:szCs w:val="20"/>
          <w:lang w:val="sl-SI"/>
        </w:rPr>
        <w:t xml:space="preserve"> </w:t>
      </w:r>
      <w:r w:rsidRPr="005771BD">
        <w:rPr>
          <w:rFonts w:eastAsiaTheme="minorHAnsi" w:cs="Arial"/>
          <w:szCs w:val="20"/>
          <w:lang w:val="sl-SI"/>
        </w:rPr>
        <w:t>na</w:t>
      </w:r>
      <w:r>
        <w:rPr>
          <w:rFonts w:eastAsiaTheme="minorHAnsi" w:cs="Arial"/>
          <w:szCs w:val="20"/>
          <w:lang w:val="sl-SI"/>
        </w:rPr>
        <w:t xml:space="preserve"> podlagi</w:t>
      </w:r>
      <w:r w:rsidRPr="005771BD">
        <w:rPr>
          <w:rFonts w:eastAsiaTheme="minorHAnsi" w:cs="Arial"/>
          <w:szCs w:val="20"/>
          <w:lang w:val="sl-SI"/>
        </w:rPr>
        <w:t xml:space="preserve"> analiz</w:t>
      </w:r>
      <w:r>
        <w:rPr>
          <w:rFonts w:eastAsiaTheme="minorHAnsi" w:cs="Arial"/>
          <w:szCs w:val="20"/>
          <w:lang w:val="sl-SI"/>
        </w:rPr>
        <w:t>e</w:t>
      </w:r>
      <w:r w:rsidRPr="005771BD">
        <w:rPr>
          <w:rFonts w:eastAsiaTheme="minorHAnsi" w:cs="Arial"/>
          <w:szCs w:val="20"/>
          <w:lang w:val="sl-SI"/>
        </w:rPr>
        <w:t xml:space="preserve"> in presoj</w:t>
      </w:r>
      <w:r>
        <w:rPr>
          <w:rFonts w:eastAsiaTheme="minorHAnsi" w:cs="Arial"/>
          <w:szCs w:val="20"/>
          <w:lang w:val="sl-SI"/>
        </w:rPr>
        <w:t>e</w:t>
      </w:r>
      <w:r w:rsidRPr="005771BD">
        <w:rPr>
          <w:rFonts w:eastAsiaTheme="minorHAnsi" w:cs="Arial"/>
          <w:szCs w:val="20"/>
          <w:lang w:val="sl-SI"/>
        </w:rPr>
        <w:t xml:space="preserve"> tveganj za zdravje ljudi in okolje mora zagotavljati varno uporabo in preprečevati potencialne škodljive vplive na okolje, biotsko raznovrstnost in zdravje ljudi.</w:t>
      </w:r>
    </w:p>
    <w:p w:rsidR="003B2707" w:rsidRPr="005771BD" w:rsidRDefault="003B2707" w:rsidP="003B2707">
      <w:pPr>
        <w:spacing w:after="200" w:line="276" w:lineRule="auto"/>
        <w:rPr>
          <w:rFonts w:cs="Arial"/>
          <w:b/>
          <w:szCs w:val="20"/>
          <w:u w:val="single"/>
          <w:lang w:val="sl-SI" w:eastAsia="sl-SI"/>
        </w:rPr>
      </w:pPr>
      <w:r w:rsidRPr="005771BD">
        <w:rPr>
          <w:rFonts w:cs="Arial"/>
          <w:b/>
          <w:szCs w:val="20"/>
          <w:u w:val="single"/>
          <w:lang w:val="sl-SI" w:eastAsia="sl-SI"/>
        </w:rPr>
        <w:t>1</w:t>
      </w:r>
      <w:r w:rsidR="00DE3B10">
        <w:rPr>
          <w:rFonts w:cs="Arial"/>
          <w:b/>
          <w:szCs w:val="20"/>
          <w:u w:val="single"/>
          <w:lang w:val="sl-SI" w:eastAsia="sl-SI"/>
        </w:rPr>
        <w:t>3</w:t>
      </w:r>
      <w:r w:rsidRPr="005771BD">
        <w:rPr>
          <w:rFonts w:cs="Arial"/>
          <w:b/>
          <w:szCs w:val="20"/>
          <w:u w:val="single"/>
          <w:lang w:val="sl-SI" w:eastAsia="sl-SI"/>
        </w:rPr>
        <w:t xml:space="preserve">.2 Biotehnologija in biološka varnost </w:t>
      </w:r>
    </w:p>
    <w:p w:rsidR="003B2707" w:rsidRPr="005771BD" w:rsidRDefault="003B2707" w:rsidP="003B2707">
      <w:pPr>
        <w:spacing w:after="200" w:line="276" w:lineRule="auto"/>
        <w:jc w:val="both"/>
        <w:rPr>
          <w:rFonts w:eastAsiaTheme="minorHAnsi" w:cs="Arial"/>
          <w:szCs w:val="20"/>
          <w:lang w:val="sl-SI"/>
        </w:rPr>
      </w:pPr>
      <w:r w:rsidRPr="005771BD">
        <w:rPr>
          <w:rFonts w:eastAsiaTheme="minorHAnsi" w:cs="Arial"/>
          <w:szCs w:val="20"/>
          <w:lang w:val="sl-SI"/>
        </w:rPr>
        <w:t xml:space="preserve">Biotehnologija </w:t>
      </w:r>
      <w:r>
        <w:rPr>
          <w:rFonts w:eastAsiaTheme="minorHAnsi" w:cs="Arial"/>
          <w:szCs w:val="20"/>
          <w:lang w:val="sl-SI"/>
        </w:rPr>
        <w:t>so</w:t>
      </w:r>
      <w:r w:rsidRPr="005771BD">
        <w:rPr>
          <w:rFonts w:eastAsiaTheme="minorHAnsi" w:cs="Arial"/>
          <w:szCs w:val="20"/>
          <w:lang w:val="sl-SI"/>
        </w:rPr>
        <w:t xml:space="preserve"> orod</w:t>
      </w:r>
      <w:r>
        <w:rPr>
          <w:rFonts w:eastAsiaTheme="minorHAnsi" w:cs="Arial"/>
          <w:szCs w:val="20"/>
          <w:lang w:val="sl-SI"/>
        </w:rPr>
        <w:t>ja</w:t>
      </w:r>
      <w:r w:rsidRPr="005771BD">
        <w:rPr>
          <w:rFonts w:eastAsiaTheme="minorHAnsi" w:cs="Arial"/>
          <w:szCs w:val="20"/>
          <w:lang w:val="sl-SI"/>
        </w:rPr>
        <w:t>, ki uporablja</w:t>
      </w:r>
      <w:r>
        <w:rPr>
          <w:rFonts w:eastAsiaTheme="minorHAnsi" w:cs="Arial"/>
          <w:szCs w:val="20"/>
          <w:lang w:val="sl-SI"/>
        </w:rPr>
        <w:t>jo</w:t>
      </w:r>
      <w:r w:rsidRPr="005771BD">
        <w:rPr>
          <w:rFonts w:eastAsiaTheme="minorHAnsi" w:cs="Arial"/>
          <w:szCs w:val="20"/>
          <w:lang w:val="sl-SI"/>
        </w:rPr>
        <w:t xml:space="preserve"> žive organizme in njihove dele za pripravo izdelkov ali njihovo spreminjanje, izboljšanje rastlin, dreves in živali ter razvoj mikroorganizmov za </w:t>
      </w:r>
      <w:r>
        <w:rPr>
          <w:rFonts w:eastAsiaTheme="minorHAnsi" w:cs="Arial"/>
          <w:szCs w:val="20"/>
          <w:lang w:val="sl-SI"/>
        </w:rPr>
        <w:t>posebne</w:t>
      </w:r>
      <w:r w:rsidRPr="005771BD">
        <w:rPr>
          <w:rFonts w:eastAsiaTheme="minorHAnsi" w:cs="Arial"/>
          <w:szCs w:val="20"/>
          <w:lang w:val="sl-SI"/>
        </w:rPr>
        <w:t xml:space="preserve"> namene. Za zagotavljaje varne uporabe sodobne biotehnologije in predvsem njenih izdelkov gensko spremenjenih organizmov imamo v Sloveniji in Evropski uniji (v nadaljevanju: EU) vzpostavljen sistem biološke varnosti, katerega osrednji del je ocena varnosti/tveganja za zdravje ljudi, živali, rastlin in okolje. Sistem biološke varnosti </w:t>
      </w:r>
      <w:r w:rsidRPr="005771BD">
        <w:rPr>
          <w:rFonts w:eastAsiaTheme="minorHAnsi" w:cs="Arial"/>
          <w:bCs/>
          <w:szCs w:val="20"/>
          <w:lang w:val="sl-SI"/>
        </w:rPr>
        <w:t>se v tem primeru nanaša na načela zadrževanja, tehnologije in prakse, ki se uporabljajo za preprečevanje nenamerne izpostavljenosti in nenamernega sproščanja GSO v okolje.</w:t>
      </w:r>
      <w:r w:rsidRPr="005771BD">
        <w:rPr>
          <w:rFonts w:eastAsiaTheme="minorHAnsi" w:cs="Arial"/>
          <w:szCs w:val="20"/>
          <w:lang w:val="sl-SI"/>
        </w:rPr>
        <w:t xml:space="preserve"> Sistem tako določa ukrepe za preprečevanje in zmanjševanje možnih škodljivih vplivov na okolje, zlasti glede ohranjanja biotske raznovrstnosti, in na zdravje ljudi, do katerih bi lahko prišlo pri delu z GSO v zaprtih sistemih, namernem sproščanju GSO v okolje ali dajanju izdelkov na trg.</w:t>
      </w:r>
    </w:p>
    <w:p w:rsidR="003B2707" w:rsidRPr="005771BD" w:rsidRDefault="003B2707" w:rsidP="003B2707">
      <w:pPr>
        <w:spacing w:after="200" w:line="276" w:lineRule="auto"/>
        <w:jc w:val="both"/>
        <w:rPr>
          <w:rFonts w:eastAsiaTheme="minorHAnsi" w:cs="Arial"/>
          <w:szCs w:val="20"/>
          <w:lang w:val="sl-SI"/>
        </w:rPr>
      </w:pPr>
      <w:r w:rsidRPr="005771BD">
        <w:rPr>
          <w:rFonts w:eastAsiaTheme="minorHAnsi" w:cs="Arial"/>
          <w:szCs w:val="20"/>
          <w:lang w:val="sl-SI"/>
        </w:rPr>
        <w:t xml:space="preserve">V okviru sistema biološke varnosti so GSO </w:t>
      </w:r>
      <w:r>
        <w:rPr>
          <w:rFonts w:eastAsiaTheme="minorHAnsi" w:cs="Arial"/>
          <w:szCs w:val="20"/>
          <w:lang w:val="sl-SI"/>
        </w:rPr>
        <w:t>opredeljeni</w:t>
      </w:r>
      <w:r w:rsidRPr="005771BD">
        <w:rPr>
          <w:rFonts w:eastAsiaTheme="minorHAnsi" w:cs="Arial"/>
          <w:szCs w:val="20"/>
          <w:lang w:val="sl-SI"/>
        </w:rPr>
        <w:t xml:space="preserve"> kot organizem, z izjemo človeka, ali mikroorganizem, katerega genski material je spremenjen s postopki, ki spreminjajo genski material drugače ko</w:t>
      </w:r>
      <w:r>
        <w:rPr>
          <w:rFonts w:eastAsiaTheme="minorHAnsi" w:cs="Arial"/>
          <w:szCs w:val="20"/>
          <w:lang w:val="sl-SI"/>
        </w:rPr>
        <w:t>t</w:t>
      </w:r>
      <w:r w:rsidRPr="005771BD">
        <w:rPr>
          <w:rFonts w:eastAsiaTheme="minorHAnsi" w:cs="Arial"/>
          <w:szCs w:val="20"/>
          <w:lang w:val="sl-SI"/>
        </w:rPr>
        <w:t xml:space="preserve"> v naravnih razmerah s križanjem ali naravno rekombinacijo (ZRGSO). </w:t>
      </w:r>
      <w:r>
        <w:rPr>
          <w:rFonts w:eastAsiaTheme="minorHAnsi" w:cs="Arial"/>
          <w:szCs w:val="20"/>
          <w:lang w:val="sl-SI"/>
        </w:rPr>
        <w:t>Namen z</w:t>
      </w:r>
      <w:r w:rsidRPr="005771BD">
        <w:rPr>
          <w:rFonts w:eastAsiaTheme="minorHAnsi" w:cs="Arial"/>
          <w:szCs w:val="20"/>
          <w:lang w:val="sl-SI"/>
        </w:rPr>
        <w:t>akonodaj</w:t>
      </w:r>
      <w:r>
        <w:rPr>
          <w:rFonts w:eastAsiaTheme="minorHAnsi" w:cs="Arial"/>
          <w:szCs w:val="20"/>
          <w:lang w:val="sl-SI"/>
        </w:rPr>
        <w:t>e</w:t>
      </w:r>
      <w:r w:rsidRPr="005771BD">
        <w:rPr>
          <w:rFonts w:eastAsiaTheme="minorHAnsi" w:cs="Arial"/>
          <w:szCs w:val="20"/>
          <w:lang w:val="sl-SI"/>
        </w:rPr>
        <w:t xml:space="preserve"> na tem področju </w:t>
      </w:r>
      <w:r>
        <w:rPr>
          <w:rFonts w:eastAsiaTheme="minorHAnsi" w:cs="Arial"/>
          <w:szCs w:val="20"/>
          <w:lang w:val="sl-SI"/>
        </w:rPr>
        <w:t>je</w:t>
      </w:r>
      <w:r w:rsidRPr="005771BD">
        <w:rPr>
          <w:rFonts w:eastAsiaTheme="minorHAnsi" w:cs="Arial"/>
          <w:szCs w:val="20"/>
          <w:lang w:val="sl-SI"/>
        </w:rPr>
        <w:t xml:space="preserve">, da na </w:t>
      </w:r>
      <w:r>
        <w:rPr>
          <w:rFonts w:eastAsiaTheme="minorHAnsi" w:cs="Arial"/>
          <w:szCs w:val="20"/>
          <w:lang w:val="sl-SI"/>
        </w:rPr>
        <w:t>podlagi</w:t>
      </w:r>
      <w:r w:rsidRPr="005771BD">
        <w:rPr>
          <w:rFonts w:eastAsiaTheme="minorHAnsi" w:cs="Arial"/>
          <w:szCs w:val="20"/>
          <w:lang w:val="sl-SI"/>
        </w:rPr>
        <w:t xml:space="preserve"> ocene tveganja ob uporabi najvišjih znanih standardov varuje zdravje ljudi, živali in okolje</w:t>
      </w:r>
      <w:r>
        <w:rPr>
          <w:rFonts w:eastAsiaTheme="minorHAnsi" w:cs="Arial"/>
          <w:szCs w:val="20"/>
          <w:lang w:val="sl-SI"/>
        </w:rPr>
        <w:t>,</w:t>
      </w:r>
      <w:r w:rsidRPr="005771BD">
        <w:rPr>
          <w:rFonts w:eastAsiaTheme="minorHAnsi" w:cs="Arial"/>
          <w:szCs w:val="20"/>
          <w:lang w:val="sl-SI"/>
        </w:rPr>
        <w:t xml:space="preserve"> preden so GSO dani na trg ter zagotavlja izvajanje njihovega monitoringa, ko so na trgu. Zagotavlja tudi </w:t>
      </w:r>
      <w:r>
        <w:rPr>
          <w:rFonts w:eastAsiaTheme="minorHAnsi" w:cs="Arial"/>
          <w:szCs w:val="20"/>
          <w:lang w:val="sl-SI"/>
        </w:rPr>
        <w:t>usklajene</w:t>
      </w:r>
      <w:r w:rsidRPr="005771BD">
        <w:rPr>
          <w:rFonts w:eastAsiaTheme="minorHAnsi" w:cs="Arial"/>
          <w:szCs w:val="20"/>
          <w:lang w:val="sl-SI"/>
        </w:rPr>
        <w:t xml:space="preserve"> postopke </w:t>
      </w:r>
      <w:r>
        <w:rPr>
          <w:rFonts w:eastAsiaTheme="minorHAnsi" w:cs="Arial"/>
          <w:szCs w:val="20"/>
          <w:lang w:val="sl-SI"/>
        </w:rPr>
        <w:t xml:space="preserve">za </w:t>
      </w:r>
      <w:r w:rsidRPr="005771BD">
        <w:rPr>
          <w:rFonts w:eastAsiaTheme="minorHAnsi" w:cs="Arial"/>
          <w:szCs w:val="20"/>
          <w:lang w:val="sl-SI"/>
        </w:rPr>
        <w:t>ocen</w:t>
      </w:r>
      <w:r>
        <w:rPr>
          <w:rFonts w:eastAsiaTheme="minorHAnsi" w:cs="Arial"/>
          <w:szCs w:val="20"/>
          <w:lang w:val="sl-SI"/>
        </w:rPr>
        <w:t>o</w:t>
      </w:r>
      <w:r w:rsidRPr="005771BD">
        <w:rPr>
          <w:rFonts w:eastAsiaTheme="minorHAnsi" w:cs="Arial"/>
          <w:szCs w:val="20"/>
          <w:lang w:val="sl-SI"/>
        </w:rPr>
        <w:t xml:space="preserve"> tveganja in dovoljevanja GSO, ki so učinkoviti, časovno omejeni in </w:t>
      </w:r>
      <w:r>
        <w:rPr>
          <w:rFonts w:eastAsiaTheme="minorHAnsi" w:cs="Arial"/>
          <w:szCs w:val="20"/>
          <w:lang w:val="sl-SI"/>
        </w:rPr>
        <w:t>pregledni</w:t>
      </w:r>
      <w:r w:rsidRPr="005771BD">
        <w:rPr>
          <w:rFonts w:eastAsiaTheme="minorHAnsi" w:cs="Arial"/>
          <w:szCs w:val="20"/>
          <w:lang w:val="sl-SI"/>
        </w:rPr>
        <w:t xml:space="preserve">. Zahteva jasno označevanje vseh GSO, ki so dani na trg, da je potrošnikom </w:t>
      </w:r>
      <w:r>
        <w:rPr>
          <w:rFonts w:eastAsiaTheme="minorHAnsi" w:cs="Arial"/>
          <w:szCs w:val="20"/>
          <w:lang w:val="sl-SI"/>
        </w:rPr>
        <w:t>in</w:t>
      </w:r>
      <w:r w:rsidRPr="005771BD">
        <w:rPr>
          <w:rFonts w:eastAsiaTheme="minorHAnsi" w:cs="Arial"/>
          <w:szCs w:val="20"/>
          <w:lang w:val="sl-SI"/>
        </w:rPr>
        <w:t xml:space="preserve"> poklicnim uporabnikom (npr. kmetom, nosilcem dejavnosti na področju hrane ali krme) omogočena informirana izbira. Poleg tega zagotavlja sledljivost vseh GSO, ki so dobili dovoljenje za trženje. </w:t>
      </w:r>
    </w:p>
    <w:p w:rsidR="003B2707" w:rsidRPr="005771BD" w:rsidRDefault="003B2707" w:rsidP="003B2707">
      <w:pPr>
        <w:spacing w:after="200" w:line="276" w:lineRule="auto"/>
        <w:jc w:val="both"/>
        <w:rPr>
          <w:rFonts w:eastAsiaTheme="minorHAnsi" w:cs="Arial"/>
          <w:szCs w:val="20"/>
          <w:lang w:val="sl-SI"/>
        </w:rPr>
      </w:pPr>
      <w:r w:rsidRPr="005771BD">
        <w:rPr>
          <w:rFonts w:eastAsiaTheme="minorHAnsi" w:cs="Arial"/>
          <w:szCs w:val="20"/>
          <w:lang w:val="sl-SI"/>
        </w:rPr>
        <w:t>Sistem biološke varnosti zagotavlja tudi postopnost in oceno tveganja od primera do primera. S tem se v postopkih dovoljevanja za vse GSO upošteva previdnostni pristop in zagotavlja okoljski monitoring za vse dovoljene GSO po njihovem nadzorovanem sproščanju in dajanju na trg. V prvem delu, ki vključuje dovoljevanje GSO, temelji ocena tveganja za posamez</w:t>
      </w:r>
      <w:r>
        <w:rPr>
          <w:rFonts w:eastAsiaTheme="minorHAnsi" w:cs="Arial"/>
          <w:szCs w:val="20"/>
          <w:lang w:val="sl-SI"/>
        </w:rPr>
        <w:t>ni</w:t>
      </w:r>
      <w:r w:rsidRPr="005771BD">
        <w:rPr>
          <w:rFonts w:eastAsiaTheme="minorHAnsi" w:cs="Arial"/>
          <w:szCs w:val="20"/>
          <w:lang w:val="sl-SI"/>
        </w:rPr>
        <w:t xml:space="preserve"> GSO na </w:t>
      </w:r>
      <w:r>
        <w:rPr>
          <w:rFonts w:eastAsiaTheme="minorHAnsi" w:cs="Arial"/>
          <w:szCs w:val="20"/>
          <w:lang w:val="sl-SI"/>
        </w:rPr>
        <w:t>usklajenih merilih EU</w:t>
      </w:r>
      <w:r w:rsidRPr="005771BD">
        <w:rPr>
          <w:rFonts w:eastAsiaTheme="minorHAnsi" w:cs="Arial"/>
          <w:szCs w:val="20"/>
          <w:lang w:val="sl-SI"/>
        </w:rPr>
        <w:t xml:space="preserve">, ki veljajo v svetu za ene od najbolj zahtevnih. V EU </w:t>
      </w:r>
      <w:r>
        <w:rPr>
          <w:rFonts w:eastAsiaTheme="minorHAnsi" w:cs="Arial"/>
          <w:szCs w:val="20"/>
          <w:lang w:val="sl-SI"/>
        </w:rPr>
        <w:t>so</w:t>
      </w:r>
      <w:r w:rsidRPr="005771BD">
        <w:rPr>
          <w:rFonts w:eastAsiaTheme="minorHAnsi" w:cs="Arial"/>
          <w:szCs w:val="20"/>
          <w:lang w:val="sl-SI"/>
        </w:rPr>
        <w:t xml:space="preserve"> za oceno tveganja zadolžen</w:t>
      </w:r>
      <w:r>
        <w:rPr>
          <w:rFonts w:eastAsiaTheme="minorHAnsi" w:cs="Arial"/>
          <w:szCs w:val="20"/>
          <w:lang w:val="sl-SI"/>
        </w:rPr>
        <w:t>i</w:t>
      </w:r>
      <w:r w:rsidRPr="005771BD">
        <w:rPr>
          <w:rFonts w:eastAsiaTheme="minorHAnsi" w:cs="Arial"/>
          <w:szCs w:val="20"/>
          <w:lang w:val="sl-SI"/>
        </w:rPr>
        <w:t xml:space="preserve"> Evropska agencija za varno hrano (EFSA – European Food Safety Authority) in strokovna telesa v njenih članicah. V vseh primerih mora presoja tveganja dokazati, da je v nameravanih pogojih uporabe izdelek</w:t>
      </w:r>
      <w:r>
        <w:rPr>
          <w:rFonts w:eastAsiaTheme="minorHAnsi" w:cs="Arial"/>
          <w:szCs w:val="20"/>
          <w:lang w:val="sl-SI"/>
        </w:rPr>
        <w:t xml:space="preserve"> GSO</w:t>
      </w:r>
      <w:r w:rsidRPr="005771BD">
        <w:rPr>
          <w:rFonts w:eastAsiaTheme="minorHAnsi" w:cs="Arial"/>
          <w:szCs w:val="20"/>
          <w:lang w:val="sl-SI"/>
        </w:rPr>
        <w:t xml:space="preserve"> varen za zdravje ljudi, živali, rastline in okolje, v nasprotnem primeru ne dobi dovoljenja za dajanje na trg. </w:t>
      </w:r>
    </w:p>
    <w:p w:rsidR="003B2707" w:rsidRPr="005771BD" w:rsidRDefault="003B2707" w:rsidP="003B2707">
      <w:pPr>
        <w:spacing w:after="120" w:line="276" w:lineRule="auto"/>
        <w:jc w:val="both"/>
        <w:rPr>
          <w:rFonts w:eastAsiaTheme="minorHAnsi" w:cs="Arial"/>
          <w:i/>
          <w:szCs w:val="20"/>
          <w:lang w:val="sl-SI"/>
        </w:rPr>
      </w:pPr>
      <w:r w:rsidRPr="005771BD">
        <w:rPr>
          <w:rFonts w:eastAsiaTheme="minorHAnsi" w:cs="Arial"/>
          <w:i/>
          <w:szCs w:val="20"/>
          <w:lang w:val="sl-SI"/>
        </w:rPr>
        <w:t>Preglednica 1</w:t>
      </w:r>
      <w:r w:rsidR="00DE3B10">
        <w:rPr>
          <w:rFonts w:eastAsiaTheme="minorHAnsi" w:cs="Arial"/>
          <w:i/>
          <w:szCs w:val="20"/>
          <w:lang w:val="sl-SI"/>
        </w:rPr>
        <w:t>3</w:t>
      </w:r>
      <w:r w:rsidRPr="005771BD">
        <w:rPr>
          <w:rFonts w:eastAsiaTheme="minorHAnsi" w:cs="Arial"/>
          <w:i/>
          <w:szCs w:val="20"/>
          <w:lang w:val="sl-SI"/>
        </w:rPr>
        <w:t xml:space="preserve">.1:  </w:t>
      </w:r>
      <w:r>
        <w:rPr>
          <w:rFonts w:eastAsiaTheme="minorHAnsi" w:cs="Arial"/>
          <w:i/>
          <w:szCs w:val="20"/>
          <w:lang w:val="sl-SI"/>
        </w:rPr>
        <w:t>Temeljni</w:t>
      </w:r>
      <w:r w:rsidRPr="005771BD">
        <w:rPr>
          <w:rFonts w:eastAsiaTheme="minorHAnsi" w:cs="Arial"/>
          <w:i/>
          <w:szCs w:val="20"/>
          <w:lang w:val="sl-SI"/>
        </w:rPr>
        <w:t xml:space="preserve"> zakonodajni okvir biološke varnosti na področju biotehnologije in GSO</w:t>
      </w:r>
    </w:p>
    <w:tbl>
      <w:tblPr>
        <w:tblStyle w:val="Tabelamrea9"/>
        <w:tblW w:w="0" w:type="auto"/>
        <w:tblLook w:val="04A0" w:firstRow="1" w:lastRow="0" w:firstColumn="1" w:lastColumn="0" w:noHBand="0" w:noVBand="1"/>
      </w:tblPr>
      <w:tblGrid>
        <w:gridCol w:w="8714"/>
      </w:tblGrid>
      <w:tr w:rsidR="003B2707" w:rsidRPr="005771BD" w:rsidTr="003C1B05">
        <w:tc>
          <w:tcPr>
            <w:tcW w:w="8714" w:type="dxa"/>
          </w:tcPr>
          <w:p w:rsidR="003B2707" w:rsidRPr="003B2707" w:rsidRDefault="003B2707" w:rsidP="003C1B05">
            <w:pPr>
              <w:spacing w:before="60" w:line="276" w:lineRule="auto"/>
              <w:jc w:val="both"/>
              <w:rPr>
                <w:rFonts w:cs="Arial"/>
                <w:b/>
                <w:sz w:val="20"/>
                <w:szCs w:val="20"/>
                <w:lang w:val="sl-SI"/>
              </w:rPr>
            </w:pPr>
            <w:r w:rsidRPr="003B2707">
              <w:rPr>
                <w:rFonts w:cs="Arial"/>
                <w:b/>
                <w:sz w:val="20"/>
                <w:szCs w:val="20"/>
                <w:lang w:val="sl-SI"/>
              </w:rPr>
              <w:t>Slovenija</w:t>
            </w:r>
          </w:p>
        </w:tc>
      </w:tr>
      <w:tr w:rsidR="003B2707" w:rsidRPr="005771BD" w:rsidTr="003C1B05">
        <w:tc>
          <w:tcPr>
            <w:tcW w:w="8714" w:type="dxa"/>
          </w:tcPr>
          <w:p w:rsidR="003B2707" w:rsidRPr="003B2707" w:rsidRDefault="003B2707" w:rsidP="003C1B05">
            <w:pPr>
              <w:spacing w:before="60" w:line="276" w:lineRule="auto"/>
              <w:jc w:val="both"/>
              <w:rPr>
                <w:rFonts w:cs="Arial"/>
                <w:sz w:val="20"/>
                <w:szCs w:val="20"/>
                <w:lang w:val="sl-SI"/>
              </w:rPr>
            </w:pPr>
            <w:r w:rsidRPr="003B2707">
              <w:rPr>
                <w:rFonts w:cs="Arial"/>
                <w:sz w:val="20"/>
                <w:szCs w:val="20"/>
                <w:lang w:val="sl-SI"/>
              </w:rPr>
              <w:t>Zakon o ravnanju z gensko spremenjenimi organizmi (ZRGSO, Uradni list RS, št. 23/05 – uradno prečiščeno besedilo, 21/10 in 90/12 – ZdZPVHVVR);</w:t>
            </w:r>
          </w:p>
          <w:p w:rsidR="003B2707" w:rsidRPr="003B2707" w:rsidRDefault="003B2707" w:rsidP="003C1B05">
            <w:pPr>
              <w:spacing w:before="60" w:line="276" w:lineRule="auto"/>
              <w:jc w:val="both"/>
              <w:rPr>
                <w:rFonts w:cs="Arial"/>
                <w:bCs/>
                <w:sz w:val="20"/>
                <w:szCs w:val="20"/>
                <w:shd w:val="clear" w:color="auto" w:fill="FFFFFF"/>
                <w:lang w:val="sl-SI"/>
              </w:rPr>
            </w:pPr>
            <w:r w:rsidRPr="003B2707">
              <w:rPr>
                <w:rFonts w:cs="Arial"/>
                <w:bCs/>
                <w:sz w:val="20"/>
                <w:szCs w:val="20"/>
                <w:shd w:val="clear" w:color="auto" w:fill="FFFFFF"/>
                <w:lang w:val="sl-SI"/>
              </w:rPr>
              <w:t xml:space="preserve">Zakon o soobstoju gensko spremenjenih rastlin z ostalimi kmetijskimi rastlinami (ZSGSROKR, </w:t>
            </w:r>
            <w:r w:rsidRPr="003B2707">
              <w:rPr>
                <w:rFonts w:cs="Arial"/>
                <w:sz w:val="20"/>
                <w:szCs w:val="20"/>
                <w:lang w:val="sl-SI"/>
              </w:rPr>
              <w:t>Uradni list RS št. 41/09</w:t>
            </w:r>
            <w:r w:rsidRPr="003B2707">
              <w:rPr>
                <w:rFonts w:cs="Arial"/>
                <w:bCs/>
                <w:sz w:val="20"/>
                <w:szCs w:val="20"/>
                <w:shd w:val="clear" w:color="auto" w:fill="FFFFFF"/>
                <w:lang w:val="sl-SI"/>
              </w:rPr>
              <w:t>);</w:t>
            </w:r>
          </w:p>
          <w:p w:rsidR="003B2707" w:rsidRPr="003B2707" w:rsidRDefault="003B2707" w:rsidP="003C1B05">
            <w:pPr>
              <w:spacing w:before="60" w:line="276" w:lineRule="auto"/>
              <w:jc w:val="both"/>
              <w:rPr>
                <w:rFonts w:cs="Arial"/>
                <w:bCs/>
                <w:sz w:val="20"/>
                <w:szCs w:val="20"/>
                <w:lang w:val="sl-SI"/>
              </w:rPr>
            </w:pPr>
            <w:r w:rsidRPr="003B2707">
              <w:rPr>
                <w:rFonts w:cs="Arial"/>
                <w:bCs/>
                <w:sz w:val="20"/>
                <w:szCs w:val="20"/>
                <w:lang w:val="sl-SI"/>
              </w:rPr>
              <w:t xml:space="preserve">Zakon o omejevanju ali prepovedi pridelave gensko spremenjenih rastlin (Uradni list RS, št. </w:t>
            </w:r>
            <w:hyperlink r:id="rId210" w:tgtFrame="_blank" w:tooltip="Zakon o omejevanju ali prepovedi pridelave gensko spremenjenih rastlin (ZOPPGSR)" w:history="1">
              <w:r w:rsidRPr="003B2707">
                <w:rPr>
                  <w:rFonts w:cs="Arial"/>
                  <w:bCs/>
                  <w:sz w:val="20"/>
                  <w:szCs w:val="20"/>
                  <w:lang w:val="sl-SI"/>
                </w:rPr>
                <w:t>69/15</w:t>
              </w:r>
            </w:hyperlink>
            <w:r w:rsidRPr="003B2707">
              <w:rPr>
                <w:rFonts w:cs="Arial"/>
                <w:bCs/>
                <w:sz w:val="20"/>
                <w:szCs w:val="20"/>
                <w:lang w:val="sl-SI"/>
              </w:rPr>
              <w:t>);</w:t>
            </w:r>
          </w:p>
          <w:p w:rsidR="003B2707" w:rsidRPr="003B2707" w:rsidRDefault="003B2707" w:rsidP="003C1B05">
            <w:pPr>
              <w:spacing w:before="60" w:line="276" w:lineRule="auto"/>
              <w:jc w:val="both"/>
              <w:rPr>
                <w:rFonts w:cs="Arial"/>
                <w:bCs/>
                <w:sz w:val="20"/>
                <w:szCs w:val="20"/>
                <w:lang w:val="sl-SI"/>
              </w:rPr>
            </w:pPr>
            <w:r w:rsidRPr="003B2707">
              <w:rPr>
                <w:rFonts w:cs="Arial"/>
                <w:bCs/>
                <w:sz w:val="20"/>
                <w:szCs w:val="20"/>
                <w:lang w:val="sl-SI"/>
              </w:rPr>
              <w:t xml:space="preserve">Zakon o ratifikaciji Kartagenskega protokola o biološki varnosti h Konvenciji o biološki raznovrstnosti (Uradni list RS – Mednarodne pogodbe, </w:t>
            </w:r>
            <w:hyperlink r:id="rId211" w:tgtFrame="_blank" w:tooltip="Zakon o ratifikaciji Kartagenskega protokola o biološki varnosti h Konvenciji o biološki raznovrstnosti (MKPBV)" w:history="1">
              <w:r w:rsidRPr="003B2707">
                <w:rPr>
                  <w:rFonts w:cs="Arial"/>
                  <w:bCs/>
                  <w:sz w:val="20"/>
                  <w:szCs w:val="20"/>
                  <w:u w:val="single"/>
                  <w:lang w:val="sl-SI"/>
                </w:rPr>
                <w:t>23/02</w:t>
              </w:r>
            </w:hyperlink>
            <w:r w:rsidRPr="003B2707">
              <w:rPr>
                <w:rFonts w:cs="Arial"/>
                <w:bCs/>
                <w:sz w:val="20"/>
                <w:szCs w:val="20"/>
                <w:lang w:val="sl-SI"/>
              </w:rPr>
              <w:t>);</w:t>
            </w:r>
          </w:p>
          <w:p w:rsidR="003B2707" w:rsidRPr="003B2707" w:rsidRDefault="003B2707" w:rsidP="003C1B05">
            <w:pPr>
              <w:spacing w:before="60" w:line="276" w:lineRule="auto"/>
              <w:jc w:val="both"/>
              <w:rPr>
                <w:rFonts w:cs="Arial"/>
                <w:bCs/>
                <w:sz w:val="20"/>
                <w:szCs w:val="20"/>
                <w:lang w:val="sl-SI"/>
              </w:rPr>
            </w:pPr>
            <w:r w:rsidRPr="003B2707">
              <w:rPr>
                <w:rFonts w:cs="Arial"/>
                <w:bCs/>
                <w:sz w:val="20"/>
                <w:szCs w:val="20"/>
                <w:lang w:val="sl-SI"/>
              </w:rPr>
              <w:t xml:space="preserve">Zakon o ratifikaciji Dopolnilnega protokola iz Nagoje in Kuala Lumpurja o odgovornosti in nadomestilih h Kartagenskemu protokolu o biološki varnosti (Uradni list RS – Mednarodne pogodbe,  </w:t>
            </w:r>
            <w:hyperlink r:id="rId212" w:tgtFrame="_blank" w:tooltip="Zakon o ratifikaciji Dopolnilnega protokola iz Nagoje in Kuala Lumpurja o odgovornosti in nadomestilih h Kartagenskemu protokolu o biološki varnosti (MDPKPBV)" w:history="1">
              <w:r w:rsidRPr="003B2707">
                <w:rPr>
                  <w:rFonts w:cs="Arial"/>
                  <w:bCs/>
                  <w:sz w:val="20"/>
                  <w:szCs w:val="20"/>
                  <w:u w:val="single"/>
                  <w:lang w:val="sl-SI"/>
                </w:rPr>
                <w:t>4/14</w:t>
              </w:r>
            </w:hyperlink>
            <w:r w:rsidRPr="003B2707">
              <w:rPr>
                <w:rFonts w:cs="Arial"/>
                <w:bCs/>
                <w:sz w:val="20"/>
                <w:szCs w:val="20"/>
                <w:lang w:val="sl-SI"/>
              </w:rPr>
              <w:t>).</w:t>
            </w:r>
          </w:p>
        </w:tc>
      </w:tr>
      <w:tr w:rsidR="003B2707" w:rsidRPr="005771BD" w:rsidTr="003C1B05">
        <w:tc>
          <w:tcPr>
            <w:tcW w:w="8714" w:type="dxa"/>
          </w:tcPr>
          <w:p w:rsidR="003B2707" w:rsidRPr="003B2707" w:rsidRDefault="003B2707" w:rsidP="003C1B05">
            <w:pPr>
              <w:spacing w:before="60" w:line="276" w:lineRule="auto"/>
              <w:jc w:val="both"/>
              <w:rPr>
                <w:rFonts w:cs="Arial"/>
                <w:b/>
                <w:sz w:val="20"/>
                <w:szCs w:val="20"/>
                <w:lang w:val="sl-SI"/>
              </w:rPr>
            </w:pPr>
            <w:r w:rsidRPr="003B2707">
              <w:rPr>
                <w:rFonts w:cs="Arial"/>
                <w:b/>
                <w:sz w:val="20"/>
                <w:szCs w:val="20"/>
                <w:lang w:val="sl-SI"/>
              </w:rPr>
              <w:t>EU</w:t>
            </w:r>
          </w:p>
        </w:tc>
      </w:tr>
      <w:tr w:rsidR="003B2707" w:rsidRPr="005771BD" w:rsidTr="003C1B05">
        <w:tc>
          <w:tcPr>
            <w:tcW w:w="8714" w:type="dxa"/>
          </w:tcPr>
          <w:p w:rsidR="003B2707" w:rsidRPr="003B2707" w:rsidRDefault="003B2707" w:rsidP="003C1B05">
            <w:pPr>
              <w:spacing w:before="60" w:line="276" w:lineRule="auto"/>
              <w:jc w:val="both"/>
              <w:rPr>
                <w:rFonts w:cs="Arial"/>
                <w:sz w:val="20"/>
                <w:szCs w:val="20"/>
                <w:lang w:val="sl-SI"/>
              </w:rPr>
            </w:pPr>
            <w:r w:rsidRPr="003B2707">
              <w:rPr>
                <w:rFonts w:cs="Arial"/>
                <w:sz w:val="20"/>
                <w:szCs w:val="20"/>
                <w:lang w:val="sl-SI"/>
              </w:rPr>
              <w:t>Direktiva 2009/41 ES o uporabi gensko spremenjenih mikroorganizmov v zaprtih sistemih;</w:t>
            </w:r>
          </w:p>
          <w:p w:rsidR="003B2707" w:rsidRPr="003B2707" w:rsidRDefault="003B2707" w:rsidP="003C1B05">
            <w:pPr>
              <w:spacing w:before="60" w:line="276" w:lineRule="auto"/>
              <w:jc w:val="both"/>
              <w:rPr>
                <w:rFonts w:cs="Arial"/>
                <w:bCs/>
                <w:sz w:val="20"/>
                <w:szCs w:val="20"/>
                <w:lang w:val="sl-SI"/>
              </w:rPr>
            </w:pPr>
            <w:r w:rsidRPr="003B2707">
              <w:rPr>
                <w:rFonts w:cs="Arial"/>
                <w:sz w:val="20"/>
                <w:szCs w:val="20"/>
                <w:lang w:val="sl-SI"/>
              </w:rPr>
              <w:t xml:space="preserve">Direktiva 2001/18/ES </w:t>
            </w:r>
            <w:r w:rsidRPr="003B2707">
              <w:rPr>
                <w:rFonts w:cs="Arial"/>
                <w:b/>
                <w:bCs/>
                <w:sz w:val="20"/>
                <w:szCs w:val="20"/>
                <w:lang w:val="sl-SI"/>
              </w:rPr>
              <w:t>o namernem sproščanju gensko spremenjenih organizmov v okolje;</w:t>
            </w:r>
          </w:p>
          <w:p w:rsidR="003B2707" w:rsidRPr="003B2707" w:rsidRDefault="003B2707" w:rsidP="003C1B05">
            <w:pPr>
              <w:spacing w:before="60" w:line="276" w:lineRule="auto"/>
              <w:jc w:val="both"/>
              <w:rPr>
                <w:rFonts w:cs="Arial"/>
                <w:bCs/>
                <w:sz w:val="20"/>
                <w:szCs w:val="20"/>
                <w:lang w:val="sl-SI"/>
              </w:rPr>
            </w:pPr>
            <w:r w:rsidRPr="003B2707">
              <w:rPr>
                <w:rFonts w:cs="Arial"/>
                <w:b/>
                <w:bCs/>
                <w:sz w:val="20"/>
                <w:szCs w:val="20"/>
                <w:lang w:val="sl-SI"/>
              </w:rPr>
              <w:t>Direktiva (EU) 2015/412 o spremembi Direktive 2001/18/ES glede možnosti držav članic, da omejijo ali prepovejo gojenje gensko spremenjenih organizmov (GSO) na svojem ozemlju;</w:t>
            </w:r>
          </w:p>
          <w:p w:rsidR="003B2707" w:rsidRPr="003B2707" w:rsidRDefault="003B2707" w:rsidP="003C1B05">
            <w:pPr>
              <w:spacing w:before="60" w:line="276" w:lineRule="auto"/>
              <w:rPr>
                <w:rFonts w:cs="Arial"/>
                <w:sz w:val="20"/>
                <w:szCs w:val="20"/>
                <w:lang w:val="sl-SI" w:eastAsia="sl-SI"/>
              </w:rPr>
            </w:pPr>
            <w:r w:rsidRPr="003B2707">
              <w:rPr>
                <w:rFonts w:cs="Arial"/>
                <w:b/>
                <w:bCs/>
                <w:sz w:val="20"/>
                <w:szCs w:val="20"/>
                <w:lang w:val="sl-SI"/>
              </w:rPr>
              <w:t xml:space="preserve">Uredba (ES) 1829/2003 </w:t>
            </w:r>
            <w:r w:rsidRPr="003B2707">
              <w:rPr>
                <w:rFonts w:cs="Arial"/>
                <w:sz w:val="20"/>
                <w:szCs w:val="20"/>
                <w:lang w:val="sl-SI" w:eastAsia="sl-SI"/>
              </w:rPr>
              <w:t>o gensko spremenjenih živilih in krmi;</w:t>
            </w:r>
          </w:p>
          <w:p w:rsidR="003B2707" w:rsidRPr="003B2707" w:rsidRDefault="003B2707" w:rsidP="003C1B05">
            <w:pPr>
              <w:spacing w:before="60" w:line="276" w:lineRule="auto"/>
              <w:rPr>
                <w:rFonts w:cs="Arial"/>
                <w:sz w:val="20"/>
                <w:szCs w:val="20"/>
                <w:lang w:val="sl-SI" w:eastAsia="sl-SI"/>
              </w:rPr>
            </w:pPr>
            <w:r w:rsidRPr="003B2707">
              <w:rPr>
                <w:rFonts w:cs="Arial"/>
                <w:b/>
                <w:bCs/>
                <w:sz w:val="20"/>
                <w:szCs w:val="20"/>
                <w:lang w:val="sl-SI"/>
              </w:rPr>
              <w:t xml:space="preserve">Uredba (ES) 1830/2003 </w:t>
            </w:r>
            <w:r w:rsidRPr="003B2707">
              <w:rPr>
                <w:rFonts w:cs="Arial"/>
                <w:sz w:val="20"/>
                <w:szCs w:val="20"/>
                <w:lang w:val="sl-SI" w:eastAsia="sl-SI"/>
              </w:rPr>
              <w:t>o sledljivosti in označevanju gensko spremenjenih organizmov ter sledljivosti živil in krme, proizvedenih iz gensko spremenjenih organizmov;</w:t>
            </w:r>
          </w:p>
          <w:p w:rsidR="003B2707" w:rsidRPr="003B2707" w:rsidRDefault="003B2707" w:rsidP="003C1B05">
            <w:pPr>
              <w:spacing w:before="60" w:line="276" w:lineRule="auto"/>
              <w:rPr>
                <w:rFonts w:cs="Arial"/>
                <w:sz w:val="20"/>
                <w:szCs w:val="20"/>
                <w:lang w:val="sl-SI"/>
              </w:rPr>
            </w:pPr>
            <w:r w:rsidRPr="003B2707">
              <w:rPr>
                <w:rFonts w:cs="Arial"/>
                <w:b/>
                <w:bCs/>
                <w:sz w:val="20"/>
                <w:szCs w:val="20"/>
                <w:lang w:val="sl-SI"/>
              </w:rPr>
              <w:t xml:space="preserve">Uredba (ES) 1946/2003 </w:t>
            </w:r>
            <w:r w:rsidRPr="003B2707">
              <w:rPr>
                <w:rFonts w:cs="Arial"/>
                <w:sz w:val="20"/>
                <w:szCs w:val="20"/>
                <w:lang w:val="sl-SI"/>
              </w:rPr>
              <w:t>o čezmejnem gibanju gensko spremenjenih organizmov;</w:t>
            </w:r>
          </w:p>
          <w:p w:rsidR="003B2707" w:rsidRPr="003B2707" w:rsidRDefault="003B2707" w:rsidP="003C1B05">
            <w:pPr>
              <w:autoSpaceDE w:val="0"/>
              <w:autoSpaceDN w:val="0"/>
              <w:adjustRightInd w:val="0"/>
              <w:spacing w:before="60" w:line="276" w:lineRule="auto"/>
              <w:rPr>
                <w:rFonts w:cs="Arial"/>
                <w:bCs/>
                <w:sz w:val="20"/>
                <w:szCs w:val="20"/>
                <w:lang w:val="sl-SI"/>
              </w:rPr>
            </w:pPr>
            <w:r w:rsidRPr="003B2707">
              <w:rPr>
                <w:rFonts w:cs="Arial"/>
                <w:sz w:val="20"/>
                <w:szCs w:val="20"/>
                <w:lang w:val="sl-SI"/>
              </w:rPr>
              <w:t xml:space="preserve">Uredba (ES) 882/2004 </w:t>
            </w:r>
            <w:r w:rsidRPr="003B2707">
              <w:rPr>
                <w:rFonts w:cs="Arial"/>
                <w:bCs/>
                <w:sz w:val="20"/>
                <w:szCs w:val="20"/>
                <w:lang w:val="sl-SI"/>
              </w:rPr>
              <w:t>o izvajanju uradnega nadzora, da se zagotovi preverjanje skladnosti z zakonodajo o krmi in živilih ter s pravili o zdravstvenem varstvu živali in zaščiti živali;</w:t>
            </w:r>
          </w:p>
          <w:p w:rsidR="003B2707" w:rsidRPr="003B2707" w:rsidRDefault="003B2707" w:rsidP="003C1B05">
            <w:pPr>
              <w:autoSpaceDE w:val="0"/>
              <w:autoSpaceDN w:val="0"/>
              <w:adjustRightInd w:val="0"/>
              <w:spacing w:before="60" w:line="276" w:lineRule="auto"/>
              <w:rPr>
                <w:rFonts w:cs="Arial"/>
                <w:bCs/>
                <w:sz w:val="20"/>
                <w:szCs w:val="20"/>
                <w:lang w:val="sl-SI"/>
              </w:rPr>
            </w:pPr>
            <w:r w:rsidRPr="003B2707">
              <w:rPr>
                <w:rFonts w:cs="Arial"/>
                <w:bCs/>
                <w:sz w:val="20"/>
                <w:szCs w:val="20"/>
                <w:lang w:val="sl-SI"/>
              </w:rPr>
              <w:t>Uredba (ES) 178/2002 o določitvi splošnih načel in zahtevah živilske zakonodaje, ustanovitvi Evropske agencije za varnost hrane in postopkih, ki zadevajo varnost hrane;</w:t>
            </w:r>
          </w:p>
          <w:p w:rsidR="003B2707" w:rsidRPr="003B2707" w:rsidRDefault="003B2707" w:rsidP="003C1B05">
            <w:pPr>
              <w:autoSpaceDE w:val="0"/>
              <w:autoSpaceDN w:val="0"/>
              <w:adjustRightInd w:val="0"/>
              <w:spacing w:before="60" w:line="276" w:lineRule="auto"/>
              <w:rPr>
                <w:rFonts w:cs="Arial"/>
                <w:sz w:val="20"/>
                <w:szCs w:val="20"/>
                <w:lang w:val="sl-SI"/>
              </w:rPr>
            </w:pPr>
            <w:r w:rsidRPr="003B2707">
              <w:rPr>
                <w:rFonts w:cs="Arial"/>
                <w:sz w:val="20"/>
                <w:szCs w:val="20"/>
                <w:lang w:val="sl-SI"/>
              </w:rPr>
              <w:t>Uredba (ES) 65/2004 o vzpostavitvi sistema za razvijanje in dodeljevanje posebnih identifikatorjev za gensko spremenjene organizme;</w:t>
            </w:r>
          </w:p>
          <w:p w:rsidR="003B2707" w:rsidRPr="003B2707" w:rsidRDefault="003B2707" w:rsidP="003C1B05">
            <w:pPr>
              <w:autoSpaceDE w:val="0"/>
              <w:autoSpaceDN w:val="0"/>
              <w:adjustRightInd w:val="0"/>
              <w:spacing w:before="60" w:line="276" w:lineRule="auto"/>
              <w:rPr>
                <w:rFonts w:cs="Arial"/>
                <w:sz w:val="20"/>
                <w:szCs w:val="20"/>
                <w:lang w:val="sl-SI"/>
              </w:rPr>
            </w:pPr>
            <w:r w:rsidRPr="003B2707">
              <w:rPr>
                <w:rFonts w:cs="Arial"/>
                <w:sz w:val="20"/>
                <w:szCs w:val="20"/>
                <w:lang w:val="sl-SI"/>
              </w:rPr>
              <w:t>Priporočilo (EU) (2010/C 200/01) o smernicah za razvoj nacionalnih ukrepov soobstoja za preprečevanje nenamerne prisotnosti GSO v konvencionalnih in ekoloških pridelkih.</w:t>
            </w:r>
          </w:p>
        </w:tc>
      </w:tr>
      <w:tr w:rsidR="003B2707" w:rsidRPr="005771BD" w:rsidTr="003C1B05">
        <w:tc>
          <w:tcPr>
            <w:tcW w:w="8714" w:type="dxa"/>
          </w:tcPr>
          <w:p w:rsidR="003B2707" w:rsidRPr="003B2707" w:rsidRDefault="003B2707" w:rsidP="003C1B05">
            <w:pPr>
              <w:spacing w:before="60" w:line="276" w:lineRule="auto"/>
              <w:jc w:val="both"/>
              <w:rPr>
                <w:rFonts w:cs="Arial"/>
                <w:b/>
                <w:sz w:val="20"/>
                <w:szCs w:val="20"/>
                <w:lang w:val="sl-SI"/>
              </w:rPr>
            </w:pPr>
            <w:r w:rsidRPr="003B2707">
              <w:rPr>
                <w:rFonts w:cs="Arial"/>
                <w:b/>
                <w:sz w:val="20"/>
                <w:szCs w:val="20"/>
                <w:lang w:val="sl-SI"/>
              </w:rPr>
              <w:t>Mednarodno</w:t>
            </w:r>
          </w:p>
        </w:tc>
      </w:tr>
      <w:tr w:rsidR="003B2707" w:rsidRPr="005771BD" w:rsidTr="003C1B05">
        <w:tc>
          <w:tcPr>
            <w:tcW w:w="8714" w:type="dxa"/>
          </w:tcPr>
          <w:p w:rsidR="003B2707" w:rsidRPr="003B2707" w:rsidRDefault="003B2707" w:rsidP="003C1B05">
            <w:pPr>
              <w:spacing w:before="60" w:line="276" w:lineRule="auto"/>
              <w:jc w:val="both"/>
              <w:rPr>
                <w:rFonts w:cs="Arial"/>
                <w:bCs/>
                <w:sz w:val="20"/>
                <w:szCs w:val="20"/>
                <w:lang w:val="sl-SI"/>
              </w:rPr>
            </w:pPr>
            <w:r w:rsidRPr="003B2707">
              <w:rPr>
                <w:rFonts w:cs="Arial"/>
                <w:bCs/>
                <w:sz w:val="20"/>
                <w:szCs w:val="20"/>
                <w:lang w:val="sl-SI"/>
              </w:rPr>
              <w:t>Kartagenski protokol o biološki varnosti h Konvenciji o biološki raznovrstnosti;</w:t>
            </w:r>
          </w:p>
          <w:p w:rsidR="003B2707" w:rsidRPr="003B2707" w:rsidRDefault="003B2707" w:rsidP="003C1B05">
            <w:pPr>
              <w:spacing w:before="60" w:line="276" w:lineRule="auto"/>
              <w:jc w:val="both"/>
              <w:rPr>
                <w:rFonts w:cs="Arial"/>
                <w:sz w:val="20"/>
                <w:szCs w:val="20"/>
                <w:lang w:val="sl-SI"/>
              </w:rPr>
            </w:pPr>
            <w:r w:rsidRPr="003B2707">
              <w:rPr>
                <w:rFonts w:cs="Arial"/>
                <w:bCs/>
                <w:sz w:val="20"/>
                <w:szCs w:val="20"/>
                <w:lang w:val="sl-SI"/>
              </w:rPr>
              <w:t>Dopolnilni protokol iz Nagoje in Kuala Lumpurja o odgovornosti in nadomestilih h Kartagenskemu protokolu o biološki varnosti.</w:t>
            </w:r>
          </w:p>
        </w:tc>
      </w:tr>
      <w:tr w:rsidR="003B2707" w:rsidRPr="005771BD" w:rsidTr="003C1B05">
        <w:tc>
          <w:tcPr>
            <w:tcW w:w="8714" w:type="dxa"/>
          </w:tcPr>
          <w:p w:rsidR="003B2707" w:rsidRPr="003B2707" w:rsidRDefault="003B2707" w:rsidP="003C1B05">
            <w:pPr>
              <w:spacing w:before="60" w:line="276" w:lineRule="auto"/>
              <w:jc w:val="both"/>
              <w:rPr>
                <w:rFonts w:cs="Arial"/>
                <w:b/>
                <w:bCs/>
                <w:sz w:val="20"/>
                <w:szCs w:val="20"/>
                <w:lang w:val="sl-SI"/>
              </w:rPr>
            </w:pPr>
            <w:r w:rsidRPr="003B2707">
              <w:rPr>
                <w:rFonts w:cs="Arial"/>
                <w:b/>
                <w:bCs/>
                <w:sz w:val="20"/>
                <w:szCs w:val="20"/>
                <w:lang w:val="sl-SI"/>
              </w:rPr>
              <w:t>OECD</w:t>
            </w:r>
          </w:p>
        </w:tc>
      </w:tr>
      <w:tr w:rsidR="003B2707" w:rsidRPr="005771BD" w:rsidTr="003C1B05">
        <w:tc>
          <w:tcPr>
            <w:tcW w:w="8714" w:type="dxa"/>
          </w:tcPr>
          <w:p w:rsidR="003B2707" w:rsidRPr="003B2707" w:rsidRDefault="003B2707" w:rsidP="003C1B05">
            <w:pPr>
              <w:spacing w:before="60" w:line="276" w:lineRule="auto"/>
              <w:jc w:val="both"/>
              <w:rPr>
                <w:rFonts w:cs="Arial"/>
                <w:bCs/>
                <w:sz w:val="20"/>
                <w:szCs w:val="20"/>
                <w:lang w:val="sl-SI"/>
              </w:rPr>
            </w:pPr>
            <w:r w:rsidRPr="003B2707">
              <w:rPr>
                <w:rFonts w:cs="Arial"/>
                <w:sz w:val="20"/>
                <w:szCs w:val="20"/>
                <w:lang w:val="sl-SI"/>
              </w:rPr>
              <w:t>Priporočila Sveta glede varnostnih premislekov za uporabo rekombinantnih DNK organizmov v industriji, kmetijstvu in okolju (Recommendation of the Council concerning Safety Considerations for Applications of Recombinant DNA Organisms in Industry, Agriculture and the Environment [C(86)82])</w:t>
            </w:r>
          </w:p>
        </w:tc>
      </w:tr>
    </w:tbl>
    <w:p w:rsidR="003B2707" w:rsidRPr="005771BD" w:rsidRDefault="003B2707" w:rsidP="003B2707">
      <w:pPr>
        <w:spacing w:after="200" w:line="276" w:lineRule="auto"/>
        <w:jc w:val="both"/>
        <w:rPr>
          <w:rFonts w:eastAsiaTheme="minorHAnsi" w:cs="Arial"/>
          <w:szCs w:val="20"/>
          <w:lang w:val="sl-SI"/>
        </w:rPr>
      </w:pPr>
    </w:p>
    <w:p w:rsidR="003B2707" w:rsidRPr="005771BD" w:rsidRDefault="003B2707" w:rsidP="003B2707">
      <w:pPr>
        <w:spacing w:after="200" w:line="276" w:lineRule="auto"/>
        <w:jc w:val="both"/>
        <w:rPr>
          <w:rFonts w:eastAsiaTheme="minorHAnsi" w:cs="Arial"/>
          <w:szCs w:val="20"/>
          <w:lang w:val="sl-SI"/>
        </w:rPr>
      </w:pPr>
      <w:r w:rsidRPr="005771BD">
        <w:rPr>
          <w:rFonts w:eastAsiaTheme="minorHAnsi" w:cs="Arial"/>
          <w:szCs w:val="20"/>
          <w:lang w:val="sl-SI"/>
        </w:rPr>
        <w:t>V Sloveniji se ocena tveganja za okolje pripravlja v okviru dveh znanstvenih odborov</w:t>
      </w:r>
      <w:r>
        <w:rPr>
          <w:rFonts w:eastAsiaTheme="minorHAnsi" w:cs="Arial"/>
          <w:szCs w:val="20"/>
          <w:lang w:val="sl-SI"/>
        </w:rPr>
        <w:t>,</w:t>
      </w:r>
      <w:r w:rsidRPr="005771BD">
        <w:rPr>
          <w:rFonts w:eastAsiaTheme="minorHAnsi" w:cs="Arial"/>
          <w:szCs w:val="20"/>
          <w:lang w:val="sl-SI"/>
        </w:rPr>
        <w:t xml:space="preserve"> in sicer </w:t>
      </w:r>
      <w:r w:rsidRPr="005771BD">
        <w:rPr>
          <w:rFonts w:eastAsiaTheme="minorHAnsi" w:cs="Arial"/>
          <w:i/>
          <w:szCs w:val="20"/>
          <w:lang w:val="sl-SI"/>
        </w:rPr>
        <w:t>Znanstvenega odbora za zaprte sisteme in delo z GSO v zaprtih sistemih</w:t>
      </w:r>
      <w:r w:rsidRPr="005771BD">
        <w:rPr>
          <w:rFonts w:eastAsiaTheme="minorHAnsi" w:cs="Arial"/>
          <w:szCs w:val="20"/>
          <w:lang w:val="sl-SI"/>
        </w:rPr>
        <w:t xml:space="preserve"> ter </w:t>
      </w:r>
      <w:r w:rsidRPr="005771BD">
        <w:rPr>
          <w:rFonts w:eastAsiaTheme="minorHAnsi" w:cs="Arial"/>
          <w:i/>
          <w:szCs w:val="20"/>
          <w:lang w:val="sl-SI"/>
        </w:rPr>
        <w:t>Znanstvenega odbora za sproščanje v okolje in dajanje GSO na trg</w:t>
      </w:r>
      <w:r w:rsidRPr="005771BD">
        <w:rPr>
          <w:rFonts w:eastAsiaTheme="minorHAnsi" w:cs="Arial"/>
          <w:szCs w:val="20"/>
          <w:lang w:val="sl-SI"/>
        </w:rPr>
        <w:t xml:space="preserve">, ki sta vzpostavljena na podlagi zahtev in </w:t>
      </w:r>
      <w:r>
        <w:rPr>
          <w:rFonts w:eastAsiaTheme="minorHAnsi" w:cs="Arial"/>
          <w:szCs w:val="20"/>
          <w:lang w:val="sl-SI"/>
        </w:rPr>
        <w:t>meril iz</w:t>
      </w:r>
      <w:r w:rsidRPr="005771BD">
        <w:rPr>
          <w:rFonts w:eastAsiaTheme="minorHAnsi" w:cs="Arial"/>
          <w:szCs w:val="20"/>
          <w:lang w:val="sl-SI"/>
        </w:rPr>
        <w:t xml:space="preserve"> Zakona o ravnanju z GSO (</w:t>
      </w:r>
      <w:r>
        <w:rPr>
          <w:rFonts w:eastAsiaTheme="minorHAnsi" w:cs="Arial"/>
          <w:szCs w:val="20"/>
          <w:lang w:val="sl-SI"/>
        </w:rPr>
        <w:t>v</w:t>
      </w:r>
      <w:r w:rsidRPr="005771BD">
        <w:rPr>
          <w:rFonts w:eastAsiaTheme="minorHAnsi" w:cs="Arial"/>
          <w:szCs w:val="20"/>
          <w:lang w:val="sl-SI"/>
        </w:rPr>
        <w:t xml:space="preserve"> nadaljevanju: ZRGSO). </w:t>
      </w:r>
    </w:p>
    <w:p w:rsidR="003B2707" w:rsidRPr="005771BD" w:rsidRDefault="003B2707" w:rsidP="003B2707">
      <w:pPr>
        <w:spacing w:after="200" w:line="276" w:lineRule="auto"/>
        <w:jc w:val="both"/>
        <w:rPr>
          <w:rFonts w:eastAsiaTheme="minorHAnsi" w:cs="Arial"/>
          <w:szCs w:val="20"/>
          <w:lang w:val="sl-SI"/>
        </w:rPr>
      </w:pPr>
      <w:r w:rsidRPr="005771BD">
        <w:rPr>
          <w:rFonts w:eastAsiaTheme="minorHAnsi" w:cs="Arial"/>
          <w:szCs w:val="20"/>
          <w:lang w:val="sl-SI"/>
        </w:rPr>
        <w:t xml:space="preserve">Ocena varnosti ali tveganja je tudi izhodišče za odločanje v postopku  dovoljevanja GSO. Na drugi strani obvezni monitoring GSO v okolju po sproščanju vsakega dovoljenega GSO omogoča, da se v primeru, </w:t>
      </w:r>
      <w:r>
        <w:rPr>
          <w:rFonts w:eastAsiaTheme="minorHAnsi" w:cs="Arial"/>
          <w:szCs w:val="20"/>
          <w:lang w:val="sl-SI"/>
        </w:rPr>
        <w:t>če</w:t>
      </w:r>
      <w:r w:rsidRPr="005771BD">
        <w:rPr>
          <w:rFonts w:eastAsiaTheme="minorHAnsi" w:cs="Arial"/>
          <w:szCs w:val="20"/>
          <w:lang w:val="sl-SI"/>
        </w:rPr>
        <w:t xml:space="preserve"> se ugotovijo nepričakovani in nepredvideni učinki, lahko sprejmejo tudi pravilni in primerni ter sorazmerni zaščitni ukrepi. </w:t>
      </w:r>
    </w:p>
    <w:p w:rsidR="003B2707" w:rsidRPr="005771BD" w:rsidRDefault="003B2707" w:rsidP="003B2707">
      <w:pPr>
        <w:spacing w:after="200" w:line="276" w:lineRule="auto"/>
        <w:jc w:val="both"/>
        <w:rPr>
          <w:rFonts w:eastAsiaTheme="minorHAnsi" w:cs="Arial"/>
          <w:szCs w:val="20"/>
          <w:lang w:val="sl-SI"/>
        </w:rPr>
      </w:pPr>
      <w:r w:rsidRPr="005771BD">
        <w:rPr>
          <w:rFonts w:eastAsiaTheme="minorHAnsi" w:cs="Arial"/>
          <w:szCs w:val="20"/>
          <w:lang w:val="sl-SI"/>
        </w:rPr>
        <w:t xml:space="preserve">Previdnost in postopnost dovoljevanja GSO zahtevata najprej preizkušanje v zaprtih sistemih, nato </w:t>
      </w:r>
      <w:r>
        <w:rPr>
          <w:rFonts w:eastAsiaTheme="minorHAnsi" w:cs="Arial"/>
          <w:szCs w:val="20"/>
          <w:lang w:val="sl-SI"/>
        </w:rPr>
        <w:t>pri</w:t>
      </w:r>
      <w:r w:rsidRPr="005771BD">
        <w:rPr>
          <w:rFonts w:eastAsiaTheme="minorHAnsi" w:cs="Arial"/>
          <w:szCs w:val="20"/>
          <w:lang w:val="sl-SI"/>
        </w:rPr>
        <w:t xml:space="preserve"> omejene</w:t>
      </w:r>
      <w:r>
        <w:rPr>
          <w:rFonts w:eastAsiaTheme="minorHAnsi" w:cs="Arial"/>
          <w:szCs w:val="20"/>
          <w:lang w:val="sl-SI"/>
        </w:rPr>
        <w:t>m</w:t>
      </w:r>
      <w:r w:rsidRPr="005771BD">
        <w:rPr>
          <w:rFonts w:eastAsiaTheme="minorHAnsi" w:cs="Arial"/>
          <w:szCs w:val="20"/>
          <w:lang w:val="sl-SI"/>
        </w:rPr>
        <w:t xml:space="preserve"> sproščanj</w:t>
      </w:r>
      <w:r>
        <w:rPr>
          <w:rFonts w:eastAsiaTheme="minorHAnsi" w:cs="Arial"/>
          <w:szCs w:val="20"/>
          <w:lang w:val="sl-SI"/>
        </w:rPr>
        <w:t>u</w:t>
      </w:r>
      <w:r w:rsidRPr="005771BD">
        <w:rPr>
          <w:rFonts w:eastAsiaTheme="minorHAnsi" w:cs="Arial"/>
          <w:szCs w:val="20"/>
          <w:lang w:val="sl-SI"/>
        </w:rPr>
        <w:t xml:space="preserve"> v okolje (t.</w:t>
      </w:r>
      <w:r>
        <w:rPr>
          <w:rFonts w:eastAsiaTheme="minorHAnsi" w:cs="Arial"/>
          <w:szCs w:val="20"/>
          <w:lang w:val="sl-SI"/>
        </w:rPr>
        <w:t xml:space="preserve"> </w:t>
      </w:r>
      <w:r w:rsidRPr="005771BD">
        <w:rPr>
          <w:rFonts w:eastAsiaTheme="minorHAnsi" w:cs="Arial"/>
          <w:szCs w:val="20"/>
          <w:lang w:val="sl-SI"/>
        </w:rPr>
        <w:t xml:space="preserve">i. poljski poskusi, genska terapija) in šele nato, ko je njihova varnost za zdravje ljudi in okolje preskušena v omejenih </w:t>
      </w:r>
      <w:r>
        <w:rPr>
          <w:rFonts w:eastAsiaTheme="minorHAnsi" w:cs="Arial"/>
          <w:szCs w:val="20"/>
          <w:lang w:val="sl-SI"/>
        </w:rPr>
        <w:t>razmerah</w:t>
      </w:r>
      <w:r w:rsidRPr="005771BD">
        <w:rPr>
          <w:rFonts w:eastAsiaTheme="minorHAnsi" w:cs="Arial"/>
          <w:szCs w:val="20"/>
          <w:lang w:val="sl-SI"/>
        </w:rPr>
        <w:t xml:space="preserve">, </w:t>
      </w:r>
      <w:r>
        <w:rPr>
          <w:rFonts w:eastAsiaTheme="minorHAnsi" w:cs="Arial"/>
          <w:szCs w:val="20"/>
          <w:lang w:val="sl-SI"/>
        </w:rPr>
        <w:t xml:space="preserve">je </w:t>
      </w:r>
      <w:r w:rsidRPr="005771BD">
        <w:rPr>
          <w:rFonts w:eastAsiaTheme="minorHAnsi" w:cs="Arial"/>
          <w:szCs w:val="20"/>
          <w:lang w:val="sl-SI"/>
        </w:rPr>
        <w:t>lahko tak GSO</w:t>
      </w:r>
      <w:r>
        <w:rPr>
          <w:rFonts w:eastAsiaTheme="minorHAnsi" w:cs="Arial"/>
          <w:szCs w:val="20"/>
          <w:lang w:val="sl-SI"/>
        </w:rPr>
        <w:t>-</w:t>
      </w:r>
      <w:r w:rsidRPr="005771BD">
        <w:rPr>
          <w:rFonts w:eastAsiaTheme="minorHAnsi" w:cs="Arial"/>
          <w:szCs w:val="20"/>
          <w:lang w:val="sl-SI"/>
        </w:rPr>
        <w:t>izdel</w:t>
      </w:r>
      <w:r>
        <w:rPr>
          <w:rFonts w:eastAsiaTheme="minorHAnsi" w:cs="Arial"/>
          <w:szCs w:val="20"/>
          <w:lang w:val="sl-SI"/>
        </w:rPr>
        <w:t>ek dan</w:t>
      </w:r>
      <w:r w:rsidRPr="005771BD">
        <w:rPr>
          <w:rFonts w:eastAsiaTheme="minorHAnsi" w:cs="Arial"/>
          <w:szCs w:val="20"/>
          <w:lang w:val="sl-SI"/>
        </w:rPr>
        <w:t xml:space="preserve"> na trg. </w:t>
      </w:r>
    </w:p>
    <w:p w:rsidR="003B2707" w:rsidRPr="005771BD" w:rsidRDefault="003B2707" w:rsidP="003B2707">
      <w:pPr>
        <w:spacing w:after="200" w:line="276" w:lineRule="auto"/>
        <w:jc w:val="both"/>
        <w:rPr>
          <w:rFonts w:eastAsiaTheme="minorHAnsi" w:cs="Arial"/>
          <w:szCs w:val="20"/>
          <w:lang w:val="sl-SI"/>
        </w:rPr>
      </w:pPr>
      <w:r w:rsidRPr="005771BD">
        <w:rPr>
          <w:rFonts w:eastAsiaTheme="minorHAnsi" w:cs="Arial"/>
          <w:szCs w:val="20"/>
          <w:lang w:val="sl-SI"/>
        </w:rPr>
        <w:t>Na mednarodn</w:t>
      </w:r>
      <w:r>
        <w:rPr>
          <w:rFonts w:eastAsiaTheme="minorHAnsi" w:cs="Arial"/>
          <w:szCs w:val="20"/>
          <w:lang w:val="sl-SI"/>
        </w:rPr>
        <w:t>i ravni</w:t>
      </w:r>
      <w:r w:rsidRPr="005771BD">
        <w:rPr>
          <w:rFonts w:eastAsiaTheme="minorHAnsi" w:cs="Arial"/>
          <w:szCs w:val="20"/>
          <w:lang w:val="sl-SI"/>
        </w:rPr>
        <w:t xml:space="preserve"> je področje sodobne biotehnologije in GSO urejeno s Kartagenskim protokolom o biološki varnosti h Konvenciji o biološki raznovrstnosti (v nadaljevanju: </w:t>
      </w:r>
      <w:r>
        <w:rPr>
          <w:rFonts w:eastAsiaTheme="minorHAnsi" w:cs="Arial"/>
          <w:szCs w:val="20"/>
          <w:lang w:val="sl-SI"/>
        </w:rPr>
        <w:t>k</w:t>
      </w:r>
      <w:r w:rsidRPr="005771BD">
        <w:rPr>
          <w:rFonts w:eastAsiaTheme="minorHAnsi" w:cs="Arial"/>
          <w:szCs w:val="20"/>
          <w:lang w:val="sl-SI"/>
        </w:rPr>
        <w:t xml:space="preserve">artagenski protokol), ki je mednarodni dogovor, katerega cilj je zagotavljati varno ravnanje, </w:t>
      </w:r>
      <w:r>
        <w:rPr>
          <w:rFonts w:eastAsiaTheme="minorHAnsi" w:cs="Arial"/>
          <w:szCs w:val="20"/>
          <w:lang w:val="sl-SI"/>
        </w:rPr>
        <w:t>promet</w:t>
      </w:r>
      <w:r w:rsidRPr="005771BD">
        <w:rPr>
          <w:rFonts w:eastAsiaTheme="minorHAnsi" w:cs="Arial"/>
          <w:szCs w:val="20"/>
          <w:lang w:val="sl-SI"/>
        </w:rPr>
        <w:t xml:space="preserve"> in uporabo GSO, ki so rezultat sodobne biotehnologije, in bi lahko negativ</w:t>
      </w:r>
      <w:r>
        <w:rPr>
          <w:rFonts w:eastAsiaTheme="minorHAnsi" w:cs="Arial"/>
          <w:szCs w:val="20"/>
          <w:lang w:val="sl-SI"/>
        </w:rPr>
        <w:t>no</w:t>
      </w:r>
      <w:r w:rsidRPr="005771BD">
        <w:rPr>
          <w:rFonts w:eastAsiaTheme="minorHAnsi" w:cs="Arial"/>
          <w:szCs w:val="20"/>
          <w:lang w:val="sl-SI"/>
        </w:rPr>
        <w:t xml:space="preserve"> vpliv</w:t>
      </w:r>
      <w:r>
        <w:rPr>
          <w:rFonts w:eastAsiaTheme="minorHAnsi" w:cs="Arial"/>
          <w:szCs w:val="20"/>
          <w:lang w:val="sl-SI"/>
        </w:rPr>
        <w:t>a</w:t>
      </w:r>
      <w:r w:rsidRPr="005771BD">
        <w:rPr>
          <w:rFonts w:eastAsiaTheme="minorHAnsi" w:cs="Arial"/>
          <w:szCs w:val="20"/>
          <w:lang w:val="sl-SI"/>
        </w:rPr>
        <w:t xml:space="preserve"> na biotsko raznovrstnost ob upoštevanju tveganja za zdravje ljudi. Slovenija se uvršča med 170 držav, ki so podpisnice Kartagenskega protokola. V </w:t>
      </w:r>
      <w:r>
        <w:rPr>
          <w:rFonts w:eastAsiaTheme="minorHAnsi" w:cs="Arial"/>
          <w:szCs w:val="20"/>
          <w:lang w:val="sl-SI"/>
        </w:rPr>
        <w:t>evropsko</w:t>
      </w:r>
      <w:r w:rsidRPr="005771BD">
        <w:rPr>
          <w:rFonts w:eastAsiaTheme="minorHAnsi" w:cs="Arial"/>
          <w:szCs w:val="20"/>
          <w:lang w:val="sl-SI"/>
        </w:rPr>
        <w:t xml:space="preserve"> in </w:t>
      </w:r>
      <w:r>
        <w:rPr>
          <w:rFonts w:eastAsiaTheme="minorHAnsi" w:cs="Arial"/>
          <w:szCs w:val="20"/>
          <w:lang w:val="sl-SI"/>
        </w:rPr>
        <w:t>s</w:t>
      </w:r>
      <w:r w:rsidRPr="005771BD">
        <w:rPr>
          <w:rFonts w:eastAsiaTheme="minorHAnsi" w:cs="Arial"/>
          <w:szCs w:val="20"/>
          <w:lang w:val="sl-SI"/>
        </w:rPr>
        <w:t xml:space="preserve">lovensko zakonodajo so zahteve </w:t>
      </w:r>
      <w:r>
        <w:rPr>
          <w:rFonts w:eastAsiaTheme="minorHAnsi" w:cs="Arial"/>
          <w:szCs w:val="20"/>
          <w:lang w:val="sl-SI"/>
        </w:rPr>
        <w:t>k</w:t>
      </w:r>
      <w:r w:rsidRPr="005771BD">
        <w:rPr>
          <w:rFonts w:eastAsiaTheme="minorHAnsi" w:cs="Arial"/>
          <w:szCs w:val="20"/>
          <w:lang w:val="sl-SI"/>
        </w:rPr>
        <w:t xml:space="preserve">artagenskega protokola prenesene z </w:t>
      </w:r>
      <w:r>
        <w:rPr>
          <w:rFonts w:eastAsiaTheme="minorHAnsi" w:cs="Arial"/>
          <w:szCs w:val="20"/>
          <w:lang w:val="sl-SI"/>
        </w:rPr>
        <w:t>U</w:t>
      </w:r>
      <w:r w:rsidRPr="005771BD">
        <w:rPr>
          <w:rFonts w:eastAsiaTheme="minorHAnsi" w:cs="Arial"/>
          <w:szCs w:val="20"/>
          <w:lang w:val="sl-SI"/>
        </w:rPr>
        <w:t xml:space="preserve">redbo 1946/2003, ki </w:t>
      </w:r>
      <w:r>
        <w:rPr>
          <w:rFonts w:eastAsiaTheme="minorHAnsi" w:cs="Arial"/>
          <w:szCs w:val="20"/>
          <w:lang w:val="sl-SI"/>
        </w:rPr>
        <w:t>ureja</w:t>
      </w:r>
      <w:r w:rsidRPr="005771BD">
        <w:rPr>
          <w:rFonts w:eastAsiaTheme="minorHAnsi" w:cs="Arial"/>
          <w:szCs w:val="20"/>
          <w:lang w:val="sl-SI"/>
        </w:rPr>
        <w:t xml:space="preserve"> čezmejn</w:t>
      </w:r>
      <w:r>
        <w:rPr>
          <w:rFonts w:eastAsiaTheme="minorHAnsi" w:cs="Arial"/>
          <w:szCs w:val="20"/>
          <w:lang w:val="sl-SI"/>
        </w:rPr>
        <w:t>o</w:t>
      </w:r>
      <w:r w:rsidRPr="005771BD">
        <w:rPr>
          <w:rFonts w:eastAsiaTheme="minorHAnsi" w:cs="Arial"/>
          <w:szCs w:val="20"/>
          <w:lang w:val="sl-SI"/>
        </w:rPr>
        <w:t xml:space="preserve"> gibanj</w:t>
      </w:r>
      <w:r>
        <w:rPr>
          <w:rFonts w:eastAsiaTheme="minorHAnsi" w:cs="Arial"/>
          <w:szCs w:val="20"/>
          <w:lang w:val="sl-SI"/>
        </w:rPr>
        <w:t>e</w:t>
      </w:r>
      <w:r w:rsidRPr="005771BD">
        <w:rPr>
          <w:rFonts w:eastAsiaTheme="minorHAnsi" w:cs="Arial"/>
          <w:szCs w:val="20"/>
          <w:lang w:val="sl-SI"/>
        </w:rPr>
        <w:t xml:space="preserve"> GSO in</w:t>
      </w:r>
      <w:r>
        <w:rPr>
          <w:rFonts w:eastAsiaTheme="minorHAnsi" w:cs="Arial"/>
          <w:szCs w:val="20"/>
          <w:lang w:val="sl-SI"/>
        </w:rPr>
        <w:t xml:space="preserve"> </w:t>
      </w:r>
      <w:r w:rsidRPr="005771BD">
        <w:rPr>
          <w:rFonts w:eastAsiaTheme="minorHAnsi" w:cs="Arial"/>
          <w:szCs w:val="20"/>
          <w:lang w:val="sl-SI"/>
        </w:rPr>
        <w:t>predvsem izvoz GSO.</w:t>
      </w:r>
    </w:p>
    <w:p w:rsidR="003B2707" w:rsidRPr="005771BD" w:rsidRDefault="003B2707" w:rsidP="003B2707">
      <w:pPr>
        <w:spacing w:line="276" w:lineRule="auto"/>
        <w:jc w:val="both"/>
        <w:rPr>
          <w:rFonts w:eastAsiaTheme="minorHAnsi" w:cs="Arial"/>
          <w:szCs w:val="20"/>
          <w:lang w:val="sl-SI"/>
        </w:rPr>
      </w:pPr>
      <w:r w:rsidRPr="005771BD">
        <w:rPr>
          <w:rFonts w:eastAsiaTheme="minorHAnsi" w:cs="Arial"/>
          <w:szCs w:val="20"/>
          <w:lang w:val="sl-SI"/>
        </w:rPr>
        <w:t xml:space="preserve">Vse prijave GSO v vlogi za dovoljenje za dajanje kakršnegakoli gensko spremenjenega izdelka na trg morajo vsebovati tudi načrt monitoringa po sproščanju. Monitoringi GSO se med seboj razlikujejo </w:t>
      </w:r>
      <w:r>
        <w:rPr>
          <w:rFonts w:eastAsiaTheme="minorHAnsi" w:cs="Arial"/>
          <w:szCs w:val="20"/>
          <w:lang w:val="sl-SI"/>
        </w:rPr>
        <w:t>glede na</w:t>
      </w:r>
      <w:r w:rsidRPr="005771BD">
        <w:rPr>
          <w:rFonts w:eastAsiaTheme="minorHAnsi" w:cs="Arial"/>
          <w:szCs w:val="20"/>
          <w:lang w:val="sl-SI"/>
        </w:rPr>
        <w:t xml:space="preserve"> nameravan</w:t>
      </w:r>
      <w:r>
        <w:rPr>
          <w:rFonts w:eastAsiaTheme="minorHAnsi" w:cs="Arial"/>
          <w:szCs w:val="20"/>
          <w:lang w:val="sl-SI"/>
        </w:rPr>
        <w:t>o</w:t>
      </w:r>
      <w:r w:rsidRPr="005771BD">
        <w:rPr>
          <w:rFonts w:eastAsiaTheme="minorHAnsi" w:cs="Arial"/>
          <w:szCs w:val="20"/>
          <w:lang w:val="sl-SI"/>
        </w:rPr>
        <w:t xml:space="preserve"> uporab</w:t>
      </w:r>
      <w:r>
        <w:rPr>
          <w:rFonts w:eastAsiaTheme="minorHAnsi" w:cs="Arial"/>
          <w:szCs w:val="20"/>
          <w:lang w:val="sl-SI"/>
        </w:rPr>
        <w:t>o</w:t>
      </w:r>
      <w:r w:rsidRPr="005771BD">
        <w:rPr>
          <w:rFonts w:eastAsiaTheme="minorHAnsi" w:cs="Arial"/>
          <w:szCs w:val="20"/>
          <w:lang w:val="sl-SI"/>
        </w:rPr>
        <w:t xml:space="preserve"> GSO. Lahko so namenjeni za hrano/krmo, predelavo in pridelavo GSO ali kakšen drug namen. Načrti monitoringov za GSO, ki so namenjeni sproščanju v okolje, morajo izpolnjevati zahteve iz dodatka VII Direktive 2001/18/ES in vključujejo:</w:t>
      </w:r>
    </w:p>
    <w:p w:rsidR="003B2707" w:rsidRPr="005771BD" w:rsidRDefault="003B2707" w:rsidP="003B2707">
      <w:pPr>
        <w:numPr>
          <w:ilvl w:val="0"/>
          <w:numId w:val="74"/>
        </w:numPr>
        <w:spacing w:before="60" w:line="276" w:lineRule="auto"/>
        <w:ind w:left="284" w:hanging="284"/>
        <w:jc w:val="both"/>
        <w:rPr>
          <w:rFonts w:eastAsiaTheme="minorHAnsi" w:cs="Arial"/>
          <w:szCs w:val="20"/>
          <w:lang w:val="sl-SI"/>
        </w:rPr>
      </w:pPr>
      <w:r w:rsidRPr="005771BD">
        <w:rPr>
          <w:rFonts w:eastAsiaTheme="minorHAnsi" w:cs="Arial"/>
          <w:szCs w:val="20"/>
          <w:lang w:val="sl-SI"/>
        </w:rPr>
        <w:t>splošni nadzor zaradi nepričakovanih negativnih učinkov</w:t>
      </w:r>
      <w:r>
        <w:rPr>
          <w:rFonts w:eastAsiaTheme="minorHAnsi" w:cs="Arial"/>
          <w:szCs w:val="20"/>
          <w:lang w:val="sl-SI"/>
        </w:rPr>
        <w:t xml:space="preserve"> in</w:t>
      </w:r>
      <w:r w:rsidRPr="005771BD">
        <w:rPr>
          <w:rFonts w:eastAsiaTheme="minorHAnsi" w:cs="Arial"/>
          <w:szCs w:val="20"/>
          <w:lang w:val="sl-SI"/>
        </w:rPr>
        <w:t xml:space="preserve"> </w:t>
      </w:r>
    </w:p>
    <w:p w:rsidR="003B2707" w:rsidRPr="005771BD" w:rsidRDefault="003B2707" w:rsidP="003B2707">
      <w:pPr>
        <w:numPr>
          <w:ilvl w:val="0"/>
          <w:numId w:val="74"/>
        </w:numPr>
        <w:spacing w:before="60" w:after="200" w:line="276" w:lineRule="auto"/>
        <w:ind w:left="284" w:hanging="284"/>
        <w:jc w:val="both"/>
        <w:rPr>
          <w:rFonts w:eastAsiaTheme="minorHAnsi" w:cs="Arial"/>
          <w:szCs w:val="20"/>
          <w:lang w:val="sl-SI"/>
        </w:rPr>
      </w:pPr>
      <w:r>
        <w:rPr>
          <w:rFonts w:eastAsiaTheme="minorHAnsi" w:cs="Arial"/>
          <w:szCs w:val="20"/>
          <w:lang w:val="sl-SI"/>
        </w:rPr>
        <w:t>poseben</w:t>
      </w:r>
      <w:r w:rsidRPr="005771BD">
        <w:rPr>
          <w:rFonts w:eastAsiaTheme="minorHAnsi" w:cs="Arial"/>
          <w:szCs w:val="20"/>
          <w:lang w:val="sl-SI"/>
        </w:rPr>
        <w:t xml:space="preserve"> monitoring posamez</w:t>
      </w:r>
      <w:r>
        <w:rPr>
          <w:rFonts w:eastAsiaTheme="minorHAnsi" w:cs="Arial"/>
          <w:szCs w:val="20"/>
          <w:lang w:val="sl-SI"/>
        </w:rPr>
        <w:t>nih</w:t>
      </w:r>
      <w:r w:rsidRPr="005771BD">
        <w:rPr>
          <w:rFonts w:eastAsiaTheme="minorHAnsi" w:cs="Arial"/>
          <w:szCs w:val="20"/>
          <w:lang w:val="sl-SI"/>
        </w:rPr>
        <w:t xml:space="preserve"> primer</w:t>
      </w:r>
      <w:r>
        <w:rPr>
          <w:rFonts w:eastAsiaTheme="minorHAnsi" w:cs="Arial"/>
          <w:szCs w:val="20"/>
          <w:lang w:val="sl-SI"/>
        </w:rPr>
        <w:t>ov</w:t>
      </w:r>
      <w:r w:rsidRPr="005771BD">
        <w:rPr>
          <w:rFonts w:eastAsiaTheme="minorHAnsi" w:cs="Arial"/>
          <w:szCs w:val="20"/>
          <w:lang w:val="sl-SI"/>
        </w:rPr>
        <w:t xml:space="preserve"> zaradi odkrivanja neposrednih in posrednih učinkov, ki so bili prepoznani v oceni tveganja za okolje.</w:t>
      </w:r>
    </w:p>
    <w:p w:rsidR="003B2707" w:rsidRPr="005771BD" w:rsidRDefault="003B2707" w:rsidP="003B2707">
      <w:pPr>
        <w:spacing w:after="200" w:line="276" w:lineRule="auto"/>
        <w:jc w:val="both"/>
        <w:rPr>
          <w:rFonts w:eastAsiaTheme="minorHAnsi" w:cs="Arial"/>
          <w:szCs w:val="20"/>
          <w:lang w:val="sl-SI"/>
        </w:rPr>
      </w:pPr>
      <w:r w:rsidRPr="007F272F">
        <w:rPr>
          <w:rFonts w:eastAsiaTheme="minorHAnsi" w:cs="Arial"/>
          <w:b/>
          <w:bCs/>
          <w:noProof/>
          <w:szCs w:val="20"/>
          <w:lang w:val="sl-SI" w:eastAsia="sl-SI"/>
        </w:rPr>
        <mc:AlternateContent>
          <mc:Choice Requires="wps">
            <w:drawing>
              <wp:anchor distT="0" distB="0" distL="114300" distR="114300" simplePos="0" relativeHeight="251701248" behindDoc="0" locked="0" layoutInCell="1" allowOverlap="1" wp14:anchorId="14C15EB8" wp14:editId="595B6F17">
                <wp:simplePos x="0" y="0"/>
                <wp:positionH relativeFrom="column">
                  <wp:posOffset>-4445</wp:posOffset>
                </wp:positionH>
                <wp:positionV relativeFrom="paragraph">
                  <wp:posOffset>97222</wp:posOffset>
                </wp:positionV>
                <wp:extent cx="5784850" cy="3619500"/>
                <wp:effectExtent l="0" t="0" r="25400" b="19050"/>
                <wp:wrapNone/>
                <wp:docPr id="90" name="Pravokotnik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84850" cy="361950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02CCF5" id="Pravokotnik 90" o:spid="_x0000_s1026" style="position:absolute;margin-left:-.35pt;margin-top:7.65pt;width:455.5pt;height:28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" filled="f" strokeweight=".25pt"/>
            </w:pict>
          </mc:Fallback>
        </mc:AlternateContent>
      </w:r>
    </w:p>
    <w:p w:rsidR="003B2707" w:rsidRPr="005771BD" w:rsidRDefault="003B2707" w:rsidP="003B2707">
      <w:pPr>
        <w:spacing w:after="200" w:line="276" w:lineRule="auto"/>
        <w:jc w:val="center"/>
        <w:rPr>
          <w:rFonts w:eastAsiaTheme="minorHAnsi" w:cs="Arial"/>
          <w:b/>
          <w:bCs/>
          <w:szCs w:val="20"/>
          <w:lang w:val="sl-SI"/>
        </w:rPr>
      </w:pPr>
      <w:r w:rsidRPr="005771BD">
        <w:rPr>
          <w:rFonts w:eastAsiaTheme="minorHAnsi" w:cs="Arial"/>
          <w:b/>
          <w:bCs/>
          <w:i/>
          <w:color w:val="FF0000"/>
          <w:szCs w:val="20"/>
          <w:lang w:val="sl-SI"/>
        </w:rPr>
        <w:t>SISTEM BIOLOŠKE VARNOSTI</w:t>
      </w:r>
    </w:p>
    <w:p w:rsidR="003B2707" w:rsidRPr="005771BD" w:rsidRDefault="003B2707" w:rsidP="003B2707">
      <w:pPr>
        <w:spacing w:after="200" w:line="276" w:lineRule="auto"/>
        <w:jc w:val="center"/>
        <w:rPr>
          <w:rFonts w:eastAsiaTheme="minorHAnsi" w:cs="Arial"/>
          <w:b/>
          <w:bCs/>
          <w:i/>
          <w:color w:val="FF0000"/>
          <w:szCs w:val="20"/>
          <w:lang w:val="sl-SI"/>
        </w:rPr>
      </w:pPr>
      <w:r w:rsidRPr="007F272F">
        <w:rPr>
          <w:rFonts w:eastAsiaTheme="minorHAnsi" w:cs="Arial"/>
          <w:b/>
          <w:bCs/>
          <w:noProof/>
          <w:szCs w:val="20"/>
          <w:lang w:val="sl-SI" w:eastAsia="sl-SI"/>
        </w:rPr>
        <mc:AlternateContent>
          <mc:Choice Requires="wps">
            <w:drawing>
              <wp:anchor distT="0" distB="0" distL="114300" distR="114300" simplePos="0" relativeHeight="251706368" behindDoc="0" locked="0" layoutInCell="1" allowOverlap="1" wp14:anchorId="23C1B2AE" wp14:editId="58F07136">
                <wp:simplePos x="0" y="0"/>
                <wp:positionH relativeFrom="column">
                  <wp:posOffset>3824605</wp:posOffset>
                </wp:positionH>
                <wp:positionV relativeFrom="paragraph">
                  <wp:posOffset>3810</wp:posOffset>
                </wp:positionV>
                <wp:extent cx="18415" cy="819150"/>
                <wp:effectExtent l="19050" t="19050" r="19685" b="19050"/>
                <wp:wrapNone/>
                <wp:docPr id="91" name="Raven povezovalnik 91"/>
                <wp:cNvGraphicFramePr/>
                <a:graphic xmlns:a="http://schemas.openxmlformats.org/drawingml/2006/main">
                  <a:graphicData uri="http://schemas.microsoft.com/office/word/2010/wordprocessingShape">
                    <wps:wsp>
                      <wps:cNvCnPr/>
                      <wps:spPr>
                        <a:xfrm flipH="1">
                          <a:off x="0" y="0"/>
                          <a:ext cx="18415" cy="819150"/>
                        </a:xfrm>
                        <a:prstGeom prst="line">
                          <a:avLst/>
                        </a:prstGeom>
                        <a:noFill/>
                        <a:ln w="38100" cap="flat" cmpd="sng" algn="ctr">
                          <a:solidFill>
                            <a:srgbClr val="FF0000"/>
                          </a:solidFill>
                          <a:prstDash val="sysDot"/>
                        </a:ln>
                        <a:effectLst/>
                      </wps:spPr>
                      <wps:bodyPr/>
                    </wps:wsp>
                  </a:graphicData>
                </a:graphic>
                <wp14:sizeRelH relativeFrom="margin">
                  <wp14:pctWidth>0</wp14:pctWidth>
                </wp14:sizeRelH>
                <wp14:sizeRelV relativeFrom="margin">
                  <wp14:pctHeight>0</wp14:pctHeight>
                </wp14:sizeRelV>
              </wp:anchor>
            </w:drawing>
          </mc:Choice>
          <mc:Fallback>
            <w:pict>
              <v:line w14:anchorId="588006B7" id="Raven povezovalnik 91" o:spid="_x0000_s1026" style="position:absolute;flip:x;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1.15pt,.3pt" to="302.6pt,6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" strokecolor="red" strokeweight="3pt">
                <v:stroke dashstyle="1 1"/>
              </v:line>
            </w:pict>
          </mc:Fallback>
        </mc:AlternateContent>
      </w:r>
      <w:r w:rsidRPr="00A95A16">
        <w:rPr>
          <w:rFonts w:eastAsiaTheme="minorHAnsi" w:cs="Arial"/>
          <w:bCs/>
          <w:noProof/>
          <w:szCs w:val="20"/>
          <w:lang w:val="sl-SI" w:eastAsia="sl-SI"/>
        </w:rPr>
        <mc:AlternateContent>
          <mc:Choice Requires="wps">
            <w:drawing>
              <wp:anchor distT="0" distB="0" distL="114300" distR="114300" simplePos="0" relativeHeight="251710464" behindDoc="0" locked="0" layoutInCell="1" allowOverlap="1" wp14:anchorId="1B3400B5" wp14:editId="350BDC4C">
                <wp:simplePos x="0" y="0"/>
                <wp:positionH relativeFrom="column">
                  <wp:posOffset>376555</wp:posOffset>
                </wp:positionH>
                <wp:positionV relativeFrom="paragraph">
                  <wp:posOffset>711835</wp:posOffset>
                </wp:positionV>
                <wp:extent cx="1860550" cy="0"/>
                <wp:effectExtent l="0" t="0" r="6350" b="19050"/>
                <wp:wrapNone/>
                <wp:docPr id="92" name="Raven povezovalnik 92"/>
                <wp:cNvGraphicFramePr/>
                <a:graphic xmlns:a="http://schemas.openxmlformats.org/drawingml/2006/main">
                  <a:graphicData uri="http://schemas.microsoft.com/office/word/2010/wordprocessingShape">
                    <wps:wsp>
                      <wps:cNvCnPr/>
                      <wps:spPr>
                        <a:xfrm>
                          <a:off x="0" y="0"/>
                          <a:ext cx="1860550" cy="0"/>
                        </a:xfrm>
                        <a:prstGeom prst="line">
                          <a:avLst/>
                        </a:prstGeom>
                        <a:noFill/>
                        <a:ln w="9525" cap="flat" cmpd="sng" algn="ctr">
                          <a:solidFill>
                            <a:sysClr val="window" lastClr="FFFFFF"/>
                          </a:solidFill>
                          <a:prstDash val="sysDot"/>
                        </a:ln>
                        <a:effectLst/>
                      </wps:spPr>
                      <wps:bodyPr/>
                    </wps:wsp>
                  </a:graphicData>
                </a:graphic>
                <wp14:sizeRelH relativeFrom="margin">
                  <wp14:pctWidth>0</wp14:pctWidth>
                </wp14:sizeRelH>
              </wp:anchor>
            </w:drawing>
          </mc:Choice>
          <mc:Fallback>
            <w:pict>
              <v:line w14:anchorId="2821CB77" id="Raven povezovalnik 92" o:spid="_x0000_s1026" style="position:absolute;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9.65pt,56.05pt" to="176.15pt,5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" strokecolor="window">
                <v:stroke dashstyle="1 1"/>
              </v:line>
            </w:pict>
          </mc:Fallback>
        </mc:AlternateContent>
      </w:r>
      <w:r w:rsidRPr="00A95A16">
        <w:rPr>
          <w:rFonts w:eastAsiaTheme="minorHAnsi" w:cs="Arial"/>
          <w:bCs/>
          <w:noProof/>
          <w:szCs w:val="20"/>
          <w:lang w:val="sl-SI" w:eastAsia="sl-SI"/>
        </w:rPr>
        <mc:AlternateContent>
          <mc:Choice Requires="wps">
            <w:drawing>
              <wp:anchor distT="0" distB="0" distL="114300" distR="114300" simplePos="0" relativeHeight="251711488" behindDoc="0" locked="0" layoutInCell="1" allowOverlap="1" wp14:anchorId="230F2076" wp14:editId="165D01F9">
                <wp:simplePos x="0" y="0"/>
                <wp:positionH relativeFrom="column">
                  <wp:posOffset>3627755</wp:posOffset>
                </wp:positionH>
                <wp:positionV relativeFrom="paragraph">
                  <wp:posOffset>711835</wp:posOffset>
                </wp:positionV>
                <wp:extent cx="1758950" cy="0"/>
                <wp:effectExtent l="0" t="0" r="12700" b="19050"/>
                <wp:wrapNone/>
                <wp:docPr id="93" name="Raven povezovalnik 93"/>
                <wp:cNvGraphicFramePr/>
                <a:graphic xmlns:a="http://schemas.openxmlformats.org/drawingml/2006/main">
                  <a:graphicData uri="http://schemas.microsoft.com/office/word/2010/wordprocessingShape">
                    <wps:wsp>
                      <wps:cNvCnPr/>
                      <wps:spPr>
                        <a:xfrm>
                          <a:off x="0" y="0"/>
                          <a:ext cx="1758950" cy="0"/>
                        </a:xfrm>
                        <a:prstGeom prst="line">
                          <a:avLst/>
                        </a:prstGeom>
                        <a:noFill/>
                        <a:ln w="9525" cap="flat" cmpd="sng" algn="ctr">
                          <a:solidFill>
                            <a:sysClr val="window" lastClr="FFFFFF"/>
                          </a:solidFill>
                          <a:prstDash val="sysDot"/>
                        </a:ln>
                        <a:effectLst/>
                      </wps:spPr>
                      <wps:bodyPr/>
                    </wps:wsp>
                  </a:graphicData>
                </a:graphic>
              </wp:anchor>
            </w:drawing>
          </mc:Choice>
          <mc:Fallback>
            <w:pict>
              <v:line w14:anchorId="756A2163" id="Raven povezovalnik 93" o:spid="_x0000_s1026" style="position:absolute;z-index:251711488;visibility:visible;mso-wrap-style:square;mso-wrap-distance-left:9pt;mso-wrap-distance-top:0;mso-wrap-distance-right:9pt;mso-wrap-distance-bottom:0;mso-position-horizontal:absolute;mso-position-horizontal-relative:text;mso-position-vertical:absolute;mso-position-vertical-relative:text" from="285.65pt,56.05pt" to="424.15pt,5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" strokecolor="window">
                <v:stroke dashstyle="1 1"/>
              </v:line>
            </w:pict>
          </mc:Fallback>
        </mc:AlternateContent>
      </w:r>
      <w:r w:rsidRPr="00A95A16">
        <w:rPr>
          <w:rFonts w:eastAsiaTheme="minorHAnsi" w:cs="Arial"/>
          <w:bCs/>
          <w:noProof/>
          <w:szCs w:val="20"/>
          <w:lang w:val="sl-SI" w:eastAsia="sl-SI"/>
        </w:rPr>
        <mc:AlternateContent>
          <mc:Choice Requires="wps">
            <w:drawing>
              <wp:anchor distT="0" distB="0" distL="114300" distR="114300" simplePos="0" relativeHeight="251700224" behindDoc="0" locked="0" layoutInCell="1" allowOverlap="1" wp14:anchorId="09215C4A" wp14:editId="5FDE4A83">
                <wp:simplePos x="0" y="0"/>
                <wp:positionH relativeFrom="column">
                  <wp:posOffset>296545</wp:posOffset>
                </wp:positionH>
                <wp:positionV relativeFrom="paragraph">
                  <wp:posOffset>470535</wp:posOffset>
                </wp:positionV>
                <wp:extent cx="5382260" cy="425450"/>
                <wp:effectExtent l="0" t="19050" r="46990" b="31750"/>
                <wp:wrapNone/>
                <wp:docPr id="94" name="Desna puščica 94"/>
                <wp:cNvGraphicFramePr/>
                <a:graphic xmlns:a="http://schemas.openxmlformats.org/drawingml/2006/main">
                  <a:graphicData uri="http://schemas.microsoft.com/office/word/2010/wordprocessingShape">
                    <wps:wsp>
                      <wps:cNvSpPr/>
                      <wps:spPr>
                        <a:xfrm>
                          <a:off x="0" y="0"/>
                          <a:ext cx="5382260" cy="425450"/>
                        </a:xfrm>
                        <a:prstGeom prst="rightArrow">
                          <a:avLst/>
                        </a:prstGeom>
                        <a:solidFill>
                          <a:srgbClr val="4F81BD"/>
                        </a:solidFill>
                        <a:ln w="25400" cap="flat" cmpd="sng" algn="ctr">
                          <a:solidFill>
                            <a:srgbClr val="4F81BD">
                              <a:shade val="50000"/>
                            </a:srgbClr>
                          </a:solidFill>
                          <a:prstDash val="solid"/>
                        </a:ln>
                        <a:effectLst/>
                      </wps:spPr>
                      <wps:txbx>
                        <w:txbxContent>
                          <w:p w:rsidR="001323F1" w:rsidRPr="005D265B" w:rsidRDefault="001323F1" w:rsidP="003B2707">
                            <w:pPr>
                              <w:jc w:val="center"/>
                              <w:rPr>
                                <w:b/>
                                <w:color w:val="FFFFFF" w:themeColor="background1"/>
                                <w:sz w:val="16"/>
                                <w:szCs w:val="16"/>
                                <w14:textOutline w14:w="9525" w14:cap="rnd" w14:cmpd="sng" w14:algn="ctr">
                                  <w14:solidFill>
                                    <w14:schemeClr w14:val="bg1"/>
                                  </w14:solidFill>
                                  <w14:prstDash w14:val="solid"/>
                                  <w14:bevel/>
                                </w14:textOutline>
                              </w:rPr>
                            </w:pPr>
                            <w:r w:rsidRPr="005D265B">
                              <w:rPr>
                                <w:b/>
                                <w:color w:val="FFFFFF" w:themeColor="background1"/>
                                <w:sz w:val="16"/>
                                <w:szCs w:val="16"/>
                                <w14:textOutline w14:w="9525" w14:cap="rnd" w14:cmpd="sng" w14:algn="ctr">
                                  <w14:solidFill>
                                    <w14:schemeClr w14:val="bg1"/>
                                  </w14:solidFill>
                                  <w14:prstDash w14:val="solid"/>
                                  <w14:bevel/>
                                </w14:textOutline>
                              </w:rPr>
                              <w:t xml:space="preserve">NADZOR </w:t>
                            </w:r>
                            <w:r>
                              <w:rPr>
                                <w:b/>
                                <w:color w:val="FFFFFF" w:themeColor="background1"/>
                                <w:sz w:val="16"/>
                                <w:szCs w:val="16"/>
                                <w14:textOutline w14:w="9525" w14:cap="rnd" w14:cmpd="sng" w14:algn="ctr">
                                  <w14:solidFill>
                                    <w14:schemeClr w14:val="bg1"/>
                                  </w14:solidFill>
                                  <w14:prstDash w14:val="solid"/>
                                  <w14:bevel/>
                                </w14:textOutline>
                              </w:rPr>
                              <w:t xml:space="preserve">IN </w:t>
                            </w:r>
                            <w:r w:rsidRPr="005D265B">
                              <w:rPr>
                                <w:b/>
                                <w:color w:val="FFFFFF" w:themeColor="background1"/>
                                <w:sz w:val="16"/>
                                <w:szCs w:val="16"/>
                                <w14:textOutline w14:w="9525" w14:cap="rnd" w14:cmpd="sng" w14:algn="ctr">
                                  <w14:solidFill>
                                    <w14:schemeClr w14:val="bg1"/>
                                  </w14:solidFill>
                                  <w14:prstDash w14:val="solid"/>
                                  <w14:bevel/>
                                </w14:textOutline>
                              </w:rPr>
                              <w:t>MONITORING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215C4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Desna puščica 94" o:spid="_x0000_s1026" type="#_x0000_t13" style="position:absolute;left:0;text-align:left;margin-left:23.35pt;margin-top:37.05pt;width:423.8pt;height:33.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" adj="20746" fillcolor="#4f81bd" strokecolor="#385d8a" strokeweight="2pt">
                <v:textbox>
                  <w:txbxContent>
                    <w:p w:rsidR="001323F1" w:rsidRPr="005D265B" w:rsidRDefault="001323F1" w:rsidP="003B2707">
                      <w:pPr>
                        <w:jc w:val="center"/>
                        <w:rPr>
                          <w:b/>
                          <w:color w:val="FFFFFF" w:themeColor="background1"/>
                          <w:sz w:val="16"/>
                          <w:szCs w:val="16"/>
                          <w14:textOutline w14:w="9525" w14:cap="rnd" w14:cmpd="sng" w14:algn="ctr">
                            <w14:solidFill>
                              <w14:schemeClr w14:val="bg1"/>
                            </w14:solidFill>
                            <w14:prstDash w14:val="solid"/>
                            <w14:bevel/>
                          </w14:textOutline>
                        </w:rPr>
                      </w:pPr>
                      <w:r w:rsidRPr="005D265B">
                        <w:rPr>
                          <w:b/>
                          <w:color w:val="FFFFFF" w:themeColor="background1"/>
                          <w:sz w:val="16"/>
                          <w:szCs w:val="16"/>
                          <w14:textOutline w14:w="9525" w14:cap="rnd" w14:cmpd="sng" w14:algn="ctr">
                            <w14:solidFill>
                              <w14:schemeClr w14:val="bg1"/>
                            </w14:solidFill>
                            <w14:prstDash w14:val="solid"/>
                            <w14:bevel/>
                          </w14:textOutline>
                        </w:rPr>
                        <w:t xml:space="preserve">NADZOR </w:t>
                      </w:r>
                      <w:r>
                        <w:rPr>
                          <w:b/>
                          <w:color w:val="FFFFFF" w:themeColor="background1"/>
                          <w:sz w:val="16"/>
                          <w:szCs w:val="16"/>
                          <w14:textOutline w14:w="9525" w14:cap="rnd" w14:cmpd="sng" w14:algn="ctr">
                            <w14:solidFill>
                              <w14:schemeClr w14:val="bg1"/>
                            </w14:solidFill>
                            <w14:prstDash w14:val="solid"/>
                            <w14:bevel/>
                          </w14:textOutline>
                        </w:rPr>
                        <w:t xml:space="preserve">IN </w:t>
                      </w:r>
                      <w:r w:rsidRPr="005D265B">
                        <w:rPr>
                          <w:b/>
                          <w:color w:val="FFFFFF" w:themeColor="background1"/>
                          <w:sz w:val="16"/>
                          <w:szCs w:val="16"/>
                          <w14:textOutline w14:w="9525" w14:cap="rnd" w14:cmpd="sng" w14:algn="ctr">
                            <w14:solidFill>
                              <w14:schemeClr w14:val="bg1"/>
                            </w14:solidFill>
                            <w14:prstDash w14:val="solid"/>
                            <w14:bevel/>
                          </w14:textOutline>
                        </w:rPr>
                        <w:t>MONITORING</w:t>
                      </w:r>
                    </w:p>
                  </w:txbxContent>
                </v:textbox>
              </v:shape>
            </w:pict>
          </mc:Fallback>
        </mc:AlternateContent>
      </w:r>
      <w:r w:rsidRPr="00A95A16">
        <w:rPr>
          <w:rFonts w:eastAsiaTheme="minorHAnsi" w:cs="Arial"/>
          <w:bCs/>
          <w:noProof/>
          <w:szCs w:val="20"/>
          <w:lang w:val="sl-SI" w:eastAsia="sl-SI"/>
        </w:rPr>
        <mc:AlternateContent>
          <mc:Choice Requires="wps">
            <w:drawing>
              <wp:anchor distT="0" distB="0" distL="114300" distR="114300" simplePos="0" relativeHeight="251703296" behindDoc="0" locked="0" layoutInCell="1" allowOverlap="1" wp14:anchorId="6DDD764D" wp14:editId="64106BB2">
                <wp:simplePos x="0" y="0"/>
                <wp:positionH relativeFrom="column">
                  <wp:posOffset>1710055</wp:posOffset>
                </wp:positionH>
                <wp:positionV relativeFrom="paragraph">
                  <wp:posOffset>822960</wp:posOffset>
                </wp:positionV>
                <wp:extent cx="3727450" cy="228600"/>
                <wp:effectExtent l="0" t="0" r="25400" b="19050"/>
                <wp:wrapNone/>
                <wp:docPr id="95" name="Polje z besedilom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7450" cy="228600"/>
                        </a:xfrm>
                        <a:prstGeom prst="rect">
                          <a:avLst/>
                        </a:prstGeom>
                        <a:solidFill>
                          <a:srgbClr val="FFFFFF"/>
                        </a:solidFill>
                        <a:ln w="12700">
                          <a:solidFill>
                            <a:srgbClr val="000000"/>
                          </a:solidFill>
                          <a:miter lim="800000"/>
                          <a:headEnd/>
                          <a:tailEnd/>
                        </a:ln>
                      </wps:spPr>
                      <wps:txbx>
                        <w:txbxContent>
                          <w:p w:rsidR="001323F1" w:rsidRPr="0086191C" w:rsidRDefault="001323F1" w:rsidP="003B2707">
                            <w:pPr>
                              <w:jc w:val="center"/>
                              <w:rPr>
                                <w:rFonts w:cs="Arial"/>
                                <w:b/>
                                <w:sz w:val="16"/>
                                <w:szCs w:val="16"/>
                              </w:rPr>
                            </w:pPr>
                            <w:r w:rsidRPr="0086191C">
                              <w:rPr>
                                <w:rFonts w:cs="Arial"/>
                                <w:b/>
                                <w:sz w:val="16"/>
                                <w:szCs w:val="16"/>
                              </w:rPr>
                              <w:t xml:space="preserve">Direktiva </w:t>
                            </w:r>
                            <w:r>
                              <w:rPr>
                                <w:rFonts w:cs="Arial"/>
                                <w:b/>
                                <w:sz w:val="16"/>
                                <w:szCs w:val="16"/>
                              </w:rPr>
                              <w:t>2001/18</w:t>
                            </w:r>
                            <w:r w:rsidRPr="0086191C">
                              <w:rPr>
                                <w:rFonts w:cs="Arial"/>
                                <w:b/>
                                <w:sz w:val="16"/>
                                <w:szCs w:val="16"/>
                              </w:rPr>
                              <w:t>/ES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DD764D" id="_x0000_t202" coordsize="21600,21600" o:spt="202" path="m,l,21600r21600,l21600,xe">
                <v:stroke joinstyle="miter"/>
                <v:path gradientshapeok="t" o:connecttype="rect"/>
              </v:shapetype>
              <v:shape id="Polje z besedilom 95" o:spid="_x0000_s1027" type="#_x0000_t202" style="position:absolute;left:0;text-align:left;margin-left:134.65pt;margin-top:64.8pt;width:293.5pt;height:1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" strokeweight="1pt">
                <v:textbox>
                  <w:txbxContent>
                    <w:p w:rsidR="001323F1" w:rsidRPr="0086191C" w:rsidRDefault="001323F1" w:rsidP="003B2707">
                      <w:pPr>
                        <w:jc w:val="center"/>
                        <w:rPr>
                          <w:rFonts w:cs="Arial"/>
                          <w:b/>
                          <w:sz w:val="16"/>
                          <w:szCs w:val="16"/>
                        </w:rPr>
                      </w:pPr>
                      <w:r w:rsidRPr="0086191C">
                        <w:rPr>
                          <w:rFonts w:cs="Arial"/>
                          <w:b/>
                          <w:sz w:val="16"/>
                          <w:szCs w:val="16"/>
                        </w:rPr>
                        <w:t xml:space="preserve">Direktiva </w:t>
                      </w:r>
                      <w:r>
                        <w:rPr>
                          <w:rFonts w:cs="Arial"/>
                          <w:b/>
                          <w:sz w:val="16"/>
                          <w:szCs w:val="16"/>
                        </w:rPr>
                        <w:t>2001/18</w:t>
                      </w:r>
                      <w:r w:rsidRPr="0086191C">
                        <w:rPr>
                          <w:rFonts w:cs="Arial"/>
                          <w:b/>
                          <w:sz w:val="16"/>
                          <w:szCs w:val="16"/>
                        </w:rPr>
                        <w:t>/ES</w:t>
                      </w:r>
                    </w:p>
                  </w:txbxContent>
                </v:textbox>
              </v:shape>
            </w:pict>
          </mc:Fallback>
        </mc:AlternateContent>
      </w:r>
      <w:r w:rsidRPr="00A95A16">
        <w:rPr>
          <w:rFonts w:eastAsiaTheme="minorHAnsi" w:cs="Arial"/>
          <w:b/>
          <w:bCs/>
          <w:noProof/>
          <w:szCs w:val="20"/>
          <w:lang w:val="sl-SI" w:eastAsia="sl-SI"/>
        </w:rPr>
        <mc:AlternateContent>
          <mc:Choice Requires="wps">
            <w:drawing>
              <wp:anchor distT="0" distB="0" distL="114300" distR="114300" simplePos="0" relativeHeight="251705344" behindDoc="0" locked="0" layoutInCell="1" allowOverlap="1" wp14:anchorId="650071F0" wp14:editId="5D200211">
                <wp:simplePos x="0" y="0"/>
                <wp:positionH relativeFrom="column">
                  <wp:posOffset>1697355</wp:posOffset>
                </wp:positionH>
                <wp:positionV relativeFrom="paragraph">
                  <wp:posOffset>-2540</wp:posOffset>
                </wp:positionV>
                <wp:extent cx="18415" cy="819150"/>
                <wp:effectExtent l="19050" t="19050" r="19685" b="19050"/>
                <wp:wrapNone/>
                <wp:docPr id="96" name="Raven povezovalnik 96"/>
                <wp:cNvGraphicFramePr/>
                <a:graphic xmlns:a="http://schemas.openxmlformats.org/drawingml/2006/main">
                  <a:graphicData uri="http://schemas.microsoft.com/office/word/2010/wordprocessingShape">
                    <wps:wsp>
                      <wps:cNvCnPr/>
                      <wps:spPr>
                        <a:xfrm flipH="1">
                          <a:off x="0" y="0"/>
                          <a:ext cx="18415" cy="819150"/>
                        </a:xfrm>
                        <a:prstGeom prst="line">
                          <a:avLst/>
                        </a:prstGeom>
                        <a:noFill/>
                        <a:ln w="38100" cap="flat" cmpd="sng" algn="ctr">
                          <a:solidFill>
                            <a:srgbClr val="FF0000"/>
                          </a:solidFill>
                          <a:prstDash val="sysDash"/>
                        </a:ln>
                        <a:effectLst/>
                      </wps:spPr>
                      <wps:bodyPr/>
                    </wps:wsp>
                  </a:graphicData>
                </a:graphic>
                <wp14:sizeRelH relativeFrom="margin">
                  <wp14:pctWidth>0</wp14:pctWidth>
                </wp14:sizeRelH>
                <wp14:sizeRelV relativeFrom="margin">
                  <wp14:pctHeight>0</wp14:pctHeight>
                </wp14:sizeRelV>
              </wp:anchor>
            </w:drawing>
          </mc:Choice>
          <mc:Fallback>
            <w:pict>
              <v:line w14:anchorId="08A6AA08" id="Raven povezovalnik 96" o:spid="_x0000_s1026" style="position:absolute;flip:x;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3.65pt,-.2pt" to="135.1pt,6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" strokecolor="red" strokeweight="3pt">
                <v:stroke dashstyle="3 1"/>
              </v:line>
            </w:pict>
          </mc:Fallback>
        </mc:AlternateContent>
      </w:r>
      <w:r w:rsidRPr="00A95A16">
        <w:rPr>
          <w:rFonts w:eastAsiaTheme="minorHAnsi" w:cs="Arial"/>
          <w:bCs/>
          <w:noProof/>
          <w:szCs w:val="20"/>
          <w:lang w:val="sl-SI" w:eastAsia="sl-SI"/>
        </w:rPr>
        <mc:AlternateContent>
          <mc:Choice Requires="wps">
            <w:drawing>
              <wp:anchor distT="0" distB="0" distL="114300" distR="114300" simplePos="0" relativeHeight="251702272" behindDoc="0" locked="0" layoutInCell="1" allowOverlap="1" wp14:anchorId="2FFC2603" wp14:editId="774B00C7">
                <wp:simplePos x="0" y="0"/>
                <wp:positionH relativeFrom="column">
                  <wp:posOffset>292100</wp:posOffset>
                </wp:positionH>
                <wp:positionV relativeFrom="paragraph">
                  <wp:posOffset>818515</wp:posOffset>
                </wp:positionV>
                <wp:extent cx="1371600" cy="228600"/>
                <wp:effectExtent l="0" t="0" r="19050" b="19050"/>
                <wp:wrapNone/>
                <wp:docPr id="97" name="Polje z besedilom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28600"/>
                        </a:xfrm>
                        <a:prstGeom prst="rect">
                          <a:avLst/>
                        </a:prstGeom>
                        <a:solidFill>
                          <a:srgbClr val="FFFFFF"/>
                        </a:solidFill>
                        <a:ln w="12700">
                          <a:solidFill>
                            <a:srgbClr val="000000"/>
                          </a:solidFill>
                          <a:miter lim="800000"/>
                          <a:headEnd/>
                          <a:tailEnd/>
                        </a:ln>
                      </wps:spPr>
                      <wps:txbx>
                        <w:txbxContent>
                          <w:p w:rsidR="001323F1" w:rsidRPr="0086191C" w:rsidRDefault="001323F1" w:rsidP="003B2707">
                            <w:pPr>
                              <w:rPr>
                                <w:rFonts w:cs="Arial"/>
                                <w:b/>
                                <w:sz w:val="16"/>
                                <w:szCs w:val="16"/>
                              </w:rPr>
                            </w:pPr>
                            <w:r w:rsidRPr="0086191C">
                              <w:rPr>
                                <w:rFonts w:cs="Arial"/>
                                <w:b/>
                                <w:sz w:val="16"/>
                                <w:szCs w:val="16"/>
                              </w:rPr>
                              <w:t>Direktiva 2009/41/ES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FC2603" id="Polje z besedilom 97" o:spid="_x0000_s1028" type="#_x0000_t202" style="position:absolute;left:0;text-align:left;margin-left:23pt;margin-top:64.45pt;width:108pt;height:18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" strokeweight="1pt">
                <v:textbox>
                  <w:txbxContent>
                    <w:p w:rsidR="001323F1" w:rsidRPr="0086191C" w:rsidRDefault="001323F1" w:rsidP="003B2707">
                      <w:pPr>
                        <w:rPr>
                          <w:rFonts w:cs="Arial"/>
                          <w:b/>
                          <w:sz w:val="16"/>
                          <w:szCs w:val="16"/>
                        </w:rPr>
                      </w:pPr>
                      <w:r w:rsidRPr="0086191C">
                        <w:rPr>
                          <w:rFonts w:cs="Arial"/>
                          <w:b/>
                          <w:sz w:val="16"/>
                          <w:szCs w:val="16"/>
                        </w:rPr>
                        <w:t>Direktiva 2009/41/ES</w:t>
                      </w:r>
                    </w:p>
                  </w:txbxContent>
                </v:textbox>
              </v:shape>
            </w:pict>
          </mc:Fallback>
        </mc:AlternateContent>
      </w:r>
      <w:r w:rsidRPr="00A95A16">
        <w:rPr>
          <w:rFonts w:eastAsiaTheme="minorHAnsi" w:cs="Arial"/>
          <w:bCs/>
          <w:noProof/>
          <w:szCs w:val="20"/>
          <w:lang w:val="sl-SI" w:eastAsia="sl-SI"/>
        </w:rPr>
        <mc:AlternateContent>
          <mc:Choice Requires="wps">
            <w:drawing>
              <wp:anchor distT="0" distB="0" distL="114300" distR="114300" simplePos="0" relativeHeight="251704320" behindDoc="0" locked="0" layoutInCell="1" allowOverlap="1" wp14:anchorId="1369BB45" wp14:editId="5A420BF9">
                <wp:simplePos x="0" y="0"/>
                <wp:positionH relativeFrom="column">
                  <wp:posOffset>292100</wp:posOffset>
                </wp:positionH>
                <wp:positionV relativeFrom="paragraph">
                  <wp:posOffset>1048385</wp:posOffset>
                </wp:positionV>
                <wp:extent cx="5143500" cy="228600"/>
                <wp:effectExtent l="0" t="0" r="19050" b="19050"/>
                <wp:wrapNone/>
                <wp:docPr id="98" name="Polje z besedilom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28600"/>
                        </a:xfrm>
                        <a:prstGeom prst="rect">
                          <a:avLst/>
                        </a:prstGeom>
                        <a:solidFill>
                          <a:srgbClr val="FFFFFF"/>
                        </a:solidFill>
                        <a:ln w="12700">
                          <a:solidFill>
                            <a:srgbClr val="000000"/>
                          </a:solidFill>
                          <a:miter lim="800000"/>
                          <a:headEnd/>
                          <a:tailEnd/>
                        </a:ln>
                      </wps:spPr>
                      <wps:txbx>
                        <w:txbxContent>
                          <w:p w:rsidR="001323F1" w:rsidRPr="0086191C" w:rsidRDefault="001323F1" w:rsidP="003B2707">
                            <w:pPr>
                              <w:jc w:val="center"/>
                              <w:rPr>
                                <w:rFonts w:cs="Arial"/>
                                <w:b/>
                                <w:sz w:val="16"/>
                                <w:szCs w:val="16"/>
                              </w:rPr>
                            </w:pPr>
                            <w:r>
                              <w:rPr>
                                <w:rFonts w:cs="Arial"/>
                                <w:b/>
                                <w:sz w:val="16"/>
                                <w:szCs w:val="16"/>
                              </w:rPr>
                              <w:t>SLOVENIJA: ZAKON O RAVNANJU Z GENSKO SPREMENJENIMI ORGANIZMI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69BB45" id="Polje z besedilom 98" o:spid="_x0000_s1029" type="#_x0000_t202" style="position:absolute;left:0;text-align:left;margin-left:23pt;margin-top:82.55pt;width:405pt;height:1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" strokeweight="1pt">
                <v:textbox>
                  <w:txbxContent>
                    <w:p w:rsidR="001323F1" w:rsidRPr="0086191C" w:rsidRDefault="001323F1" w:rsidP="003B2707">
                      <w:pPr>
                        <w:jc w:val="center"/>
                        <w:rPr>
                          <w:rFonts w:cs="Arial"/>
                          <w:b/>
                          <w:sz w:val="16"/>
                          <w:szCs w:val="16"/>
                        </w:rPr>
                      </w:pPr>
                      <w:r>
                        <w:rPr>
                          <w:rFonts w:cs="Arial"/>
                          <w:b/>
                          <w:sz w:val="16"/>
                          <w:szCs w:val="16"/>
                        </w:rPr>
                        <w:t>SLOVENIJA: ZAKON O RAVNANJU Z GENSKO SPREMENJENIMI ORGANIZMI</w:t>
                      </w:r>
                    </w:p>
                  </w:txbxContent>
                </v:textbox>
              </v:shape>
            </w:pict>
          </mc:Fallback>
        </mc:AlternateContent>
      </w:r>
      <w:r w:rsidRPr="00A95A16">
        <w:rPr>
          <w:rFonts w:eastAsiaTheme="minorHAnsi" w:cs="Arial"/>
          <w:b/>
          <w:bCs/>
          <w:i/>
          <w:noProof/>
          <w:color w:val="FF0000"/>
          <w:szCs w:val="20"/>
          <w:lang w:val="sl-SI" w:eastAsia="sl-SI"/>
        </w:rPr>
        <mc:AlternateContent>
          <mc:Choice Requires="wpc">
            <w:drawing>
              <wp:inline distT="0" distB="0" distL="0" distR="0" wp14:anchorId="32D23B5B" wp14:editId="463BDB1D">
                <wp:extent cx="5822950" cy="717550"/>
                <wp:effectExtent l="0" t="0" r="0" b="25400"/>
                <wp:docPr id="226" name="Platno 22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99" name="AutoShape 4"/>
                        <wps:cNvSpPr>
                          <a:spLocks noChangeArrowheads="1"/>
                        </wps:cNvSpPr>
                        <wps:spPr bwMode="auto">
                          <a:xfrm>
                            <a:off x="292100" y="283210"/>
                            <a:ext cx="1422400" cy="377190"/>
                          </a:xfrm>
                          <a:prstGeom prst="rightArrow">
                            <a:avLst>
                              <a:gd name="adj1" fmla="val 50000"/>
                              <a:gd name="adj2" fmla="val 90909"/>
                            </a:avLst>
                          </a:prstGeom>
                          <a:solidFill>
                            <a:srgbClr val="FFFFCC"/>
                          </a:solidFill>
                          <a:ln w="12700">
                            <a:solidFill>
                              <a:srgbClr val="000000"/>
                            </a:solidFill>
                            <a:miter lim="800000"/>
                            <a:headEnd type="none" w="sm" len="sm"/>
                            <a:tailEnd type="none" w="sm" len="sm"/>
                          </a:ln>
                          <a:effectLst/>
                          <a:extLst>
                            <a:ext uri="{AF507438-7753-43E0-B8FC-AC1667EBCBE1}">
                              <a14:hiddenEffects xmlns:a14="http://schemas.microsoft.com/office/drawing/2010/main">
                                <a:effectLst>
                                  <a:outerShdw dist="35921" dir="2700000" algn="ctr" rotWithShape="0">
                                    <a:srgbClr val="FFFFFF"/>
                                  </a:outerShdw>
                                </a:effectLst>
                              </a14:hiddenEffects>
                            </a:ext>
                          </a:extLst>
                        </wps:spPr>
                        <wps:txbx>
                          <w:txbxContent>
                            <w:p w:rsidR="001323F1" w:rsidRPr="00266ABB" w:rsidRDefault="001323F1" w:rsidP="003B2707">
                              <w:pPr>
                                <w:autoSpaceDE w:val="0"/>
                                <w:autoSpaceDN w:val="0"/>
                                <w:adjustRightInd w:val="0"/>
                                <w:jc w:val="center"/>
                                <w:rPr>
                                  <w:rFonts w:cs="Arial"/>
                                  <w:b/>
                                  <w:bCs/>
                                  <w:color w:val="000000"/>
                                  <w:sz w:val="16"/>
                                  <w:szCs w:val="16"/>
                                  <w:lang w:val="en-GB"/>
                                  <w14:shadow w14:blurRad="50800" w14:dist="38100" w14:dir="2700000" w14:sx="100000" w14:sy="100000" w14:kx="0" w14:ky="0" w14:algn="tl">
                                    <w14:srgbClr w14:val="000000">
                                      <w14:alpha w14:val="60000"/>
                                    </w14:srgbClr>
                                  </w14:shadow>
                                </w:rPr>
                              </w:pPr>
                              <w:r w:rsidRPr="00266ABB">
                                <w:rPr>
                                  <w:rFonts w:cs="Arial"/>
                                  <w:b/>
                                  <w:bCs/>
                                  <w:color w:val="000000"/>
                                  <w:sz w:val="16"/>
                                  <w:szCs w:val="16"/>
                                  <w14:shadow w14:blurRad="50800" w14:dist="38100" w14:dir="2700000" w14:sx="100000" w14:sy="100000" w14:kx="0" w14:ky="0" w14:algn="tl">
                                    <w14:srgbClr w14:val="000000">
                                      <w14:alpha w14:val="60000"/>
                                    </w14:srgbClr>
                                  </w14:shadow>
                                </w:rPr>
                                <w:t>ZAPRTI SISTEMI</w:t>
                              </w:r>
                            </w:p>
                          </w:txbxContent>
                        </wps:txbx>
                        <wps:bodyPr rot="0" vert="horz" wrap="square" lIns="64922" tIns="32461" rIns="64922" bIns="32461" anchor="ctr" anchorCtr="0" upright="1">
                          <a:noAutofit/>
                        </wps:bodyPr>
                      </wps:wsp>
                      <wps:wsp>
                        <wps:cNvPr id="100" name="Rectangle 6"/>
                        <wps:cNvSpPr>
                          <a:spLocks noChangeArrowheads="1"/>
                        </wps:cNvSpPr>
                        <wps:spPr bwMode="auto">
                          <a:xfrm>
                            <a:off x="1714500" y="0"/>
                            <a:ext cx="2197100" cy="353060"/>
                          </a:xfrm>
                          <a:prstGeom prst="rect">
                            <a:avLst/>
                          </a:prstGeom>
                          <a:noFill/>
                          <a:ln>
                            <a:noFill/>
                          </a:ln>
                          <a:effectLst/>
                          <a:extLst>
                            <a:ext uri="{909E8E84-426E-40DD-AFC4-6F175D3DCCD1}">
                              <a14:hiddenFill xmlns:a14="http://schemas.microsoft.com/office/drawing/2010/main">
                                <a:solidFill>
                                  <a:srgbClr val="FFFFCC"/>
                                </a:solidFill>
                              </a14:hiddenFill>
                            </a:ext>
                            <a:ext uri="{91240B29-F687-4F45-9708-019B960494DF}">
                              <a14:hiddenLine xmlns:a14="http://schemas.microsoft.com/office/drawing/2010/main" w="12700">
                                <a:solidFill>
                                  <a:srgbClr val="000000"/>
                                </a:solidFill>
                                <a:miter lim="800000"/>
                                <a:headEnd type="none" w="sm" len="sm"/>
                                <a:tailEnd type="none" w="sm" len="sm"/>
                              </a14:hiddenLine>
                            </a:ext>
                            <a:ext uri="{AF507438-7753-43E0-B8FC-AC1667EBCBE1}">
                              <a14:hiddenEffects xmlns:a14="http://schemas.microsoft.com/office/drawing/2010/main">
                                <a:effectLst/>
                              </a14:hiddenEffects>
                            </a:ext>
                          </a:extLst>
                        </wps:spPr>
                        <wps:txbx>
                          <w:txbxContent>
                            <w:p w:rsidR="001323F1" w:rsidRPr="0086191C" w:rsidRDefault="001323F1" w:rsidP="003B2707">
                              <w:pPr>
                                <w:autoSpaceDE w:val="0"/>
                                <w:autoSpaceDN w:val="0"/>
                                <w:adjustRightInd w:val="0"/>
                                <w:rPr>
                                  <w:rFonts w:cs="Arial"/>
                                  <w:b/>
                                  <w:bCs/>
                                  <w:color w:val="000099"/>
                                  <w:sz w:val="16"/>
                                  <w:szCs w:val="16"/>
                                  <w:lang w:val="en-GB"/>
                                </w:rPr>
                              </w:pPr>
                              <w:r>
                                <w:rPr>
                                  <w:rFonts w:cs="Arial"/>
                                  <w:b/>
                                  <w:bCs/>
                                  <w:color w:val="000099"/>
                                  <w:sz w:val="16"/>
                                  <w:szCs w:val="16"/>
                                </w:rPr>
                                <w:t>SPROŠČANJE V POSKUSNE  NAMENE – poljski poskusi, genska terapija, itd.</w:t>
                              </w:r>
                            </w:p>
                          </w:txbxContent>
                        </wps:txbx>
                        <wps:bodyPr rot="0" vert="horz" wrap="square" lIns="91440" tIns="45720" rIns="91440" bIns="45720" anchor="t" anchorCtr="0" upright="1">
                          <a:noAutofit/>
                        </wps:bodyPr>
                      </wps:wsp>
                      <wps:wsp>
                        <wps:cNvPr id="101" name="Rectangle 7"/>
                        <wps:cNvSpPr>
                          <a:spLocks noChangeArrowheads="1"/>
                        </wps:cNvSpPr>
                        <wps:spPr bwMode="auto">
                          <a:xfrm>
                            <a:off x="4000500" y="0"/>
                            <a:ext cx="1174750" cy="196850"/>
                          </a:xfrm>
                          <a:prstGeom prst="rect">
                            <a:avLst/>
                          </a:prstGeom>
                          <a:noFill/>
                          <a:ln>
                            <a:noFill/>
                          </a:ln>
                          <a:effectLst/>
                          <a:extLst>
                            <a:ext uri="{909E8E84-426E-40DD-AFC4-6F175D3DCCD1}">
                              <a14:hiddenFill xmlns:a14="http://schemas.microsoft.com/office/drawing/2010/main">
                                <a:solidFill>
                                  <a:srgbClr val="FFFFCC"/>
                                </a:solidFill>
                              </a14:hiddenFill>
                            </a:ext>
                            <a:ext uri="{91240B29-F687-4F45-9708-019B960494DF}">
                              <a14:hiddenLine xmlns:a14="http://schemas.microsoft.com/office/drawing/2010/main" w="12700">
                                <a:solidFill>
                                  <a:srgbClr val="000000"/>
                                </a:solidFill>
                                <a:miter lim="800000"/>
                                <a:headEnd type="none" w="sm" len="sm"/>
                                <a:tailEnd type="none" w="sm" len="sm"/>
                              </a14:hiddenLine>
                            </a:ext>
                            <a:ext uri="{AF507438-7753-43E0-B8FC-AC1667EBCBE1}">
                              <a14:hiddenEffects xmlns:a14="http://schemas.microsoft.com/office/drawing/2010/main">
                                <a:effectLst/>
                              </a14:hiddenEffects>
                            </a:ext>
                          </a:extLst>
                        </wps:spPr>
                        <wps:txbx>
                          <w:txbxContent>
                            <w:p w:rsidR="001323F1" w:rsidRPr="0086191C" w:rsidRDefault="001323F1" w:rsidP="003B2707">
                              <w:pPr>
                                <w:autoSpaceDE w:val="0"/>
                                <w:autoSpaceDN w:val="0"/>
                                <w:adjustRightInd w:val="0"/>
                                <w:rPr>
                                  <w:rFonts w:cs="Arial"/>
                                  <w:b/>
                                  <w:bCs/>
                                  <w:color w:val="000099"/>
                                  <w:sz w:val="16"/>
                                  <w:szCs w:val="16"/>
                                  <w:lang w:val="en-GB"/>
                                </w:rPr>
                              </w:pPr>
                              <w:r w:rsidRPr="0086191C">
                                <w:rPr>
                                  <w:rFonts w:cs="Arial"/>
                                  <w:b/>
                                  <w:bCs/>
                                  <w:color w:val="000099"/>
                                  <w:sz w:val="16"/>
                                  <w:szCs w:val="16"/>
                                </w:rPr>
                                <w:t>DAJANJE NA TRG</w:t>
                              </w:r>
                            </w:p>
                          </w:txbxContent>
                        </wps:txbx>
                        <wps:bodyPr rot="0" vert="horz" wrap="square" lIns="91440" tIns="45720" rIns="91440" bIns="45720" anchor="t" anchorCtr="0" upright="1">
                          <a:noAutofit/>
                        </wps:bodyPr>
                      </wps:wsp>
                      <wps:wsp>
                        <wps:cNvPr id="102" name="Rectangle 8"/>
                        <wps:cNvSpPr>
                          <a:spLocks noChangeArrowheads="1"/>
                        </wps:cNvSpPr>
                        <wps:spPr bwMode="auto">
                          <a:xfrm>
                            <a:off x="120650" y="0"/>
                            <a:ext cx="1659890" cy="421640"/>
                          </a:xfrm>
                          <a:prstGeom prst="rect">
                            <a:avLst/>
                          </a:prstGeom>
                          <a:noFill/>
                          <a:ln>
                            <a:noFill/>
                          </a:ln>
                          <a:effectLst/>
                          <a:extLst>
                            <a:ext uri="{909E8E84-426E-40DD-AFC4-6F175D3DCCD1}">
                              <a14:hiddenFill xmlns:a14="http://schemas.microsoft.com/office/drawing/2010/main">
                                <a:solidFill>
                                  <a:srgbClr val="FFFFCC"/>
                                </a:solidFill>
                              </a14:hiddenFill>
                            </a:ext>
                            <a:ext uri="{91240B29-F687-4F45-9708-019B960494DF}">
                              <a14:hiddenLine xmlns:a14="http://schemas.microsoft.com/office/drawing/2010/main" w="12700">
                                <a:solidFill>
                                  <a:srgbClr val="000000"/>
                                </a:solidFill>
                                <a:miter lim="800000"/>
                                <a:headEnd type="none" w="sm" len="sm"/>
                                <a:tailEnd type="none" w="sm" len="sm"/>
                              </a14:hiddenLine>
                            </a:ext>
                            <a:ext uri="{AF507438-7753-43E0-B8FC-AC1667EBCBE1}">
                              <a14:hiddenEffects xmlns:a14="http://schemas.microsoft.com/office/drawing/2010/main">
                                <a:effectLst/>
                              </a14:hiddenEffects>
                            </a:ext>
                          </a:extLst>
                        </wps:spPr>
                        <wps:txbx>
                          <w:txbxContent>
                            <w:p w:rsidR="001323F1" w:rsidRPr="0086191C" w:rsidRDefault="001323F1" w:rsidP="003B2707">
                              <w:pPr>
                                <w:autoSpaceDE w:val="0"/>
                                <w:autoSpaceDN w:val="0"/>
                                <w:adjustRightInd w:val="0"/>
                                <w:jc w:val="center"/>
                                <w:rPr>
                                  <w:rFonts w:cs="Arial"/>
                                  <w:b/>
                                  <w:bCs/>
                                  <w:color w:val="000099"/>
                                  <w:sz w:val="16"/>
                                  <w:szCs w:val="16"/>
                                  <w:lang w:val="en-GB"/>
                                </w:rPr>
                              </w:pPr>
                              <w:r w:rsidRPr="0086191C">
                                <w:rPr>
                                  <w:rFonts w:cs="Arial"/>
                                  <w:b/>
                                  <w:bCs/>
                                  <w:color w:val="000099"/>
                                  <w:sz w:val="16"/>
                                  <w:szCs w:val="16"/>
                                </w:rPr>
                                <w:t>LABORATORIJ</w:t>
                              </w:r>
                              <w:r>
                                <w:rPr>
                                  <w:rFonts w:cs="Arial"/>
                                  <w:b/>
                                  <w:bCs/>
                                  <w:color w:val="000099"/>
                                  <w:sz w:val="16"/>
                                  <w:szCs w:val="16"/>
                                </w:rPr>
                                <w:t xml:space="preserve"> </w:t>
                              </w:r>
                              <w:r w:rsidRPr="0086191C">
                                <w:rPr>
                                  <w:rFonts w:cs="Arial"/>
                                  <w:b/>
                                  <w:bCs/>
                                  <w:color w:val="000099"/>
                                  <w:sz w:val="16"/>
                                  <w:szCs w:val="16"/>
                                </w:rPr>
                                <w:t>/</w:t>
                              </w:r>
                              <w:r>
                                <w:rPr>
                                  <w:rFonts w:cs="Arial"/>
                                  <w:b/>
                                  <w:bCs/>
                                  <w:color w:val="000099"/>
                                  <w:sz w:val="16"/>
                                  <w:szCs w:val="16"/>
                                </w:rPr>
                                <w:t xml:space="preserve"> RASTLINJAK / </w:t>
                              </w:r>
                              <w:r w:rsidRPr="0086191C">
                                <w:rPr>
                                  <w:rFonts w:cs="Arial"/>
                                  <w:b/>
                                  <w:bCs/>
                                  <w:color w:val="000099"/>
                                  <w:sz w:val="16"/>
                                  <w:szCs w:val="16"/>
                                </w:rPr>
                                <w:t>OBRAT</w:t>
                              </w:r>
                            </w:p>
                          </w:txbxContent>
                        </wps:txbx>
                        <wps:bodyPr rot="0" vert="horz" wrap="square" lIns="91440" tIns="45720" rIns="91440" bIns="45720" anchor="t" anchorCtr="0" upright="1">
                          <a:spAutoFit/>
                        </wps:bodyPr>
                      </wps:wsp>
                      <wps:wsp>
                        <wps:cNvPr id="103" name="AutoShape 5"/>
                        <wps:cNvSpPr>
                          <a:spLocks noChangeArrowheads="1"/>
                        </wps:cNvSpPr>
                        <wps:spPr bwMode="auto">
                          <a:xfrm>
                            <a:off x="1697355" y="219710"/>
                            <a:ext cx="3789045" cy="491490"/>
                          </a:xfrm>
                          <a:prstGeom prst="rightArrow">
                            <a:avLst>
                              <a:gd name="adj1" fmla="val 37080"/>
                              <a:gd name="adj2" fmla="val 79038"/>
                            </a:avLst>
                          </a:prstGeom>
                          <a:solidFill>
                            <a:srgbClr val="FFFFCC"/>
                          </a:solidFill>
                          <a:ln w="12700">
                            <a:solidFill>
                              <a:srgbClr val="000000"/>
                            </a:solidFill>
                            <a:miter lim="800000"/>
                            <a:headEnd type="none" w="sm" len="sm"/>
                            <a:tailEnd type="none" w="sm" len="sm"/>
                          </a:ln>
                          <a:effectLst/>
                          <a:extLst>
                            <a:ext uri="{AF507438-7753-43E0-B8FC-AC1667EBCBE1}">
                              <a14:hiddenEffects xmlns:a14="http://schemas.microsoft.com/office/drawing/2010/main">
                                <a:effectLst>
                                  <a:outerShdw dist="35921" dir="2700000" algn="ctr" rotWithShape="0">
                                    <a:srgbClr val="FFFFFF"/>
                                  </a:outerShdw>
                                </a:effectLst>
                              </a14:hiddenEffects>
                            </a:ext>
                          </a:extLst>
                        </wps:spPr>
                        <wps:txbx>
                          <w:txbxContent>
                            <w:p w:rsidR="001323F1" w:rsidRPr="00266ABB" w:rsidRDefault="001323F1" w:rsidP="003B2707">
                              <w:pPr>
                                <w:autoSpaceDE w:val="0"/>
                                <w:autoSpaceDN w:val="0"/>
                                <w:adjustRightInd w:val="0"/>
                                <w:rPr>
                                  <w:rFonts w:cs="Arial"/>
                                  <w:b/>
                                  <w:bCs/>
                                  <w:color w:val="000000"/>
                                  <w:sz w:val="16"/>
                                  <w:szCs w:val="16"/>
                                  <w14:shadow w14:blurRad="50800" w14:dist="38100" w14:dir="2700000" w14:sx="100000" w14:sy="100000" w14:kx="0" w14:ky="0" w14:algn="tl">
                                    <w14:srgbClr w14:val="000000">
                                      <w14:alpha w14:val="60000"/>
                                    </w14:srgbClr>
                                  </w14:shadow>
                                </w:rPr>
                              </w:pPr>
                              <w:r>
                                <w:rPr>
                                  <w:rFonts w:cs="Arial"/>
                                  <w:b/>
                                  <w:bCs/>
                                  <w:color w:val="000000"/>
                                  <w:sz w:val="16"/>
                                  <w:szCs w:val="16"/>
                                  <w14:shadow w14:blurRad="50800" w14:dist="38100" w14:dir="2700000" w14:sx="100000" w14:sy="100000" w14:kx="0" w14:ky="0" w14:algn="tl">
                                    <w14:srgbClr w14:val="000000">
                                      <w14:alpha w14:val="60000"/>
                                    </w14:srgbClr>
                                  </w14:shadow>
                                </w:rPr>
                                <w:t xml:space="preserve">NAMERNO SPROŠČANJE V OKOLJE          </w:t>
                              </w:r>
                              <w:r w:rsidRPr="00266ABB">
                                <w:rPr>
                                  <w:rFonts w:cs="Arial"/>
                                  <w:b/>
                                  <w:bCs/>
                                  <w:color w:val="000000"/>
                                  <w:sz w:val="16"/>
                                  <w:szCs w:val="16"/>
                                  <w14:shadow w14:blurRad="50800" w14:dist="38100" w14:dir="2700000" w14:sx="100000" w14:sy="100000" w14:kx="0" w14:ky="0" w14:algn="tl">
                                    <w14:srgbClr w14:val="000000">
                                      <w14:alpha w14:val="60000"/>
                                    </w14:srgbClr>
                                  </w14:shadow>
                                </w:rPr>
                                <w:t xml:space="preserve"> DAJANJE NA TRG</w:t>
                              </w:r>
                            </w:p>
                            <w:p w:rsidR="001323F1" w:rsidRPr="00266ABB" w:rsidRDefault="001323F1" w:rsidP="003B2707">
                              <w:pPr>
                                <w:autoSpaceDE w:val="0"/>
                                <w:autoSpaceDN w:val="0"/>
                                <w:adjustRightInd w:val="0"/>
                                <w:jc w:val="center"/>
                                <w:rPr>
                                  <w:rFonts w:cs="Arial"/>
                                  <w:b/>
                                  <w:bCs/>
                                  <w:color w:val="000000"/>
                                  <w:sz w:val="16"/>
                                  <w:szCs w:val="16"/>
                                  <w:lang w:val="en-GB"/>
                                  <w14:shadow w14:blurRad="50800" w14:dist="38100" w14:dir="2700000" w14:sx="100000" w14:sy="100000" w14:kx="0" w14:ky="0" w14:algn="tl">
                                    <w14:srgbClr w14:val="000000">
                                      <w14:alpha w14:val="60000"/>
                                    </w14:srgbClr>
                                  </w14:shadow>
                                </w:rPr>
                              </w:pPr>
                              <w:r w:rsidRPr="00266ABB">
                                <w:rPr>
                                  <w:rFonts w:cs="Arial"/>
                                  <w:b/>
                                  <w:bCs/>
                                  <w:color w:val="000000"/>
                                  <w:sz w:val="16"/>
                                  <w:szCs w:val="16"/>
                                  <w14:shadow w14:blurRad="50800" w14:dist="38100" w14:dir="2700000" w14:sx="100000" w14:sy="100000" w14:kx="0" w14:ky="0" w14:algn="tl">
                                    <w14:srgbClr w14:val="000000">
                                      <w14:alpha w14:val="60000"/>
                                    </w14:srgbClr>
                                  </w14:shadow>
                                </w:rPr>
                                <w:t>(GENSKA TERAPIJA)</w:t>
                              </w:r>
                            </w:p>
                          </w:txbxContent>
                        </wps:txbx>
                        <wps:bodyPr rot="0" vert="horz" wrap="square" lIns="64922" tIns="32461" rIns="64922" bIns="32461" anchor="ctr" anchorCtr="0" upright="1">
                          <a:noAutofit/>
                        </wps:bodyPr>
                      </wps:wsp>
                    </wpc:wpc>
                  </a:graphicData>
                </a:graphic>
              </wp:inline>
            </w:drawing>
          </mc:Choice>
          <mc:Fallback>
            <w:pict>
              <v:group w14:anchorId="32D23B5B" id="Platno 226" o:spid="_x0000_s1030" editas="canvas" style="width:458.5pt;height:56.5pt;mso-position-horizontal-relative:char;mso-position-vertical-relative:line" coordsize="58229,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width:58229;height:7175;visibility:visible;mso-wrap-style:square">
                  <v:fill o:detectmouseclick="t"/>
                  <v:path o:connecttype="none"/>
                </v:shape>
                <v:shape id="AutoShape 4" o:spid="_x0000_s1032" type="#_x0000_t13" style="position:absolute;left:2921;top:2832;width:14224;height:37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GtXcQA&#10;AADbAAAADwAAAGRycy9kb3ducmV2LnhtbESPzWrDMBCE74W+g9hCb7XcFJrYiWJMoSSXUvJ3yG1j&#10;bWxTayUsxXHfvioEchxm5htmUYymEwP1vrWs4DVJQRBXVrdcK9jvPl9mIHxA1thZJgW/5KFYPj4s&#10;MNf2yhsatqEWEcI+RwVNCC6X0lcNGfSJdcTRO9veYIiyr6Xu8RrhppOTNH2XBluOCw06+mio+tle&#10;jAL3VdanYzs9THD4DtNszSvj3pR6fhrLOYhAY7iHb+21VpBl8P8l/gC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hrV3EAAAA2wAAAA8AAAAAAAAAAAAAAAAAmAIAAGRycy9k&#10;b3ducmV2LnhtbFBLBQYAAAAABAAEAPUAAACJAwAAAAA=&#10;" adj="16393" fillcolor="#ffc" strokeweight="1pt">
                  <v:stroke startarrowwidth="narrow" startarrowlength="short" endarrowwidth="narrow" endarrowlength="short"/>
                  <v:shadow color="white"/>
                  <v:textbox inset="1.80339mm,.90169mm,1.80339mm,.90169mm">
                    <w:txbxContent>
                      <w:p w:rsidR="001323F1" w:rsidRPr="00266ABB" w:rsidRDefault="001323F1" w:rsidP="003B2707">
                        <w:pPr>
                          <w:autoSpaceDE w:val="0"/>
                          <w:autoSpaceDN w:val="0"/>
                          <w:adjustRightInd w:val="0"/>
                          <w:jc w:val="center"/>
                          <w:rPr>
                            <w:rFonts w:cs="Arial"/>
                            <w:b/>
                            <w:bCs/>
                            <w:color w:val="000000"/>
                            <w:sz w:val="16"/>
                            <w:szCs w:val="16"/>
                            <w:lang w:val="en-GB"/>
                            <w14:shadow w14:blurRad="50800" w14:dist="38100" w14:dir="2700000" w14:sx="100000" w14:sy="100000" w14:kx="0" w14:ky="0" w14:algn="tl">
                              <w14:srgbClr w14:val="000000">
                                <w14:alpha w14:val="60000"/>
                              </w14:srgbClr>
                            </w14:shadow>
                          </w:rPr>
                        </w:pPr>
                        <w:r w:rsidRPr="00266ABB">
                          <w:rPr>
                            <w:rFonts w:cs="Arial"/>
                            <w:b/>
                            <w:bCs/>
                            <w:color w:val="000000"/>
                            <w:sz w:val="16"/>
                            <w:szCs w:val="16"/>
                            <w14:shadow w14:blurRad="50800" w14:dist="38100" w14:dir="2700000" w14:sx="100000" w14:sy="100000" w14:kx="0" w14:ky="0" w14:algn="tl">
                              <w14:srgbClr w14:val="000000">
                                <w14:alpha w14:val="60000"/>
                              </w14:srgbClr>
                            </w14:shadow>
                          </w:rPr>
                          <w:t>ZAPRTI SISTEMI</w:t>
                        </w:r>
                      </w:p>
                    </w:txbxContent>
                  </v:textbox>
                </v:shape>
                <v:rect id="Rectangle 6" o:spid="_x0000_s1033" style="position:absolute;left:17145;width:21971;height:3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fuMcA&#10;AADcAAAADwAAAGRycy9kb3ducmV2LnhtbESPQUvDQBCF74L/YRnBm921tiHEbotUBIVe2krwOGTH&#10;JJqdDdm1jf31nUOhtxnem/e+WaxG36kDDbENbOFxYkARV8G1XFv43L895KBiQnbYBSYL/xRhtby9&#10;WWDhwpG3dNilWkkIxwItNCn1hdaxashjnISeWLTvMHhMsg61dgMeJdx3empMpj22LA0N9rRuqPrd&#10;/XkLXz/l60fI5+Umz2Zhc3o6zUqzt/b+bnx5BpVoTFfz5frdCb4RfHlGJtDL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f37jHAAAA3AAAAA8AAAAAAAAAAAAAAAAAmAIAAGRy&#10;cy9kb3ducmV2LnhtbFBLBQYAAAAABAAEAPUAAACMAwAAAAA=&#10;" filled="f" fillcolor="#ffc" stroked="f" strokeweight="1pt">
                  <v:stroke startarrowwidth="narrow" startarrowlength="short" endarrowwidth="narrow" endarrowlength="short"/>
                  <v:textbox>
                    <w:txbxContent>
                      <w:p w:rsidR="001323F1" w:rsidRPr="0086191C" w:rsidRDefault="001323F1" w:rsidP="003B2707">
                        <w:pPr>
                          <w:autoSpaceDE w:val="0"/>
                          <w:autoSpaceDN w:val="0"/>
                          <w:adjustRightInd w:val="0"/>
                          <w:rPr>
                            <w:rFonts w:cs="Arial"/>
                            <w:b/>
                            <w:bCs/>
                            <w:color w:val="000099"/>
                            <w:sz w:val="16"/>
                            <w:szCs w:val="16"/>
                            <w:lang w:val="en-GB"/>
                          </w:rPr>
                        </w:pPr>
                        <w:r>
                          <w:rPr>
                            <w:rFonts w:cs="Arial"/>
                            <w:b/>
                            <w:bCs/>
                            <w:color w:val="000099"/>
                            <w:sz w:val="16"/>
                            <w:szCs w:val="16"/>
                          </w:rPr>
                          <w:t>SPROŠČANJE V POSKUSNE  NAMENE – poljski poskusi, genska terapija, itd.</w:t>
                        </w:r>
                      </w:p>
                    </w:txbxContent>
                  </v:textbox>
                </v:rect>
                <v:rect id="_x0000_s1034" style="position:absolute;left:40005;width:11747;height:19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N6I8QA&#10;AADcAAAADwAAAGRycy9kb3ducmV2LnhtbERPTWvCQBC9F/wPywje6q6tlZBmFakULHipltDjkB2T&#10;aHY2ZNeY+uu7BaG3ebzPyVaDbURPna8da5hNFQjiwpmaSw1fh/fHBIQPyAYbx6ThhzyslqOHDFPj&#10;rvxJ/T6UIoawT1FDFUKbSumLiiz6qWuJI3d0ncUQYVdK0+E1httGPim1kBZrjg0VtvRWUXHeX6yG&#10;71O++XDJS75LFnO3uz3f5rk6aD0ZD+tXEIGG8C++u7cmzlcz+HsmXi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TeiPEAAAA3AAAAA8AAAAAAAAAAAAAAAAAmAIAAGRycy9k&#10;b3ducmV2LnhtbFBLBQYAAAAABAAEAPUAAACJAwAAAAA=&#10;" filled="f" fillcolor="#ffc" stroked="f" strokeweight="1pt">
                  <v:stroke startarrowwidth="narrow" startarrowlength="short" endarrowwidth="narrow" endarrowlength="short"/>
                  <v:textbox>
                    <w:txbxContent>
                      <w:p w:rsidR="001323F1" w:rsidRPr="0086191C" w:rsidRDefault="001323F1" w:rsidP="003B2707">
                        <w:pPr>
                          <w:autoSpaceDE w:val="0"/>
                          <w:autoSpaceDN w:val="0"/>
                          <w:adjustRightInd w:val="0"/>
                          <w:rPr>
                            <w:rFonts w:cs="Arial"/>
                            <w:b/>
                            <w:bCs/>
                            <w:color w:val="000099"/>
                            <w:sz w:val="16"/>
                            <w:szCs w:val="16"/>
                            <w:lang w:val="en-GB"/>
                          </w:rPr>
                        </w:pPr>
                        <w:r w:rsidRPr="0086191C">
                          <w:rPr>
                            <w:rFonts w:cs="Arial"/>
                            <w:b/>
                            <w:bCs/>
                            <w:color w:val="000099"/>
                            <w:sz w:val="16"/>
                            <w:szCs w:val="16"/>
                          </w:rPr>
                          <w:t>DAJANJE NA TRG</w:t>
                        </w:r>
                      </w:p>
                    </w:txbxContent>
                  </v:textbox>
                </v:rect>
                <v:rect id="Rectangle 8" o:spid="_x0000_s1035" style="position:absolute;left:1206;width:16599;height:4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rnu8AA&#10;AADcAAAADwAAAGRycy9kb3ducmV2LnhtbERPTYvCMBC9C/sfwix4EU2toNI1igiC4Mla9Do2s22x&#10;mZQmav33RhC8zeN9zmLVmVrcqXWVZQXjUQSCOLe64kJBdtwO5yCcR9ZYWyYFT3KwWv70Fpho++AD&#10;3VNfiBDCLkEFpfdNIqXLSzLoRrYhDty/bQ36ANtC6hYfIdzUMo6iqTRYcWgosaFNSfk1vRkFg3R/&#10;yfz5er5NLvu4mJ7yWUZOqf5vt/4D4anzX/HHvdNhfhTD+5lwgV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2rnu8AAAADcAAAADwAAAAAAAAAAAAAAAACYAgAAZHJzL2Rvd25y&#10;ZXYueG1sUEsFBgAAAAAEAAQA9QAAAIUDAAAAAA==&#10;" filled="f" fillcolor="#ffc" stroked="f" strokeweight="1pt">
                  <v:stroke startarrowwidth="narrow" startarrowlength="short" endarrowwidth="narrow" endarrowlength="short"/>
                  <v:textbox style="mso-fit-shape-to-text:t">
                    <w:txbxContent>
                      <w:p w:rsidR="001323F1" w:rsidRPr="0086191C" w:rsidRDefault="001323F1" w:rsidP="003B2707">
                        <w:pPr>
                          <w:autoSpaceDE w:val="0"/>
                          <w:autoSpaceDN w:val="0"/>
                          <w:adjustRightInd w:val="0"/>
                          <w:jc w:val="center"/>
                          <w:rPr>
                            <w:rFonts w:cs="Arial"/>
                            <w:b/>
                            <w:bCs/>
                            <w:color w:val="000099"/>
                            <w:sz w:val="16"/>
                            <w:szCs w:val="16"/>
                            <w:lang w:val="en-GB"/>
                          </w:rPr>
                        </w:pPr>
                        <w:r w:rsidRPr="0086191C">
                          <w:rPr>
                            <w:rFonts w:cs="Arial"/>
                            <w:b/>
                            <w:bCs/>
                            <w:color w:val="000099"/>
                            <w:sz w:val="16"/>
                            <w:szCs w:val="16"/>
                          </w:rPr>
                          <w:t>LABORATORIJ</w:t>
                        </w:r>
                        <w:r>
                          <w:rPr>
                            <w:rFonts w:cs="Arial"/>
                            <w:b/>
                            <w:bCs/>
                            <w:color w:val="000099"/>
                            <w:sz w:val="16"/>
                            <w:szCs w:val="16"/>
                          </w:rPr>
                          <w:t xml:space="preserve"> </w:t>
                        </w:r>
                        <w:r w:rsidRPr="0086191C">
                          <w:rPr>
                            <w:rFonts w:cs="Arial"/>
                            <w:b/>
                            <w:bCs/>
                            <w:color w:val="000099"/>
                            <w:sz w:val="16"/>
                            <w:szCs w:val="16"/>
                          </w:rPr>
                          <w:t>/</w:t>
                        </w:r>
                        <w:r>
                          <w:rPr>
                            <w:rFonts w:cs="Arial"/>
                            <w:b/>
                            <w:bCs/>
                            <w:color w:val="000099"/>
                            <w:sz w:val="16"/>
                            <w:szCs w:val="16"/>
                          </w:rPr>
                          <w:t xml:space="preserve"> RASTLINJAK / </w:t>
                        </w:r>
                        <w:r w:rsidRPr="0086191C">
                          <w:rPr>
                            <w:rFonts w:cs="Arial"/>
                            <w:b/>
                            <w:bCs/>
                            <w:color w:val="000099"/>
                            <w:sz w:val="16"/>
                            <w:szCs w:val="16"/>
                          </w:rPr>
                          <w:t>OBRAT</w:t>
                        </w:r>
                      </w:p>
                    </w:txbxContent>
                  </v:textbox>
                </v:rect>
                <v:shape id="AutoShape 5" o:spid="_x0000_s1036" type="#_x0000_t13" style="position:absolute;left:16973;top:2197;width:37891;height:49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SS8MEA&#10;AADcAAAADwAAAGRycy9kb3ducmV2LnhtbERPzWoCMRC+F3yHMEJvNbEFK6tRRFrqwQquPsCwGXcX&#10;N5NlE93o0xuh0Nt8fL8zX0bbiCt1vnasYTxSIIgLZ2ouNRwP329TED4gG2wck4YbeVguBi9zzIzr&#10;eU/XPJQihbDPUEMVQptJ6YuKLPqRa4kTd3KdxZBgV0rTYZ/CbSPflZpIizWnhgpbWldUnPOL1dBL&#10;vsfPe9y2u93Pb2kuX8UpKK1fh3E1AxEohn/xn3tj0nz1Ac9n0gV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6EkvDBAAAA3AAAAA8AAAAAAAAAAAAAAAAAmAIAAGRycy9kb3du&#10;cmV2LnhtbFBLBQYAAAAABAAEAPUAAACGAwAAAAA=&#10;" adj="19386,6795" fillcolor="#ffc" strokeweight="1pt">
                  <v:stroke startarrowwidth="narrow" startarrowlength="short" endarrowwidth="narrow" endarrowlength="short"/>
                  <v:shadow color="white"/>
                  <v:textbox inset="1.80339mm,.90169mm,1.80339mm,.90169mm">
                    <w:txbxContent>
                      <w:p w:rsidR="001323F1" w:rsidRPr="00266ABB" w:rsidRDefault="001323F1" w:rsidP="003B2707">
                        <w:pPr>
                          <w:autoSpaceDE w:val="0"/>
                          <w:autoSpaceDN w:val="0"/>
                          <w:adjustRightInd w:val="0"/>
                          <w:rPr>
                            <w:rFonts w:cs="Arial"/>
                            <w:b/>
                            <w:bCs/>
                            <w:color w:val="000000"/>
                            <w:sz w:val="16"/>
                            <w:szCs w:val="16"/>
                            <w14:shadow w14:blurRad="50800" w14:dist="38100" w14:dir="2700000" w14:sx="100000" w14:sy="100000" w14:kx="0" w14:ky="0" w14:algn="tl">
                              <w14:srgbClr w14:val="000000">
                                <w14:alpha w14:val="60000"/>
                              </w14:srgbClr>
                            </w14:shadow>
                          </w:rPr>
                        </w:pPr>
                        <w:r>
                          <w:rPr>
                            <w:rFonts w:cs="Arial"/>
                            <w:b/>
                            <w:bCs/>
                            <w:color w:val="000000"/>
                            <w:sz w:val="16"/>
                            <w:szCs w:val="16"/>
                            <w14:shadow w14:blurRad="50800" w14:dist="38100" w14:dir="2700000" w14:sx="100000" w14:sy="100000" w14:kx="0" w14:ky="0" w14:algn="tl">
                              <w14:srgbClr w14:val="000000">
                                <w14:alpha w14:val="60000"/>
                              </w14:srgbClr>
                            </w14:shadow>
                          </w:rPr>
                          <w:t xml:space="preserve">NAMERNO SPROŠČANJE V OKOLJE          </w:t>
                        </w:r>
                        <w:r w:rsidRPr="00266ABB">
                          <w:rPr>
                            <w:rFonts w:cs="Arial"/>
                            <w:b/>
                            <w:bCs/>
                            <w:color w:val="000000"/>
                            <w:sz w:val="16"/>
                            <w:szCs w:val="16"/>
                            <w14:shadow w14:blurRad="50800" w14:dist="38100" w14:dir="2700000" w14:sx="100000" w14:sy="100000" w14:kx="0" w14:ky="0" w14:algn="tl">
                              <w14:srgbClr w14:val="000000">
                                <w14:alpha w14:val="60000"/>
                              </w14:srgbClr>
                            </w14:shadow>
                          </w:rPr>
                          <w:t xml:space="preserve"> DAJANJE NA TRG</w:t>
                        </w:r>
                      </w:p>
                      <w:p w:rsidR="001323F1" w:rsidRPr="00266ABB" w:rsidRDefault="001323F1" w:rsidP="003B2707">
                        <w:pPr>
                          <w:autoSpaceDE w:val="0"/>
                          <w:autoSpaceDN w:val="0"/>
                          <w:adjustRightInd w:val="0"/>
                          <w:jc w:val="center"/>
                          <w:rPr>
                            <w:rFonts w:cs="Arial"/>
                            <w:b/>
                            <w:bCs/>
                            <w:color w:val="000000"/>
                            <w:sz w:val="16"/>
                            <w:szCs w:val="16"/>
                            <w:lang w:val="en-GB"/>
                            <w14:shadow w14:blurRad="50800" w14:dist="38100" w14:dir="2700000" w14:sx="100000" w14:sy="100000" w14:kx="0" w14:ky="0" w14:algn="tl">
                              <w14:srgbClr w14:val="000000">
                                <w14:alpha w14:val="60000"/>
                              </w14:srgbClr>
                            </w14:shadow>
                          </w:rPr>
                        </w:pPr>
                        <w:r w:rsidRPr="00266ABB">
                          <w:rPr>
                            <w:rFonts w:cs="Arial"/>
                            <w:b/>
                            <w:bCs/>
                            <w:color w:val="000000"/>
                            <w:sz w:val="16"/>
                            <w:szCs w:val="16"/>
                            <w14:shadow w14:blurRad="50800" w14:dist="38100" w14:dir="2700000" w14:sx="100000" w14:sy="100000" w14:kx="0" w14:ky="0" w14:algn="tl">
                              <w14:srgbClr w14:val="000000">
                                <w14:alpha w14:val="60000"/>
                              </w14:srgbClr>
                            </w14:shadow>
                          </w:rPr>
                          <w:t>(GENSKA TERAPIJA)</w:t>
                        </w:r>
                      </w:p>
                    </w:txbxContent>
                  </v:textbox>
                </v:shape>
                <w10:anchorlock/>
              </v:group>
            </w:pict>
          </mc:Fallback>
        </mc:AlternateContent>
      </w:r>
    </w:p>
    <w:p w:rsidR="003B2707" w:rsidRPr="005771BD" w:rsidRDefault="003B2707" w:rsidP="003B2707">
      <w:pPr>
        <w:spacing w:after="200" w:line="276" w:lineRule="auto"/>
        <w:jc w:val="both"/>
        <w:rPr>
          <w:rFonts w:eastAsiaTheme="minorHAnsi" w:cs="Arial"/>
          <w:b/>
          <w:bCs/>
          <w:szCs w:val="20"/>
          <w:lang w:val="sl-SI"/>
        </w:rPr>
      </w:pPr>
    </w:p>
    <w:p w:rsidR="003B2707" w:rsidRPr="005771BD" w:rsidRDefault="003B2707" w:rsidP="003B2707">
      <w:pPr>
        <w:spacing w:after="200" w:line="276" w:lineRule="auto"/>
        <w:jc w:val="both"/>
        <w:rPr>
          <w:rFonts w:eastAsiaTheme="minorHAnsi" w:cs="Arial"/>
          <w:bCs/>
          <w:szCs w:val="20"/>
          <w:lang w:val="sl-SI"/>
        </w:rPr>
      </w:pPr>
      <w:r w:rsidRPr="007F272F">
        <w:rPr>
          <w:rFonts w:eastAsiaTheme="minorHAnsi" w:cs="Arial"/>
          <w:bCs/>
          <w:noProof/>
          <w:szCs w:val="20"/>
          <w:lang w:val="sl-SI" w:eastAsia="sl-SI"/>
        </w:rPr>
        <mc:AlternateContent>
          <mc:Choice Requires="wps">
            <w:drawing>
              <wp:anchor distT="0" distB="0" distL="114300" distR="114300" simplePos="0" relativeHeight="251723776" behindDoc="0" locked="0" layoutInCell="1" allowOverlap="1" wp14:anchorId="0151C533" wp14:editId="3906EAF4">
                <wp:simplePos x="0" y="0"/>
                <wp:positionH relativeFrom="column">
                  <wp:posOffset>3964813</wp:posOffset>
                </wp:positionH>
                <wp:positionV relativeFrom="paragraph">
                  <wp:posOffset>72999</wp:posOffset>
                </wp:positionV>
                <wp:extent cx="1423670" cy="190093"/>
                <wp:effectExtent l="0" t="0" r="24130" b="19685"/>
                <wp:wrapNone/>
                <wp:docPr id="104" name="Polje z besedilom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670" cy="190093"/>
                        </a:xfrm>
                        <a:prstGeom prst="rect">
                          <a:avLst/>
                        </a:prstGeom>
                        <a:noFill/>
                        <a:ln w="12700">
                          <a:solidFill>
                            <a:srgbClr val="000000"/>
                          </a:solidFill>
                          <a:miter lim="800000"/>
                          <a:headEnd/>
                          <a:tailEnd/>
                        </a:ln>
                      </wps:spPr>
                      <wps:txbx>
                        <w:txbxContent>
                          <w:p w:rsidR="001323F1" w:rsidRPr="00D62D39" w:rsidRDefault="001323F1" w:rsidP="003B2707">
                            <w:pPr>
                              <w:rPr>
                                <w:rFonts w:cs="Arial"/>
                                <w:b/>
                                <w:sz w:val="12"/>
                                <w:szCs w:val="12"/>
                              </w:rPr>
                            </w:pPr>
                            <w:r w:rsidRPr="00D62D39">
                              <w:rPr>
                                <w:rFonts w:cs="Arial"/>
                                <w:b/>
                                <w:sz w:val="12"/>
                                <w:szCs w:val="12"/>
                              </w:rPr>
                              <w:t>Uredb 1829/2003 (GS hrana/krma)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51C533" id="Polje z besedilom 104" o:spid="_x0000_s1037" type="#_x0000_t202" style="position:absolute;left:0;text-align:left;margin-left:312.2pt;margin-top:5.75pt;width:112.1pt;height:14.9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" filled="f" strokeweight="1pt">
                <v:textbox>
                  <w:txbxContent>
                    <w:p w:rsidR="001323F1" w:rsidRPr="00D62D39" w:rsidRDefault="001323F1" w:rsidP="003B2707">
                      <w:pPr>
                        <w:rPr>
                          <w:rFonts w:cs="Arial"/>
                          <w:b/>
                          <w:sz w:val="12"/>
                          <w:szCs w:val="12"/>
                        </w:rPr>
                      </w:pPr>
                      <w:r w:rsidRPr="00D62D39">
                        <w:rPr>
                          <w:rFonts w:cs="Arial"/>
                          <w:b/>
                          <w:sz w:val="12"/>
                          <w:szCs w:val="12"/>
                        </w:rPr>
                        <w:t>Uredb 1829/2003 (GS hrana/krma)</w:t>
                      </w:r>
                    </w:p>
                  </w:txbxContent>
                </v:textbox>
              </v:shape>
            </w:pict>
          </mc:Fallback>
        </mc:AlternateContent>
      </w:r>
      <w:r w:rsidRPr="00A95A16">
        <w:rPr>
          <w:rFonts w:eastAsiaTheme="minorHAnsi" w:cs="Arial"/>
          <w:noProof/>
          <w:szCs w:val="20"/>
          <w:lang w:val="sl-SI" w:eastAsia="sl-SI"/>
        </w:rPr>
        <mc:AlternateContent>
          <mc:Choice Requires="wps">
            <w:drawing>
              <wp:anchor distT="0" distB="0" distL="114300" distR="114300" simplePos="0" relativeHeight="251720704" behindDoc="0" locked="0" layoutInCell="1" allowOverlap="1" wp14:anchorId="597059AC" wp14:editId="462D0848">
                <wp:simplePos x="0" y="0"/>
                <wp:positionH relativeFrom="column">
                  <wp:posOffset>3886200</wp:posOffset>
                </wp:positionH>
                <wp:positionV relativeFrom="paragraph">
                  <wp:posOffset>239090</wp:posOffset>
                </wp:positionV>
                <wp:extent cx="1419225" cy="177800"/>
                <wp:effectExtent l="0" t="0" r="0" b="0"/>
                <wp:wrapNone/>
                <wp:docPr id="105"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177800"/>
                        </a:xfrm>
                        <a:prstGeom prst="rect">
                          <a:avLst/>
                        </a:prstGeom>
                        <a:noFill/>
                        <a:ln>
                          <a:noFill/>
                        </a:ln>
                        <a:effectLst/>
                        <a:extLst>
                          <a:ext uri="{909E8E84-426E-40DD-AFC4-6F175D3DCCD1}">
                            <a14:hiddenFill xmlns:a14="http://schemas.microsoft.com/office/drawing/2010/main">
                              <a:solidFill>
                                <a:srgbClr val="FFFFCC"/>
                              </a:solidFill>
                            </a14:hiddenFill>
                          </a:ext>
                          <a:ext uri="{91240B29-F687-4F45-9708-019B960494DF}">
                            <a14:hiddenLine xmlns:a14="http://schemas.microsoft.com/office/drawing/2010/main" w="12700">
                              <a:solidFill>
                                <a:srgbClr val="000000"/>
                              </a:solidFill>
                              <a:miter lim="800000"/>
                              <a:headEnd type="none" w="sm" len="sm"/>
                              <a:tailEnd type="none" w="sm" len="sm"/>
                            </a14:hiddenLine>
                          </a:ext>
                          <a:ext uri="{AF507438-7753-43E0-B8FC-AC1667EBCBE1}">
                            <a14:hiddenEffects xmlns:a14="http://schemas.microsoft.com/office/drawing/2010/main">
                              <a:effectLst/>
                            </a14:hiddenEffects>
                          </a:ext>
                        </a:extLst>
                      </wps:spPr>
                      <wps:txbx>
                        <w:txbxContent>
                          <w:p w:rsidR="001323F1" w:rsidRPr="004240DF" w:rsidRDefault="001323F1" w:rsidP="003B2707">
                            <w:pPr>
                              <w:autoSpaceDE w:val="0"/>
                              <w:autoSpaceDN w:val="0"/>
                              <w:adjustRightInd w:val="0"/>
                              <w:rPr>
                                <w:rFonts w:cs="Arial"/>
                                <w:b/>
                                <w:bCs/>
                                <w:color w:val="000099"/>
                                <w:sz w:val="12"/>
                                <w:szCs w:val="12"/>
                                <w:lang w:val="en-GB"/>
                              </w:rPr>
                            </w:pPr>
                            <w:r>
                              <w:rPr>
                                <w:rFonts w:cs="Arial"/>
                                <w:b/>
                                <w:bCs/>
                                <w:color w:val="000099"/>
                                <w:sz w:val="12"/>
                                <w:szCs w:val="12"/>
                              </w:rPr>
                              <w:t>MONITORING PO SPROŠČANJU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97059AC" id="Rectangle 7" o:spid="_x0000_s1038" style="position:absolute;left:0;text-align:left;margin-left:306pt;margin-top:18.85pt;width:111.75pt;height:14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" filled="f" fillcolor="#ffc" stroked="f" strokeweight="1pt">
                <v:stroke startarrowwidth="narrow" startarrowlength="short" endarrowwidth="narrow" endarrowlength="short"/>
                <v:textbox>
                  <w:txbxContent>
                    <w:p w:rsidR="001323F1" w:rsidRPr="004240DF" w:rsidRDefault="001323F1" w:rsidP="003B2707">
                      <w:pPr>
                        <w:autoSpaceDE w:val="0"/>
                        <w:autoSpaceDN w:val="0"/>
                        <w:adjustRightInd w:val="0"/>
                        <w:rPr>
                          <w:rFonts w:cs="Arial"/>
                          <w:b/>
                          <w:bCs/>
                          <w:color w:val="000099"/>
                          <w:sz w:val="12"/>
                          <w:szCs w:val="12"/>
                          <w:lang w:val="en-GB"/>
                        </w:rPr>
                      </w:pPr>
                      <w:r>
                        <w:rPr>
                          <w:rFonts w:cs="Arial"/>
                          <w:b/>
                          <w:bCs/>
                          <w:color w:val="000099"/>
                          <w:sz w:val="12"/>
                          <w:szCs w:val="12"/>
                        </w:rPr>
                        <w:t>MONITORING PO SPROŠČANJU</w:t>
                      </w:r>
                    </w:p>
                  </w:txbxContent>
                </v:textbox>
              </v:rect>
            </w:pict>
          </mc:Fallback>
        </mc:AlternateContent>
      </w:r>
      <w:r w:rsidRPr="00A95A16">
        <w:rPr>
          <w:rFonts w:eastAsiaTheme="minorHAnsi" w:cs="Arial"/>
          <w:noProof/>
          <w:szCs w:val="20"/>
          <w:lang w:val="sl-SI" w:eastAsia="sl-SI"/>
        </w:rPr>
        <mc:AlternateContent>
          <mc:Choice Requires="wps">
            <w:drawing>
              <wp:anchor distT="0" distB="0" distL="114300" distR="114300" simplePos="0" relativeHeight="251714560" behindDoc="0" locked="0" layoutInCell="1" allowOverlap="1" wp14:anchorId="48A3821B" wp14:editId="43C31861">
                <wp:simplePos x="0" y="0"/>
                <wp:positionH relativeFrom="column">
                  <wp:posOffset>1386205</wp:posOffset>
                </wp:positionH>
                <wp:positionV relativeFrom="paragraph">
                  <wp:posOffset>238760</wp:posOffset>
                </wp:positionV>
                <wp:extent cx="1193800" cy="177800"/>
                <wp:effectExtent l="0" t="0" r="0" b="0"/>
                <wp:wrapNone/>
                <wp:docPr id="106"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3800" cy="177800"/>
                        </a:xfrm>
                        <a:prstGeom prst="rect">
                          <a:avLst/>
                        </a:prstGeom>
                        <a:noFill/>
                        <a:ln>
                          <a:noFill/>
                        </a:ln>
                        <a:effectLst/>
                        <a:extLst>
                          <a:ext uri="{909E8E84-426E-40DD-AFC4-6F175D3DCCD1}">
                            <a14:hiddenFill xmlns:a14="http://schemas.microsoft.com/office/drawing/2010/main">
                              <a:solidFill>
                                <a:srgbClr val="FFFFCC"/>
                              </a:solidFill>
                            </a14:hiddenFill>
                          </a:ext>
                          <a:ext uri="{91240B29-F687-4F45-9708-019B960494DF}">
                            <a14:hiddenLine xmlns:a14="http://schemas.microsoft.com/office/drawing/2010/main" w="12700">
                              <a:solidFill>
                                <a:srgbClr val="000000"/>
                              </a:solidFill>
                              <a:miter lim="800000"/>
                              <a:headEnd type="none" w="sm" len="sm"/>
                              <a:tailEnd type="none" w="sm" len="sm"/>
                            </a14:hiddenLine>
                          </a:ext>
                          <a:ext uri="{AF507438-7753-43E0-B8FC-AC1667EBCBE1}">
                            <a14:hiddenEffects xmlns:a14="http://schemas.microsoft.com/office/drawing/2010/main">
                              <a:effectLst/>
                            </a14:hiddenEffects>
                          </a:ext>
                        </a:extLst>
                      </wps:spPr>
                      <wps:txbx>
                        <w:txbxContent>
                          <w:p w:rsidR="001323F1" w:rsidRPr="004240DF" w:rsidRDefault="001323F1" w:rsidP="003B2707">
                            <w:pPr>
                              <w:autoSpaceDE w:val="0"/>
                              <w:autoSpaceDN w:val="0"/>
                              <w:adjustRightInd w:val="0"/>
                              <w:rPr>
                                <w:rFonts w:cs="Arial"/>
                                <w:b/>
                                <w:bCs/>
                                <w:color w:val="000099"/>
                                <w:sz w:val="12"/>
                                <w:szCs w:val="12"/>
                                <w:lang w:val="en-GB"/>
                              </w:rPr>
                            </w:pPr>
                            <w:r w:rsidRPr="004240DF">
                              <w:rPr>
                                <w:rFonts w:cs="Arial"/>
                                <w:b/>
                                <w:bCs/>
                                <w:color w:val="000099"/>
                                <w:sz w:val="12"/>
                                <w:szCs w:val="12"/>
                              </w:rPr>
                              <w:t>PRED DAJANJE</w:t>
                            </w:r>
                            <w:r>
                              <w:rPr>
                                <w:rFonts w:cs="Arial"/>
                                <w:b/>
                                <w:bCs/>
                                <w:color w:val="000099"/>
                                <w:sz w:val="12"/>
                                <w:szCs w:val="12"/>
                              </w:rPr>
                              <w:t xml:space="preserve">M </w:t>
                            </w:r>
                            <w:r w:rsidRPr="004240DF">
                              <w:rPr>
                                <w:rFonts w:cs="Arial"/>
                                <w:b/>
                                <w:bCs/>
                                <w:color w:val="000099"/>
                                <w:sz w:val="12"/>
                                <w:szCs w:val="12"/>
                              </w:rPr>
                              <w:t xml:space="preserve"> NA TRG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8A3821B" id="_x0000_s1039" style="position:absolute;left:0;text-align:left;margin-left:109.15pt;margin-top:18.8pt;width:94pt;height:1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" filled="f" fillcolor="#ffc" stroked="f" strokeweight="1pt">
                <v:stroke startarrowwidth="narrow" startarrowlength="short" endarrowwidth="narrow" endarrowlength="short"/>
                <v:textbox>
                  <w:txbxContent>
                    <w:p w:rsidR="001323F1" w:rsidRPr="004240DF" w:rsidRDefault="001323F1" w:rsidP="003B2707">
                      <w:pPr>
                        <w:autoSpaceDE w:val="0"/>
                        <w:autoSpaceDN w:val="0"/>
                        <w:adjustRightInd w:val="0"/>
                        <w:rPr>
                          <w:rFonts w:cs="Arial"/>
                          <w:b/>
                          <w:bCs/>
                          <w:color w:val="000099"/>
                          <w:sz w:val="12"/>
                          <w:szCs w:val="12"/>
                          <w:lang w:val="en-GB"/>
                        </w:rPr>
                      </w:pPr>
                      <w:r w:rsidRPr="004240DF">
                        <w:rPr>
                          <w:rFonts w:cs="Arial"/>
                          <w:b/>
                          <w:bCs/>
                          <w:color w:val="000099"/>
                          <w:sz w:val="12"/>
                          <w:szCs w:val="12"/>
                        </w:rPr>
                        <w:t>PRED DAJANJE</w:t>
                      </w:r>
                      <w:r>
                        <w:rPr>
                          <w:rFonts w:cs="Arial"/>
                          <w:b/>
                          <w:bCs/>
                          <w:color w:val="000099"/>
                          <w:sz w:val="12"/>
                          <w:szCs w:val="12"/>
                        </w:rPr>
                        <w:t xml:space="preserve">M </w:t>
                      </w:r>
                      <w:r w:rsidRPr="004240DF">
                        <w:rPr>
                          <w:rFonts w:cs="Arial"/>
                          <w:b/>
                          <w:bCs/>
                          <w:color w:val="000099"/>
                          <w:sz w:val="12"/>
                          <w:szCs w:val="12"/>
                        </w:rPr>
                        <w:t xml:space="preserve"> NA TRG</w:t>
                      </w:r>
                    </w:p>
                  </w:txbxContent>
                </v:textbox>
              </v:rect>
            </w:pict>
          </mc:Fallback>
        </mc:AlternateContent>
      </w:r>
      <w:r w:rsidRPr="00A95A16">
        <w:rPr>
          <w:rFonts w:eastAsiaTheme="minorHAnsi" w:cs="Arial"/>
          <w:b/>
          <w:bCs/>
          <w:noProof/>
          <w:szCs w:val="20"/>
          <w:lang w:val="sl-SI" w:eastAsia="sl-SI"/>
        </w:rPr>
        <mc:AlternateContent>
          <mc:Choice Requires="wps">
            <w:drawing>
              <wp:anchor distT="0" distB="0" distL="114300" distR="114300" simplePos="0" relativeHeight="251713536" behindDoc="0" locked="0" layoutInCell="1" allowOverlap="1" wp14:anchorId="2E8B2186" wp14:editId="2A91D4D1">
                <wp:simplePos x="0" y="0"/>
                <wp:positionH relativeFrom="column">
                  <wp:posOffset>1691005</wp:posOffset>
                </wp:positionH>
                <wp:positionV relativeFrom="paragraph">
                  <wp:posOffset>226060</wp:posOffset>
                </wp:positionV>
                <wp:extent cx="0" cy="190500"/>
                <wp:effectExtent l="19050" t="0" r="19050" b="0"/>
                <wp:wrapNone/>
                <wp:docPr id="107" name="Raven povezovalnik 107"/>
                <wp:cNvGraphicFramePr/>
                <a:graphic xmlns:a="http://schemas.openxmlformats.org/drawingml/2006/main">
                  <a:graphicData uri="http://schemas.microsoft.com/office/word/2010/wordprocessingShape">
                    <wps:wsp>
                      <wps:cNvCnPr/>
                      <wps:spPr>
                        <a:xfrm>
                          <a:off x="0" y="0"/>
                          <a:ext cx="0" cy="190500"/>
                        </a:xfrm>
                        <a:prstGeom prst="line">
                          <a:avLst/>
                        </a:prstGeom>
                        <a:noFill/>
                        <a:ln w="38100" cap="flat" cmpd="sng" algn="ctr">
                          <a:solidFill>
                            <a:srgbClr val="FF0000"/>
                          </a:solidFill>
                          <a:prstDash val="sysDot"/>
                        </a:ln>
                        <a:effectLst/>
                      </wps:spPr>
                      <wps:bodyPr/>
                    </wps:wsp>
                  </a:graphicData>
                </a:graphic>
                <wp14:sizeRelH relativeFrom="margin">
                  <wp14:pctWidth>0</wp14:pctWidth>
                </wp14:sizeRelH>
                <wp14:sizeRelV relativeFrom="margin">
                  <wp14:pctHeight>0</wp14:pctHeight>
                </wp14:sizeRelV>
              </wp:anchor>
            </w:drawing>
          </mc:Choice>
          <mc:Fallback>
            <w:pict>
              <v:line w14:anchorId="455D4820" id="Raven povezovalnik 107" o:spid="_x0000_s1026" style="position:absolute;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3.15pt,17.8pt" to="133.15pt,3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" strokecolor="red" strokeweight="3pt">
                <v:stroke dashstyle="1 1"/>
              </v:line>
            </w:pict>
          </mc:Fallback>
        </mc:AlternateContent>
      </w:r>
      <w:r w:rsidRPr="00A95A16">
        <w:rPr>
          <w:rFonts w:eastAsiaTheme="minorHAnsi" w:cs="Arial"/>
          <w:b/>
          <w:bCs/>
          <w:noProof/>
          <w:szCs w:val="20"/>
          <w:lang w:val="sl-SI" w:eastAsia="sl-SI"/>
        </w:rPr>
        <mc:AlternateContent>
          <mc:Choice Requires="wps">
            <w:drawing>
              <wp:anchor distT="0" distB="0" distL="114300" distR="114300" simplePos="0" relativeHeight="251712512" behindDoc="0" locked="0" layoutInCell="1" allowOverlap="1" wp14:anchorId="379E262D" wp14:editId="492B546E">
                <wp:simplePos x="0" y="0"/>
                <wp:positionH relativeFrom="column">
                  <wp:posOffset>3805555</wp:posOffset>
                </wp:positionH>
                <wp:positionV relativeFrom="paragraph">
                  <wp:posOffset>238760</wp:posOffset>
                </wp:positionV>
                <wp:extent cx="0" cy="190500"/>
                <wp:effectExtent l="19050" t="0" r="19050" b="0"/>
                <wp:wrapNone/>
                <wp:docPr id="108" name="Raven povezovalnik 108"/>
                <wp:cNvGraphicFramePr/>
                <a:graphic xmlns:a="http://schemas.openxmlformats.org/drawingml/2006/main">
                  <a:graphicData uri="http://schemas.microsoft.com/office/word/2010/wordprocessingShape">
                    <wps:wsp>
                      <wps:cNvCnPr/>
                      <wps:spPr>
                        <a:xfrm>
                          <a:off x="0" y="0"/>
                          <a:ext cx="0" cy="190500"/>
                        </a:xfrm>
                        <a:prstGeom prst="line">
                          <a:avLst/>
                        </a:prstGeom>
                        <a:noFill/>
                        <a:ln w="38100" cap="flat" cmpd="sng" algn="ctr">
                          <a:solidFill>
                            <a:srgbClr val="FF0000"/>
                          </a:solidFill>
                          <a:prstDash val="sysDot"/>
                        </a:ln>
                        <a:effectLst/>
                      </wps:spPr>
                      <wps:bodyPr/>
                    </wps:wsp>
                  </a:graphicData>
                </a:graphic>
                <wp14:sizeRelH relativeFrom="margin">
                  <wp14:pctWidth>0</wp14:pctWidth>
                </wp14:sizeRelH>
                <wp14:sizeRelV relativeFrom="margin">
                  <wp14:pctHeight>0</wp14:pctHeight>
                </wp14:sizeRelV>
              </wp:anchor>
            </w:drawing>
          </mc:Choice>
          <mc:Fallback>
            <w:pict>
              <v:line w14:anchorId="2EF5ABF1" id="Raven povezovalnik 108" o:spid="_x0000_s1026" style="position:absolute;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9.65pt,18.8pt" to="299.65pt,3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" strokecolor="red" strokeweight="3pt">
                <v:stroke dashstyle="1 1"/>
              </v:line>
            </w:pict>
          </mc:Fallback>
        </mc:AlternateContent>
      </w:r>
      <w:r w:rsidRPr="00A95A16">
        <w:rPr>
          <w:rFonts w:eastAsiaTheme="minorHAnsi" w:cs="Arial"/>
          <w:bCs/>
          <w:noProof/>
          <w:szCs w:val="20"/>
          <w:lang w:val="sl-SI" w:eastAsia="sl-SI"/>
        </w:rPr>
        <mc:AlternateContent>
          <mc:Choice Requires="wps">
            <w:drawing>
              <wp:anchor distT="0" distB="0" distL="114300" distR="114300" simplePos="0" relativeHeight="251709440" behindDoc="0" locked="0" layoutInCell="1" allowOverlap="1" wp14:anchorId="1E52CFC3" wp14:editId="69F93079">
                <wp:simplePos x="0" y="0"/>
                <wp:positionH relativeFrom="column">
                  <wp:posOffset>294005</wp:posOffset>
                </wp:positionH>
                <wp:positionV relativeFrom="paragraph">
                  <wp:posOffset>73660</wp:posOffset>
                </wp:positionV>
                <wp:extent cx="5140960" cy="361950"/>
                <wp:effectExtent l="0" t="0" r="21590" b="19050"/>
                <wp:wrapNone/>
                <wp:docPr id="109" name="Pravokotnik 109"/>
                <wp:cNvGraphicFramePr/>
                <a:graphic xmlns:a="http://schemas.openxmlformats.org/drawingml/2006/main">
                  <a:graphicData uri="http://schemas.microsoft.com/office/word/2010/wordprocessingShape">
                    <wps:wsp>
                      <wps:cNvSpPr/>
                      <wps:spPr>
                        <a:xfrm>
                          <a:off x="0" y="0"/>
                          <a:ext cx="5140960" cy="361950"/>
                        </a:xfrm>
                        <a:prstGeom prst="rect">
                          <a:avLst/>
                        </a:prstGeom>
                        <a:solidFill>
                          <a:sysClr val="window" lastClr="FFFFFF"/>
                        </a:solidFill>
                        <a:ln w="25400" cap="flat" cmpd="sng" algn="ctr">
                          <a:solidFill>
                            <a:srgbClr val="F79646"/>
                          </a:solidFill>
                          <a:prstDash val="solid"/>
                        </a:ln>
                        <a:effectLst/>
                      </wps:spPr>
                      <wps:txbx>
                        <w:txbxContent>
                          <w:p w:rsidR="001323F1" w:rsidRPr="00C57D70" w:rsidRDefault="001323F1" w:rsidP="003B2707">
                            <w:pPr>
                              <w:jc w:val="center"/>
                              <w:rPr>
                                <w:b/>
                                <w:color w:val="FF0000"/>
                                <w:sz w:val="16"/>
                                <w:szCs w:val="16"/>
                                <w14:textOutline w14:w="9525" w14:cap="rnd" w14:cmpd="sng" w14:algn="ctr">
                                  <w14:solidFill>
                                    <w14:srgbClr w14:val="FF0000"/>
                                  </w14:solidFill>
                                  <w14:prstDash w14:val="solid"/>
                                  <w14:bevel/>
                                </w14:textOutline>
                              </w:rPr>
                            </w:pPr>
                            <w:r w:rsidRPr="00C57D70">
                              <w:rPr>
                                <w:b/>
                                <w:color w:val="FF0000"/>
                                <w:sz w:val="16"/>
                                <w:szCs w:val="16"/>
                                <w14:textOutline w14:w="9525" w14:cap="rnd" w14:cmpd="sng" w14:algn="ctr">
                                  <w14:solidFill>
                                    <w14:srgbClr w14:val="FF0000"/>
                                  </w14:solidFill>
                                  <w14:prstDash w14:val="solid"/>
                                  <w14:bevel/>
                                </w14:textOutline>
                              </w:rPr>
                              <w:t>OCENA TVEGANJA ZA OKOLJE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52CFC3" id="Pravokotnik 109" o:spid="_x0000_s1040" style="position:absolute;left:0;text-align:left;margin-left:23.15pt;margin-top:5.8pt;width:404.8pt;height:28.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" fillcolor="window" strokecolor="#f79646" strokeweight="2pt">
                <v:textbox>
                  <w:txbxContent>
                    <w:p w:rsidR="001323F1" w:rsidRPr="00C57D70" w:rsidRDefault="001323F1" w:rsidP="003B2707">
                      <w:pPr>
                        <w:jc w:val="center"/>
                        <w:rPr>
                          <w:b/>
                          <w:color w:val="FF0000"/>
                          <w:sz w:val="16"/>
                          <w:szCs w:val="16"/>
                          <w14:textOutline w14:w="9525" w14:cap="rnd" w14:cmpd="sng" w14:algn="ctr">
                            <w14:solidFill>
                              <w14:srgbClr w14:val="FF0000"/>
                            </w14:solidFill>
                            <w14:prstDash w14:val="solid"/>
                            <w14:bevel/>
                          </w14:textOutline>
                        </w:rPr>
                      </w:pPr>
                      <w:r w:rsidRPr="00C57D70">
                        <w:rPr>
                          <w:b/>
                          <w:color w:val="FF0000"/>
                          <w:sz w:val="16"/>
                          <w:szCs w:val="16"/>
                          <w14:textOutline w14:w="9525" w14:cap="rnd" w14:cmpd="sng" w14:algn="ctr">
                            <w14:solidFill>
                              <w14:srgbClr w14:val="FF0000"/>
                            </w14:solidFill>
                            <w14:prstDash w14:val="solid"/>
                            <w14:bevel/>
                          </w14:textOutline>
                        </w:rPr>
                        <w:t>OCENA TVEGANJA ZA OKOLJE</w:t>
                      </w:r>
                    </w:p>
                  </w:txbxContent>
                </v:textbox>
              </v:rect>
            </w:pict>
          </mc:Fallback>
        </mc:AlternateContent>
      </w:r>
    </w:p>
    <w:p w:rsidR="003B2707" w:rsidRPr="005771BD" w:rsidRDefault="003B2707" w:rsidP="003B2707">
      <w:pPr>
        <w:spacing w:after="200" w:line="276" w:lineRule="auto"/>
        <w:jc w:val="both"/>
        <w:rPr>
          <w:rFonts w:eastAsiaTheme="minorHAnsi" w:cs="Arial"/>
          <w:bCs/>
          <w:szCs w:val="20"/>
          <w:lang w:val="sl-SI"/>
        </w:rPr>
      </w:pPr>
      <w:r w:rsidRPr="007F272F">
        <w:rPr>
          <w:rFonts w:eastAsiaTheme="minorHAnsi" w:cs="Arial"/>
          <w:bCs/>
          <w:noProof/>
          <w:szCs w:val="20"/>
          <w:lang w:val="sl-SI" w:eastAsia="sl-SI"/>
        </w:rPr>
        <mc:AlternateContent>
          <mc:Choice Requires="wps">
            <w:drawing>
              <wp:anchor distT="0" distB="0" distL="114300" distR="114300" simplePos="0" relativeHeight="251708416" behindDoc="0" locked="0" layoutInCell="1" allowOverlap="1" wp14:anchorId="17C57A7C" wp14:editId="0DF8A970">
                <wp:simplePos x="0" y="0"/>
                <wp:positionH relativeFrom="column">
                  <wp:posOffset>-6985</wp:posOffset>
                </wp:positionH>
                <wp:positionV relativeFrom="paragraph">
                  <wp:posOffset>3175</wp:posOffset>
                </wp:positionV>
                <wp:extent cx="5441950" cy="518795"/>
                <wp:effectExtent l="19050" t="19050" r="25400" b="33655"/>
                <wp:wrapNone/>
                <wp:docPr id="110"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41950" cy="518795"/>
                        </a:xfrm>
                        <a:prstGeom prst="leftArrow">
                          <a:avLst>
                            <a:gd name="adj1" fmla="val 44918"/>
                            <a:gd name="adj2" fmla="val 52251"/>
                          </a:avLst>
                        </a:prstGeom>
                        <a:gradFill flip="none" rotWithShape="1">
                          <a:gsLst>
                            <a:gs pos="0">
                              <a:srgbClr val="FF0000">
                                <a:shade val="30000"/>
                                <a:satMod val="115000"/>
                              </a:srgbClr>
                            </a:gs>
                            <a:gs pos="50000">
                              <a:srgbClr val="FF0000">
                                <a:shade val="67500"/>
                                <a:satMod val="115000"/>
                              </a:srgbClr>
                            </a:gs>
                            <a:gs pos="100000">
                              <a:srgbClr val="FF0000">
                                <a:shade val="100000"/>
                                <a:satMod val="115000"/>
                              </a:srgbClr>
                            </a:gs>
                          </a:gsLst>
                          <a:lin ang="0" scaled="1"/>
                          <a:tileRect/>
                        </a:gradFill>
                        <a:ln w="12700" algn="ctr">
                          <a:solidFill>
                            <a:sysClr val="windowText" lastClr="000000"/>
                          </a:solidFill>
                          <a:miter lim="800000"/>
                          <a:headEnd/>
                          <a:tailEnd/>
                        </a:ln>
                        <a:effectLst/>
                        <a:extLst/>
                      </wps:spPr>
                      <wps:txbx>
                        <w:txbxContent>
                          <w:p w:rsidR="001323F1" w:rsidRPr="004721E9" w:rsidRDefault="001323F1" w:rsidP="003B2707">
                            <w:pPr>
                              <w:pStyle w:val="Navadensplet"/>
                              <w:spacing w:before="0" w:beforeAutospacing="0" w:after="0" w:afterAutospacing="0"/>
                              <w:jc w:val="center"/>
                              <w:textAlignment w:val="baseline"/>
                              <w:rPr>
                                <w:sz w:val="16"/>
                                <w:szCs w:val="16"/>
                              </w:rPr>
                            </w:pPr>
                            <w:r w:rsidRPr="004721E9">
                              <w:rPr>
                                <w:rFonts w:ascii="Arial" w:hAnsi="Arial" w:cs="Arial"/>
                                <w:b/>
                                <w:bCs/>
                                <w:kern w:val="24"/>
                                <w:sz w:val="16"/>
                                <w:szCs w:val="16"/>
                                <w14:shadow w14:blurRad="38100" w14:dist="38100" w14:dir="2700000" w14:sx="100000" w14:sy="100000" w14:kx="0" w14:ky="0" w14:algn="tl">
                                  <w14:srgbClr w14:val="000000"/>
                                </w14:shadow>
                                <w14:textFill>
                                  <w14:solidFill>
                                    <w14:srgbClr w14:val="FFFFFF"/>
                                  </w14:solidFill>
                                </w14:textFill>
                              </w:rPr>
                              <w:t>TVEGANJE</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shapetype w14:anchorId="17C57A7C"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17" o:spid="_x0000_s1041" type="#_x0000_t66" style="position:absolute;left:0;text-align:left;margin-left:-.55pt;margin-top:.25pt;width:428.5pt;height:40.8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" adj="1076,5949" fillcolor="#a00000" strokecolor="windowText" strokeweight="1pt">
                <v:fill color2="red" rotate="t" angle="90" colors="0 #a00000;.5 #e60000;1 red" focus="100%" type="gradient"/>
                <v:textbox>
                  <w:txbxContent>
                    <w:p w:rsidR="001323F1" w:rsidRPr="004721E9" w:rsidRDefault="001323F1" w:rsidP="003B2707">
                      <w:pPr>
                        <w:pStyle w:val="Navadensplet"/>
                        <w:spacing w:before="0" w:beforeAutospacing="0" w:after="0" w:afterAutospacing="0"/>
                        <w:jc w:val="center"/>
                        <w:textAlignment w:val="baseline"/>
                        <w:rPr>
                          <w:sz w:val="16"/>
                          <w:szCs w:val="16"/>
                        </w:rPr>
                      </w:pPr>
                      <w:r w:rsidRPr="004721E9">
                        <w:rPr>
                          <w:rFonts w:ascii="Arial" w:hAnsi="Arial" w:cs="Arial"/>
                          <w:b/>
                          <w:bCs/>
                          <w:kern w:val="24"/>
                          <w:sz w:val="16"/>
                          <w:szCs w:val="16"/>
                          <w14:shadow w14:blurRad="38100" w14:dist="38100" w14:dir="2700000" w14:sx="100000" w14:sy="100000" w14:kx="0" w14:ky="0" w14:algn="tl">
                            <w14:srgbClr w14:val="000000"/>
                          </w14:shadow>
                          <w14:textFill>
                            <w14:solidFill>
                              <w14:srgbClr w14:val="FFFFFF"/>
                            </w14:solidFill>
                          </w14:textFill>
                        </w:rPr>
                        <w:t>TVEGANJE</w:t>
                      </w:r>
                    </w:p>
                  </w:txbxContent>
                </v:textbox>
              </v:shape>
            </w:pict>
          </mc:Fallback>
        </mc:AlternateContent>
      </w:r>
      <w:r w:rsidRPr="00A95A16">
        <w:rPr>
          <w:rFonts w:eastAsiaTheme="minorHAnsi" w:cs="Arial"/>
          <w:bCs/>
          <w:noProof/>
          <w:szCs w:val="20"/>
          <w:lang w:val="sl-SI" w:eastAsia="sl-SI"/>
        </w:rPr>
        <mc:AlternateContent>
          <mc:Choice Requires="wps">
            <w:drawing>
              <wp:anchor distT="0" distB="0" distL="114300" distR="114300" simplePos="0" relativeHeight="251707392" behindDoc="0" locked="0" layoutInCell="1" allowOverlap="1" wp14:anchorId="1788DE9E" wp14:editId="78D11E53">
                <wp:simplePos x="0" y="0"/>
                <wp:positionH relativeFrom="column">
                  <wp:posOffset>262255</wp:posOffset>
                </wp:positionH>
                <wp:positionV relativeFrom="paragraph">
                  <wp:posOffset>257175</wp:posOffset>
                </wp:positionV>
                <wp:extent cx="5486400" cy="482600"/>
                <wp:effectExtent l="0" t="19050" r="38100" b="31750"/>
                <wp:wrapNone/>
                <wp:docPr id="111"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6400" cy="482600"/>
                        </a:xfrm>
                        <a:prstGeom prst="rightArrow">
                          <a:avLst>
                            <a:gd name="adj1" fmla="val 47367"/>
                            <a:gd name="adj2" fmla="val 63828"/>
                          </a:avLst>
                        </a:prstGeom>
                        <a:gradFill rotWithShape="1">
                          <a:gsLst>
                            <a:gs pos="0">
                              <a:srgbClr val="66FF66"/>
                            </a:gs>
                            <a:gs pos="100000">
                              <a:srgbClr val="66FF66">
                                <a:gamma/>
                                <a:shade val="46275"/>
                                <a:invGamma/>
                              </a:srgbClr>
                            </a:gs>
                          </a:gsLst>
                          <a:lin ang="0" scaled="1"/>
                        </a:gradFill>
                        <a:ln w="12700" algn="ctr">
                          <a:solidFill>
                            <a:sysClr val="windowText" lastClr="000000"/>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1323F1" w:rsidRPr="004721E9" w:rsidRDefault="001323F1" w:rsidP="003B2707">
                            <w:pPr>
                              <w:pStyle w:val="Navadensplet"/>
                              <w:spacing w:before="0" w:beforeAutospacing="0" w:after="0" w:afterAutospacing="0"/>
                              <w:jc w:val="center"/>
                              <w:textAlignment w:val="baseline"/>
                              <w:rPr>
                                <w:sz w:val="16"/>
                                <w:szCs w:val="16"/>
                              </w:rPr>
                            </w:pPr>
                            <w:r w:rsidRPr="004721E9">
                              <w:rPr>
                                <w:rFonts w:ascii="Arial" w:hAnsi="Arial" w:cs="Arial"/>
                                <w:b/>
                                <w:bCs/>
                                <w:kern w:val="24"/>
                                <w:sz w:val="16"/>
                                <w:szCs w:val="16"/>
                                <w14:shadow w14:blurRad="38100" w14:dist="38100" w14:dir="2700000" w14:sx="100000" w14:sy="100000" w14:kx="0" w14:ky="0" w14:algn="tl">
                                  <w14:srgbClr w14:val="000000"/>
                                </w14:shadow>
                                <w14:textFill>
                                  <w14:solidFill>
                                    <w14:srgbClr w14:val="FFFFFF"/>
                                  </w14:solidFill>
                                </w14:textFill>
                              </w:rPr>
                              <w:t>ZAUPANJE</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shape w14:anchorId="1788DE9E" id="AutoShape 16" o:spid="_x0000_s1042" type="#_x0000_t13" style="position:absolute;left:0;text-align:left;margin-left:20.65pt;margin-top:20.25pt;width:6in;height:3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" adj="20387,5684" fillcolor="#6f6" strokecolor="windowText" strokeweight="1pt">
                <v:fill color2="#2f762f" rotate="t" angle="90" focus="100%" type="gradient"/>
                <v:shadow color="#f8f8f8 [3214]"/>
                <v:textbox>
                  <w:txbxContent>
                    <w:p w:rsidR="001323F1" w:rsidRPr="004721E9" w:rsidRDefault="001323F1" w:rsidP="003B2707">
                      <w:pPr>
                        <w:pStyle w:val="Navadensplet"/>
                        <w:spacing w:before="0" w:beforeAutospacing="0" w:after="0" w:afterAutospacing="0"/>
                        <w:jc w:val="center"/>
                        <w:textAlignment w:val="baseline"/>
                        <w:rPr>
                          <w:sz w:val="16"/>
                          <w:szCs w:val="16"/>
                        </w:rPr>
                      </w:pPr>
                      <w:r w:rsidRPr="004721E9">
                        <w:rPr>
                          <w:rFonts w:ascii="Arial" w:hAnsi="Arial" w:cs="Arial"/>
                          <w:b/>
                          <w:bCs/>
                          <w:kern w:val="24"/>
                          <w:sz w:val="16"/>
                          <w:szCs w:val="16"/>
                          <w14:shadow w14:blurRad="38100" w14:dist="38100" w14:dir="2700000" w14:sx="100000" w14:sy="100000" w14:kx="0" w14:ky="0" w14:algn="tl">
                            <w14:srgbClr w14:val="000000"/>
                          </w14:shadow>
                          <w14:textFill>
                            <w14:solidFill>
                              <w14:srgbClr w14:val="FFFFFF"/>
                            </w14:solidFill>
                          </w14:textFill>
                        </w:rPr>
                        <w:t>ZAUPANJE</w:t>
                      </w:r>
                    </w:p>
                  </w:txbxContent>
                </v:textbox>
              </v:shape>
            </w:pict>
          </mc:Fallback>
        </mc:AlternateContent>
      </w:r>
    </w:p>
    <w:p w:rsidR="003B2707" w:rsidRPr="005771BD" w:rsidRDefault="003B2707" w:rsidP="003B2707">
      <w:pPr>
        <w:spacing w:after="200" w:line="276" w:lineRule="auto"/>
        <w:jc w:val="both"/>
        <w:rPr>
          <w:rFonts w:eastAsiaTheme="minorHAnsi" w:cs="Arial"/>
          <w:bCs/>
          <w:szCs w:val="20"/>
          <w:lang w:val="sl-SI"/>
        </w:rPr>
      </w:pPr>
    </w:p>
    <w:p w:rsidR="003B2707" w:rsidRPr="005771BD" w:rsidRDefault="003B2707" w:rsidP="003B2707">
      <w:pPr>
        <w:spacing w:after="200" w:line="276" w:lineRule="auto"/>
        <w:jc w:val="both"/>
        <w:rPr>
          <w:rFonts w:eastAsiaTheme="minorHAnsi" w:cs="Arial"/>
          <w:bCs/>
          <w:szCs w:val="20"/>
          <w:lang w:val="sl-SI"/>
        </w:rPr>
      </w:pPr>
      <w:r w:rsidRPr="007F272F">
        <w:rPr>
          <w:rFonts w:eastAsiaTheme="minorHAnsi" w:cs="Arial"/>
          <w:bCs/>
          <w:noProof/>
          <w:szCs w:val="20"/>
          <w:lang w:val="sl-SI" w:eastAsia="sl-SI"/>
        </w:rPr>
        <mc:AlternateContent>
          <mc:Choice Requires="wps">
            <w:drawing>
              <wp:anchor distT="0" distB="0" distL="114300" distR="114300" simplePos="0" relativeHeight="251717632" behindDoc="0" locked="0" layoutInCell="1" allowOverlap="1" wp14:anchorId="09854892" wp14:editId="593DCA9A">
                <wp:simplePos x="0" y="0"/>
                <wp:positionH relativeFrom="column">
                  <wp:posOffset>3113405</wp:posOffset>
                </wp:positionH>
                <wp:positionV relativeFrom="paragraph">
                  <wp:posOffset>208280</wp:posOffset>
                </wp:positionV>
                <wp:extent cx="1911350" cy="603250"/>
                <wp:effectExtent l="19050" t="0" r="31750" b="25400"/>
                <wp:wrapNone/>
                <wp:docPr id="112" name="Škarnice 112"/>
                <wp:cNvGraphicFramePr/>
                <a:graphic xmlns:a="http://schemas.openxmlformats.org/drawingml/2006/main">
                  <a:graphicData uri="http://schemas.microsoft.com/office/word/2010/wordprocessingShape">
                    <wps:wsp>
                      <wps:cNvSpPr/>
                      <wps:spPr>
                        <a:xfrm>
                          <a:off x="0" y="0"/>
                          <a:ext cx="1911350" cy="603250"/>
                        </a:xfrm>
                        <a:prstGeom prst="chevron">
                          <a:avLst/>
                        </a:prstGeom>
                        <a:solidFill>
                          <a:srgbClr val="4BACC6"/>
                        </a:solidFill>
                        <a:ln w="25400" cap="flat" cmpd="sng" algn="ctr">
                          <a:solidFill>
                            <a:srgbClr val="4BACC6">
                              <a:shade val="50000"/>
                            </a:srgbClr>
                          </a:solidFill>
                          <a:prstDash val="solid"/>
                        </a:ln>
                        <a:effectLst/>
                      </wps:spPr>
                      <wps:txbx>
                        <w:txbxContent>
                          <w:p w:rsidR="001323F1" w:rsidRDefault="001323F1" w:rsidP="003B2707">
                            <w:pPr>
                              <w:spacing w:line="240" w:lineRule="auto"/>
                              <w:jc w:val="center"/>
                              <w:rPr>
                                <w:rFonts w:cs="Arial"/>
                                <w:b/>
                                <w:sz w:val="12"/>
                                <w:szCs w:val="12"/>
                              </w:rPr>
                            </w:pPr>
                            <w:r>
                              <w:rPr>
                                <w:rFonts w:cs="Arial"/>
                                <w:b/>
                                <w:sz w:val="12"/>
                                <w:szCs w:val="12"/>
                              </w:rPr>
                              <w:t xml:space="preserve">MONITORING OKOLJA </w:t>
                            </w:r>
                          </w:p>
                          <w:p w:rsidR="001323F1" w:rsidRPr="008C31CB" w:rsidRDefault="001323F1" w:rsidP="003B2707">
                            <w:pPr>
                              <w:spacing w:line="240" w:lineRule="auto"/>
                              <w:jc w:val="center"/>
                              <w:rPr>
                                <w:rFonts w:cs="Arial"/>
                                <w:b/>
                                <w:sz w:val="12"/>
                                <w:szCs w:val="12"/>
                              </w:rPr>
                            </w:pPr>
                            <w:r>
                              <w:rPr>
                                <w:rFonts w:cs="Arial"/>
                                <w:b/>
                                <w:sz w:val="12"/>
                                <w:szCs w:val="12"/>
                              </w:rPr>
                              <w:t>PO SPROŠČANJU IN DAJANU GSO NA TRG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854892"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Škarnice 112" o:spid="_x0000_s1043" type="#_x0000_t55" style="position:absolute;left:0;text-align:left;margin-left:245.15pt;margin-top:16.4pt;width:150.5pt;height:47.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" adj="18191" fillcolor="#4bacc6" strokecolor="#357d91" strokeweight="2pt">
                <v:textbox>
                  <w:txbxContent>
                    <w:p w:rsidR="001323F1" w:rsidRDefault="001323F1" w:rsidP="003B2707">
                      <w:pPr>
                        <w:spacing w:line="240" w:lineRule="auto"/>
                        <w:jc w:val="center"/>
                        <w:rPr>
                          <w:rFonts w:cs="Arial"/>
                          <w:b/>
                          <w:sz w:val="12"/>
                          <w:szCs w:val="12"/>
                        </w:rPr>
                      </w:pPr>
                      <w:r>
                        <w:rPr>
                          <w:rFonts w:cs="Arial"/>
                          <w:b/>
                          <w:sz w:val="12"/>
                          <w:szCs w:val="12"/>
                        </w:rPr>
                        <w:t xml:space="preserve">MONITORING OKOLJA </w:t>
                      </w:r>
                    </w:p>
                    <w:p w:rsidR="001323F1" w:rsidRPr="008C31CB" w:rsidRDefault="001323F1" w:rsidP="003B2707">
                      <w:pPr>
                        <w:spacing w:line="240" w:lineRule="auto"/>
                        <w:jc w:val="center"/>
                        <w:rPr>
                          <w:rFonts w:cs="Arial"/>
                          <w:b/>
                          <w:sz w:val="12"/>
                          <w:szCs w:val="12"/>
                        </w:rPr>
                      </w:pPr>
                      <w:r>
                        <w:rPr>
                          <w:rFonts w:cs="Arial"/>
                          <w:b/>
                          <w:sz w:val="12"/>
                          <w:szCs w:val="12"/>
                        </w:rPr>
                        <w:t>PO SPROŠČANJU IN DAJANU GSO NA TRG</w:t>
                      </w:r>
                    </w:p>
                  </w:txbxContent>
                </v:textbox>
              </v:shape>
            </w:pict>
          </mc:Fallback>
        </mc:AlternateContent>
      </w:r>
    </w:p>
    <w:p w:rsidR="003B2707" w:rsidRPr="005771BD" w:rsidRDefault="003B2707" w:rsidP="003B2707">
      <w:pPr>
        <w:spacing w:after="200" w:line="276" w:lineRule="auto"/>
        <w:jc w:val="both"/>
        <w:rPr>
          <w:rFonts w:eastAsiaTheme="minorHAnsi" w:cs="Arial"/>
          <w:bCs/>
          <w:szCs w:val="20"/>
          <w:lang w:val="sl-SI"/>
        </w:rPr>
      </w:pPr>
      <w:r w:rsidRPr="007F272F">
        <w:rPr>
          <w:rFonts w:eastAsiaTheme="minorHAnsi" w:cs="Arial"/>
          <w:bCs/>
          <w:noProof/>
          <w:szCs w:val="20"/>
          <w:lang w:val="sl-SI" w:eastAsia="sl-SI"/>
        </w:rPr>
        <mc:AlternateContent>
          <mc:Choice Requires="wps">
            <w:drawing>
              <wp:anchor distT="0" distB="0" distL="114300" distR="114300" simplePos="0" relativeHeight="251716608" behindDoc="0" locked="0" layoutInCell="1" allowOverlap="1" wp14:anchorId="32924D50" wp14:editId="31ACC7F6">
                <wp:simplePos x="0" y="0"/>
                <wp:positionH relativeFrom="column">
                  <wp:posOffset>1970405</wp:posOffset>
                </wp:positionH>
                <wp:positionV relativeFrom="paragraph">
                  <wp:posOffset>1905</wp:posOffset>
                </wp:positionV>
                <wp:extent cx="1244600" cy="444500"/>
                <wp:effectExtent l="19050" t="0" r="31750" b="12700"/>
                <wp:wrapNone/>
                <wp:docPr id="113" name="Škarnice 113"/>
                <wp:cNvGraphicFramePr/>
                <a:graphic xmlns:a="http://schemas.openxmlformats.org/drawingml/2006/main">
                  <a:graphicData uri="http://schemas.microsoft.com/office/word/2010/wordprocessingShape">
                    <wps:wsp>
                      <wps:cNvSpPr/>
                      <wps:spPr>
                        <a:xfrm>
                          <a:off x="0" y="0"/>
                          <a:ext cx="1244600" cy="444500"/>
                        </a:xfrm>
                        <a:prstGeom prst="chevron">
                          <a:avLst/>
                        </a:prstGeom>
                        <a:solidFill>
                          <a:srgbClr val="4BACC6"/>
                        </a:solidFill>
                        <a:ln w="25400" cap="flat" cmpd="sng" algn="ctr">
                          <a:solidFill>
                            <a:srgbClr val="4BACC6">
                              <a:shade val="50000"/>
                            </a:srgbClr>
                          </a:solidFill>
                          <a:prstDash val="solid"/>
                        </a:ln>
                        <a:effectLst/>
                      </wps:spPr>
                      <wps:txbx>
                        <w:txbxContent>
                          <w:p w:rsidR="001323F1" w:rsidRDefault="001323F1" w:rsidP="003B2707">
                            <w:pPr>
                              <w:spacing w:line="240" w:lineRule="auto"/>
                              <w:jc w:val="center"/>
                              <w:rPr>
                                <w:rFonts w:cs="Arial"/>
                                <w:b/>
                                <w:sz w:val="12"/>
                                <w:szCs w:val="12"/>
                              </w:rPr>
                            </w:pPr>
                            <w:r>
                              <w:rPr>
                                <w:rFonts w:cs="Arial"/>
                                <w:b/>
                                <w:sz w:val="12"/>
                                <w:szCs w:val="12"/>
                              </w:rPr>
                              <w:t>OBVEZNO</w:t>
                            </w:r>
                          </w:p>
                          <w:p w:rsidR="001323F1" w:rsidRPr="008C31CB" w:rsidRDefault="001323F1" w:rsidP="003B2707">
                            <w:pPr>
                              <w:spacing w:line="240" w:lineRule="auto"/>
                              <w:jc w:val="center"/>
                              <w:rPr>
                                <w:rFonts w:cs="Arial"/>
                                <w:b/>
                                <w:sz w:val="12"/>
                                <w:szCs w:val="12"/>
                              </w:rPr>
                            </w:pPr>
                            <w:r>
                              <w:rPr>
                                <w:rFonts w:cs="Arial"/>
                                <w:b/>
                                <w:sz w:val="12"/>
                                <w:szCs w:val="12"/>
                              </w:rPr>
                              <w:t>OZNAČEVANJE GSO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924D50" id="Škarnice 113" o:spid="_x0000_s1044" type="#_x0000_t55" style="position:absolute;left:0;text-align:left;margin-left:155.15pt;margin-top:.15pt;width:98pt;height:3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" adj="17743" fillcolor="#4bacc6" strokecolor="#357d91" strokeweight="2pt">
                <v:textbox>
                  <w:txbxContent>
                    <w:p w:rsidR="001323F1" w:rsidRDefault="001323F1" w:rsidP="003B2707">
                      <w:pPr>
                        <w:spacing w:line="240" w:lineRule="auto"/>
                        <w:jc w:val="center"/>
                        <w:rPr>
                          <w:rFonts w:cs="Arial"/>
                          <w:b/>
                          <w:sz w:val="12"/>
                          <w:szCs w:val="12"/>
                        </w:rPr>
                      </w:pPr>
                      <w:r>
                        <w:rPr>
                          <w:rFonts w:cs="Arial"/>
                          <w:b/>
                          <w:sz w:val="12"/>
                          <w:szCs w:val="12"/>
                        </w:rPr>
                        <w:t>OBVEZNO</w:t>
                      </w:r>
                    </w:p>
                    <w:p w:rsidR="001323F1" w:rsidRPr="008C31CB" w:rsidRDefault="001323F1" w:rsidP="003B2707">
                      <w:pPr>
                        <w:spacing w:line="240" w:lineRule="auto"/>
                        <w:jc w:val="center"/>
                        <w:rPr>
                          <w:rFonts w:cs="Arial"/>
                          <w:b/>
                          <w:sz w:val="12"/>
                          <w:szCs w:val="12"/>
                        </w:rPr>
                      </w:pPr>
                      <w:r>
                        <w:rPr>
                          <w:rFonts w:cs="Arial"/>
                          <w:b/>
                          <w:sz w:val="12"/>
                          <w:szCs w:val="12"/>
                        </w:rPr>
                        <w:t>OZNAČEVANJE GSO</w:t>
                      </w:r>
                    </w:p>
                  </w:txbxContent>
                </v:textbox>
              </v:shape>
            </w:pict>
          </mc:Fallback>
        </mc:AlternateContent>
      </w:r>
      <w:r w:rsidRPr="00A95A16">
        <w:rPr>
          <w:rFonts w:eastAsiaTheme="minorHAnsi" w:cs="Arial"/>
          <w:bCs/>
          <w:noProof/>
          <w:szCs w:val="20"/>
          <w:lang w:val="sl-SI" w:eastAsia="sl-SI"/>
        </w:rPr>
        <mc:AlternateContent>
          <mc:Choice Requires="wps">
            <w:drawing>
              <wp:anchor distT="0" distB="0" distL="114300" distR="114300" simplePos="0" relativeHeight="251715584" behindDoc="0" locked="0" layoutInCell="1" allowOverlap="1" wp14:anchorId="4C7FF04C" wp14:editId="63327BD5">
                <wp:simplePos x="0" y="0"/>
                <wp:positionH relativeFrom="column">
                  <wp:posOffset>624205</wp:posOffset>
                </wp:positionH>
                <wp:positionV relativeFrom="paragraph">
                  <wp:posOffset>103505</wp:posOffset>
                </wp:positionV>
                <wp:extent cx="1352550" cy="260350"/>
                <wp:effectExtent l="19050" t="0" r="19050" b="25400"/>
                <wp:wrapNone/>
                <wp:docPr id="114" name="Škarnice 114"/>
                <wp:cNvGraphicFramePr/>
                <a:graphic xmlns:a="http://schemas.openxmlformats.org/drawingml/2006/main">
                  <a:graphicData uri="http://schemas.microsoft.com/office/word/2010/wordprocessingShape">
                    <wps:wsp>
                      <wps:cNvSpPr/>
                      <wps:spPr>
                        <a:xfrm>
                          <a:off x="0" y="0"/>
                          <a:ext cx="1352550" cy="260350"/>
                        </a:xfrm>
                        <a:prstGeom prst="chevron">
                          <a:avLst/>
                        </a:prstGeom>
                        <a:solidFill>
                          <a:srgbClr val="4BACC6"/>
                        </a:solidFill>
                        <a:ln w="25400" cap="flat" cmpd="sng" algn="ctr">
                          <a:solidFill>
                            <a:srgbClr val="4BACC6">
                              <a:shade val="50000"/>
                            </a:srgbClr>
                          </a:solidFill>
                          <a:prstDash val="solid"/>
                        </a:ln>
                        <a:effectLst/>
                      </wps:spPr>
                      <wps:txbx>
                        <w:txbxContent>
                          <w:p w:rsidR="001323F1" w:rsidRPr="008C31CB" w:rsidRDefault="001323F1" w:rsidP="003B2707">
                            <w:pPr>
                              <w:jc w:val="center"/>
                              <w:rPr>
                                <w:rFonts w:cs="Arial"/>
                                <w:b/>
                                <w:sz w:val="12"/>
                                <w:szCs w:val="12"/>
                              </w:rPr>
                            </w:pPr>
                            <w:r w:rsidRPr="008C31CB">
                              <w:rPr>
                                <w:rFonts w:cs="Arial"/>
                                <w:b/>
                                <w:sz w:val="12"/>
                                <w:szCs w:val="12"/>
                              </w:rPr>
                              <w:t>AVTORIZACIJA</w:t>
                            </w:r>
                            <w:r>
                              <w:rPr>
                                <w:rFonts w:cs="Arial"/>
                                <w:b/>
                                <w:sz w:val="12"/>
                                <w:szCs w:val="12"/>
                              </w:rPr>
                              <w:t xml:space="preserve"> GSO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C7FF04C" id="Škarnice 114" o:spid="_x0000_s1045" type="#_x0000_t55" style="position:absolute;left:0;text-align:left;margin-left:49.15pt;margin-top:8.15pt;width:106.5pt;height:20.5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" adj="19521" fillcolor="#4bacc6" strokecolor="#357d91" strokeweight="2pt">
                <v:textbox>
                  <w:txbxContent>
                    <w:p w:rsidR="001323F1" w:rsidRPr="008C31CB" w:rsidRDefault="001323F1" w:rsidP="003B2707">
                      <w:pPr>
                        <w:jc w:val="center"/>
                        <w:rPr>
                          <w:rFonts w:cs="Arial"/>
                          <w:b/>
                          <w:sz w:val="12"/>
                          <w:szCs w:val="12"/>
                        </w:rPr>
                      </w:pPr>
                      <w:r w:rsidRPr="008C31CB">
                        <w:rPr>
                          <w:rFonts w:cs="Arial"/>
                          <w:b/>
                          <w:sz w:val="12"/>
                          <w:szCs w:val="12"/>
                        </w:rPr>
                        <w:t>AVTORIZACIJA</w:t>
                      </w:r>
                      <w:r>
                        <w:rPr>
                          <w:rFonts w:cs="Arial"/>
                          <w:b/>
                          <w:sz w:val="12"/>
                          <w:szCs w:val="12"/>
                        </w:rPr>
                        <w:t xml:space="preserve"> GSO</w:t>
                      </w:r>
                    </w:p>
                  </w:txbxContent>
                </v:textbox>
              </v:shape>
            </w:pict>
          </mc:Fallback>
        </mc:AlternateContent>
      </w:r>
    </w:p>
    <w:p w:rsidR="003B2707" w:rsidRPr="005771BD" w:rsidRDefault="003B2707" w:rsidP="003B2707">
      <w:pPr>
        <w:spacing w:after="200" w:line="276" w:lineRule="auto"/>
        <w:ind w:left="567" w:hanging="567"/>
        <w:jc w:val="both"/>
        <w:rPr>
          <w:rFonts w:eastAsiaTheme="minorHAnsi" w:cs="Arial"/>
          <w:b/>
          <w:bCs/>
          <w:szCs w:val="20"/>
          <w:lang w:val="sl-SI"/>
        </w:rPr>
      </w:pPr>
    </w:p>
    <w:p w:rsidR="003B2707" w:rsidRPr="005771BD" w:rsidRDefault="003B2707" w:rsidP="003B2707">
      <w:pPr>
        <w:spacing w:after="200" w:line="276" w:lineRule="auto"/>
        <w:ind w:left="567" w:hanging="567"/>
        <w:jc w:val="both"/>
        <w:rPr>
          <w:rFonts w:eastAsiaTheme="minorHAnsi" w:cs="Arial"/>
          <w:b/>
          <w:bCs/>
          <w:szCs w:val="20"/>
          <w:lang w:val="sl-SI"/>
        </w:rPr>
      </w:pPr>
      <w:r w:rsidRPr="007F272F">
        <w:rPr>
          <w:rFonts w:eastAsiaTheme="minorHAnsi" w:cs="Arial"/>
          <w:b/>
          <w:bCs/>
          <w:noProof/>
          <w:szCs w:val="20"/>
          <w:lang w:val="sl-SI" w:eastAsia="sl-SI"/>
        </w:rPr>
        <mc:AlternateContent>
          <mc:Choice Requires="wps">
            <w:drawing>
              <wp:anchor distT="0" distB="0" distL="114300" distR="114300" simplePos="0" relativeHeight="251722752" behindDoc="0" locked="0" layoutInCell="1" allowOverlap="1" wp14:anchorId="22C58D9F" wp14:editId="0FD6CE2D">
                <wp:simplePos x="0" y="0"/>
                <wp:positionH relativeFrom="column">
                  <wp:posOffset>747712</wp:posOffset>
                </wp:positionH>
                <wp:positionV relativeFrom="paragraph">
                  <wp:posOffset>15875</wp:posOffset>
                </wp:positionV>
                <wp:extent cx="414337" cy="234950"/>
                <wp:effectExtent l="19050" t="19050" r="24130" b="31750"/>
                <wp:wrapNone/>
                <wp:docPr id="115" name="Desna puščica s črticami 115"/>
                <wp:cNvGraphicFramePr/>
                <a:graphic xmlns:a="http://schemas.openxmlformats.org/drawingml/2006/main">
                  <a:graphicData uri="http://schemas.microsoft.com/office/word/2010/wordprocessingShape">
                    <wps:wsp>
                      <wps:cNvSpPr/>
                      <wps:spPr>
                        <a:xfrm rot="10800000">
                          <a:off x="0" y="0"/>
                          <a:ext cx="414337" cy="234950"/>
                        </a:xfrm>
                        <a:prstGeom prst="striped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FFCD57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Desna puščica s črticami 115" o:spid="_x0000_s1026" type="#_x0000_t93" style="position:absolute;margin-left:58.85pt;margin-top:1.25pt;width:32.6pt;height:18.5pt;rotation:180;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" adj="15476" fillcolor="#4f81bd" strokecolor="#385d8a" strokeweight="2pt"/>
            </w:pict>
          </mc:Fallback>
        </mc:AlternateContent>
      </w:r>
      <w:r w:rsidRPr="00A95A16">
        <w:rPr>
          <w:rFonts w:eastAsiaTheme="minorHAnsi" w:cs="Arial"/>
          <w:b/>
          <w:bCs/>
          <w:noProof/>
          <w:szCs w:val="20"/>
          <w:lang w:val="sl-SI" w:eastAsia="sl-SI"/>
        </w:rPr>
        <mc:AlternateContent>
          <mc:Choice Requires="wps">
            <w:drawing>
              <wp:anchor distT="0" distB="0" distL="114300" distR="114300" simplePos="0" relativeHeight="251721728" behindDoc="0" locked="0" layoutInCell="1" allowOverlap="1" wp14:anchorId="3EB05DC7" wp14:editId="0F0A756F">
                <wp:simplePos x="0" y="0"/>
                <wp:positionH relativeFrom="column">
                  <wp:posOffset>4162743</wp:posOffset>
                </wp:positionH>
                <wp:positionV relativeFrom="paragraph">
                  <wp:posOffset>16193</wp:posOffset>
                </wp:positionV>
                <wp:extent cx="414337" cy="234950"/>
                <wp:effectExtent l="0" t="19050" r="43180" b="31750"/>
                <wp:wrapNone/>
                <wp:docPr id="116" name="Desna puščica s črticami 116"/>
                <wp:cNvGraphicFramePr/>
                <a:graphic xmlns:a="http://schemas.openxmlformats.org/drawingml/2006/main">
                  <a:graphicData uri="http://schemas.microsoft.com/office/word/2010/wordprocessingShape">
                    <wps:wsp>
                      <wps:cNvSpPr/>
                      <wps:spPr>
                        <a:xfrm>
                          <a:off x="0" y="0"/>
                          <a:ext cx="414337" cy="234950"/>
                        </a:xfrm>
                        <a:prstGeom prst="striped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678E5F9" id="Desna puščica s črticami 116" o:spid="_x0000_s1026" type="#_x0000_t93" style="position:absolute;margin-left:327.8pt;margin-top:1.3pt;width:32.6pt;height:18.5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" adj="15476" fillcolor="#4f81bd" strokecolor="#385d8a" strokeweight="2pt"/>
            </w:pict>
          </mc:Fallback>
        </mc:AlternateContent>
      </w:r>
      <w:r w:rsidRPr="00A95A16">
        <w:rPr>
          <w:rFonts w:eastAsiaTheme="minorHAnsi" w:cs="Arial"/>
          <w:b/>
          <w:bCs/>
          <w:noProof/>
          <w:szCs w:val="20"/>
          <w:lang w:val="sl-SI" w:eastAsia="sl-SI"/>
        </w:rPr>
        <mc:AlternateContent>
          <mc:Choice Requires="wps">
            <w:drawing>
              <wp:anchor distT="0" distB="0" distL="114300" distR="114300" simplePos="0" relativeHeight="251718656" behindDoc="0" locked="0" layoutInCell="1" allowOverlap="1" wp14:anchorId="1F47EA82" wp14:editId="24FC4622">
                <wp:simplePos x="0" y="0"/>
                <wp:positionH relativeFrom="column">
                  <wp:posOffset>1233805</wp:posOffset>
                </wp:positionH>
                <wp:positionV relativeFrom="paragraph">
                  <wp:posOffset>15240</wp:posOffset>
                </wp:positionV>
                <wp:extent cx="2876550" cy="234950"/>
                <wp:effectExtent l="57150" t="38100" r="76200" b="88900"/>
                <wp:wrapNone/>
                <wp:docPr id="117" name="Polje z besedilom 117"/>
                <wp:cNvGraphicFramePr/>
                <a:graphic xmlns:a="http://schemas.openxmlformats.org/drawingml/2006/main">
                  <a:graphicData uri="http://schemas.microsoft.com/office/word/2010/wordprocessingShape">
                    <wps:wsp>
                      <wps:cNvSpPr txBox="1"/>
                      <wps:spPr>
                        <a:xfrm>
                          <a:off x="0" y="0"/>
                          <a:ext cx="2876550" cy="234950"/>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1323F1" w:rsidRPr="008C31CB" w:rsidRDefault="001323F1" w:rsidP="003B2707">
                            <w:pPr>
                              <w:jc w:val="center"/>
                              <w:rPr>
                                <w:rFonts w:cs="Arial"/>
                                <w:b/>
                                <w:szCs w:val="20"/>
                              </w:rPr>
                            </w:pPr>
                            <w:r w:rsidRPr="008C31CB">
                              <w:rPr>
                                <w:rFonts w:cs="Arial"/>
                                <w:b/>
                                <w:szCs w:val="20"/>
                              </w:rPr>
                              <w:t>PREVIDNOSTNI PRINCIP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47EA82" id="Polje z besedilom 117" o:spid="_x0000_s1046" type="#_x0000_t202" style="position:absolute;left:0;text-align:left;margin-left:97.15pt;margin-top:1.2pt;width:226.5pt;height:18.5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" fillcolor="#9eeaff" strokecolor="#46aac5">
                <v:fill color2="#e4f9ff" rotate="t" angle="180" colors="0 #9eeaff;22938f #bbefff;1 #e4f9ff" focus="100%" type="gradient"/>
                <v:shadow on="t" color="black" opacity="24903f" origin=",.5" offset="0,.55556mm"/>
                <v:textbox>
                  <w:txbxContent>
                    <w:p w:rsidR="001323F1" w:rsidRPr="008C31CB" w:rsidRDefault="001323F1" w:rsidP="003B2707">
                      <w:pPr>
                        <w:jc w:val="center"/>
                        <w:rPr>
                          <w:rFonts w:cs="Arial"/>
                          <w:b/>
                          <w:szCs w:val="20"/>
                        </w:rPr>
                      </w:pPr>
                      <w:r w:rsidRPr="008C31CB">
                        <w:rPr>
                          <w:rFonts w:cs="Arial"/>
                          <w:b/>
                          <w:szCs w:val="20"/>
                        </w:rPr>
                        <w:t>PREVIDNOSTNI PRINCIP</w:t>
                      </w:r>
                    </w:p>
                  </w:txbxContent>
                </v:textbox>
              </v:shape>
            </w:pict>
          </mc:Fallback>
        </mc:AlternateContent>
      </w:r>
    </w:p>
    <w:p w:rsidR="003B2707" w:rsidRPr="005771BD" w:rsidRDefault="003B2707" w:rsidP="003B2707">
      <w:pPr>
        <w:spacing w:after="200" w:line="276" w:lineRule="auto"/>
        <w:ind w:left="567" w:hanging="567"/>
        <w:jc w:val="both"/>
        <w:rPr>
          <w:rFonts w:eastAsiaTheme="minorHAnsi" w:cs="Arial"/>
          <w:b/>
          <w:bCs/>
          <w:szCs w:val="20"/>
          <w:lang w:val="sl-SI"/>
        </w:rPr>
      </w:pPr>
    </w:p>
    <w:p w:rsidR="003B2707" w:rsidRPr="005771BD" w:rsidRDefault="003B2707" w:rsidP="003B2707">
      <w:pPr>
        <w:spacing w:after="200" w:line="276" w:lineRule="auto"/>
        <w:jc w:val="both"/>
        <w:rPr>
          <w:rFonts w:eastAsiaTheme="minorHAnsi" w:cs="Arial"/>
          <w:bCs/>
          <w:i/>
          <w:szCs w:val="20"/>
          <w:lang w:val="sl-SI"/>
        </w:rPr>
      </w:pPr>
      <w:r w:rsidRPr="005771BD">
        <w:rPr>
          <w:rFonts w:eastAsiaTheme="minorHAnsi" w:cs="Arial"/>
          <w:bCs/>
          <w:i/>
          <w:szCs w:val="20"/>
          <w:lang w:val="sl-SI"/>
        </w:rPr>
        <w:t>Slika 1</w:t>
      </w:r>
      <w:r w:rsidR="00DE3B10">
        <w:rPr>
          <w:rFonts w:eastAsiaTheme="minorHAnsi" w:cs="Arial"/>
          <w:bCs/>
          <w:i/>
          <w:szCs w:val="20"/>
          <w:lang w:val="sl-SI"/>
        </w:rPr>
        <w:t>3</w:t>
      </w:r>
      <w:r w:rsidRPr="005771BD">
        <w:rPr>
          <w:rFonts w:eastAsiaTheme="minorHAnsi" w:cs="Arial"/>
          <w:bCs/>
          <w:i/>
          <w:szCs w:val="20"/>
          <w:lang w:val="sl-SI"/>
        </w:rPr>
        <w:t>.1: Sistem biološke varnosti na področju sodobne biotehnologije in njenih gensko spremenjenih izdelkov v Sloveniji</w:t>
      </w:r>
    </w:p>
    <w:p w:rsidR="003B2707" w:rsidRPr="005771BD" w:rsidRDefault="003B2707" w:rsidP="003B2707">
      <w:pPr>
        <w:spacing w:after="200" w:line="276" w:lineRule="auto"/>
        <w:jc w:val="both"/>
        <w:rPr>
          <w:rFonts w:eastAsiaTheme="minorHAnsi" w:cs="Arial"/>
          <w:szCs w:val="20"/>
          <w:lang w:val="sl-SI"/>
        </w:rPr>
      </w:pPr>
      <w:r w:rsidRPr="005771BD">
        <w:rPr>
          <w:rFonts w:eastAsiaTheme="minorHAnsi" w:cs="Arial"/>
          <w:szCs w:val="20"/>
          <w:lang w:val="sl-SI"/>
        </w:rPr>
        <w:t>V primerih uporabe GSO za hrano ljudi in krmo živali so monitoringi GSO po sproščanju obvezni tudi v primerih, ko je treba preverjati</w:t>
      </w:r>
      <w:r>
        <w:rPr>
          <w:rFonts w:eastAsiaTheme="minorHAnsi" w:cs="Arial"/>
          <w:szCs w:val="20"/>
          <w:lang w:val="sl-SI"/>
        </w:rPr>
        <w:t>,</w:t>
      </w:r>
      <w:r w:rsidRPr="005771BD">
        <w:rPr>
          <w:rFonts w:eastAsiaTheme="minorHAnsi" w:cs="Arial"/>
          <w:szCs w:val="20"/>
          <w:lang w:val="sl-SI"/>
        </w:rPr>
        <w:t xml:space="preserve"> ali so pogoji</w:t>
      </w:r>
      <w:r>
        <w:rPr>
          <w:rFonts w:eastAsiaTheme="minorHAnsi" w:cs="Arial"/>
          <w:szCs w:val="20"/>
          <w:lang w:val="sl-SI"/>
        </w:rPr>
        <w:t xml:space="preserve"> za</w:t>
      </w:r>
      <w:r w:rsidRPr="005771BD">
        <w:rPr>
          <w:rFonts w:eastAsiaTheme="minorHAnsi" w:cs="Arial"/>
          <w:szCs w:val="20"/>
          <w:lang w:val="sl-SI"/>
        </w:rPr>
        <w:t xml:space="preserve"> uporab</w:t>
      </w:r>
      <w:r>
        <w:rPr>
          <w:rFonts w:eastAsiaTheme="minorHAnsi" w:cs="Arial"/>
          <w:szCs w:val="20"/>
          <w:lang w:val="sl-SI"/>
        </w:rPr>
        <w:t>o</w:t>
      </w:r>
      <w:r w:rsidRPr="005771BD">
        <w:rPr>
          <w:rFonts w:eastAsiaTheme="minorHAnsi" w:cs="Arial"/>
          <w:szCs w:val="20"/>
          <w:lang w:val="sl-SI"/>
        </w:rPr>
        <w:t xml:space="preserve"> pravilno izpolnjeni</w:t>
      </w:r>
      <w:r>
        <w:rPr>
          <w:rFonts w:eastAsiaTheme="minorHAnsi" w:cs="Arial"/>
          <w:szCs w:val="20"/>
          <w:lang w:val="sl-SI"/>
        </w:rPr>
        <w:t>,</w:t>
      </w:r>
      <w:r w:rsidRPr="005771BD">
        <w:rPr>
          <w:rFonts w:eastAsiaTheme="minorHAnsi" w:cs="Arial"/>
          <w:szCs w:val="20"/>
          <w:lang w:val="sl-SI"/>
        </w:rPr>
        <w:t xml:space="preserve"> in spremljati porabo izdelka. Na </w:t>
      </w:r>
      <w:r>
        <w:rPr>
          <w:rFonts w:eastAsiaTheme="minorHAnsi" w:cs="Arial"/>
          <w:szCs w:val="20"/>
          <w:lang w:val="sl-SI"/>
        </w:rPr>
        <w:t>podlage</w:t>
      </w:r>
      <w:r w:rsidRPr="005771BD">
        <w:rPr>
          <w:rFonts w:eastAsiaTheme="minorHAnsi" w:cs="Arial"/>
          <w:szCs w:val="20"/>
          <w:lang w:val="sl-SI"/>
        </w:rPr>
        <w:t xml:space="preserve"> slovenske in </w:t>
      </w:r>
      <w:r>
        <w:rPr>
          <w:rFonts w:eastAsiaTheme="minorHAnsi" w:cs="Arial"/>
          <w:szCs w:val="20"/>
          <w:lang w:val="sl-SI"/>
        </w:rPr>
        <w:t>evropske</w:t>
      </w:r>
      <w:r w:rsidRPr="005771BD">
        <w:rPr>
          <w:rFonts w:eastAsiaTheme="minorHAnsi" w:cs="Arial"/>
          <w:szCs w:val="20"/>
          <w:lang w:val="sl-SI"/>
        </w:rPr>
        <w:t xml:space="preserve"> zakonodaje se izvaja</w:t>
      </w:r>
      <w:r>
        <w:rPr>
          <w:rFonts w:eastAsiaTheme="minorHAnsi" w:cs="Arial"/>
          <w:szCs w:val="20"/>
          <w:lang w:val="sl-SI"/>
        </w:rPr>
        <w:t>ta</w:t>
      </w:r>
      <w:r w:rsidRPr="005771BD">
        <w:rPr>
          <w:rFonts w:eastAsiaTheme="minorHAnsi" w:cs="Arial"/>
          <w:szCs w:val="20"/>
          <w:lang w:val="sl-SI"/>
        </w:rPr>
        <w:t xml:space="preserve"> nadzor nad sproščanjem GSO in nadzor nad prisotnostjo GSO ali gensko spremenjenega materiala v semenih, hrani in krmi pri uvozu in na slovenskem </w:t>
      </w:r>
      <w:r>
        <w:rPr>
          <w:rFonts w:eastAsiaTheme="minorHAnsi" w:cs="Arial"/>
          <w:szCs w:val="20"/>
          <w:lang w:val="sl-SI"/>
        </w:rPr>
        <w:t>trgu</w:t>
      </w:r>
      <w:r w:rsidRPr="005771BD">
        <w:rPr>
          <w:rFonts w:eastAsiaTheme="minorHAnsi" w:cs="Arial"/>
          <w:szCs w:val="20"/>
          <w:lang w:val="sl-SI"/>
        </w:rPr>
        <w:t xml:space="preserve"> ter t</w:t>
      </w:r>
      <w:r>
        <w:rPr>
          <w:rFonts w:eastAsiaTheme="minorHAnsi" w:cs="Arial"/>
          <w:szCs w:val="20"/>
          <w:lang w:val="sl-SI"/>
        </w:rPr>
        <w:t>rgu</w:t>
      </w:r>
      <w:r w:rsidRPr="005771BD">
        <w:rPr>
          <w:rFonts w:eastAsiaTheme="minorHAnsi" w:cs="Arial"/>
          <w:szCs w:val="20"/>
          <w:lang w:val="sl-SI"/>
        </w:rPr>
        <w:t xml:space="preserve"> EU.</w:t>
      </w:r>
    </w:p>
    <w:p w:rsidR="003B2707" w:rsidRPr="005771BD" w:rsidRDefault="003B2707" w:rsidP="003B2707">
      <w:pPr>
        <w:spacing w:after="200" w:line="276" w:lineRule="auto"/>
        <w:jc w:val="both"/>
        <w:rPr>
          <w:rFonts w:eastAsiaTheme="minorHAnsi" w:cs="Arial"/>
          <w:szCs w:val="20"/>
          <w:lang w:val="sl-SI"/>
        </w:rPr>
      </w:pPr>
      <w:r w:rsidRPr="005771BD">
        <w:rPr>
          <w:rFonts w:eastAsiaTheme="minorHAnsi" w:cs="Arial"/>
          <w:szCs w:val="20"/>
          <w:lang w:val="sl-SI"/>
        </w:rPr>
        <w:t>V Sloveniji se GSO največ uporabljajo v raziskovalne namene v zaprtih sistemih, v katerih je stopnja zaščite pred njihovim možnim nenamernim sproščanjem v okolje najvišja. Poskusi, ki se izvajajo z omejenim sproščanjem GSO v okolje v raziskovalne namene, s</w:t>
      </w:r>
      <w:r>
        <w:rPr>
          <w:rFonts w:eastAsiaTheme="minorHAnsi" w:cs="Arial"/>
          <w:szCs w:val="20"/>
          <w:lang w:val="sl-SI"/>
        </w:rPr>
        <w:t>e</w:t>
      </w:r>
      <w:r w:rsidRPr="005771BD">
        <w:rPr>
          <w:rFonts w:eastAsiaTheme="minorHAnsi" w:cs="Arial"/>
          <w:szCs w:val="20"/>
          <w:lang w:val="sl-SI"/>
        </w:rPr>
        <w:t xml:space="preserve"> v Sloveniji </w:t>
      </w:r>
      <w:r>
        <w:rPr>
          <w:rFonts w:eastAsiaTheme="minorHAnsi" w:cs="Arial"/>
          <w:szCs w:val="20"/>
          <w:lang w:val="sl-SI"/>
        </w:rPr>
        <w:t>izvajajo</w:t>
      </w:r>
      <w:r w:rsidRPr="005771BD">
        <w:rPr>
          <w:rFonts w:eastAsiaTheme="minorHAnsi" w:cs="Arial"/>
          <w:szCs w:val="20"/>
          <w:lang w:val="sl-SI"/>
        </w:rPr>
        <w:t xml:space="preserve"> samo </w:t>
      </w:r>
      <w:r>
        <w:rPr>
          <w:rFonts w:eastAsiaTheme="minorHAnsi" w:cs="Arial"/>
          <w:szCs w:val="20"/>
          <w:lang w:val="sl-SI"/>
        </w:rPr>
        <w:t>v zvezi z</w:t>
      </w:r>
      <w:r w:rsidRPr="005771BD">
        <w:rPr>
          <w:rFonts w:eastAsiaTheme="minorHAnsi" w:cs="Arial"/>
          <w:szCs w:val="20"/>
          <w:lang w:val="sl-SI"/>
        </w:rPr>
        <w:t xml:space="preserve"> gensko terapijo pri živalih in dos</w:t>
      </w:r>
      <w:r>
        <w:rPr>
          <w:rFonts w:eastAsiaTheme="minorHAnsi" w:cs="Arial"/>
          <w:szCs w:val="20"/>
          <w:lang w:val="sl-SI"/>
        </w:rPr>
        <w:t>lej</w:t>
      </w:r>
      <w:r w:rsidRPr="005771BD">
        <w:rPr>
          <w:rFonts w:eastAsiaTheme="minorHAnsi" w:cs="Arial"/>
          <w:szCs w:val="20"/>
          <w:lang w:val="sl-SI"/>
        </w:rPr>
        <w:t xml:space="preserve"> niso vključevali uporabe v zakonodaji določenih GSO. </w:t>
      </w:r>
      <w:r w:rsidR="00E71CC6">
        <w:rPr>
          <w:rFonts w:eastAsiaTheme="minorHAnsi" w:cs="Arial"/>
          <w:szCs w:val="20"/>
          <w:lang w:val="sl-SI"/>
        </w:rPr>
        <w:t xml:space="preserve">V Sloveniji do sedaj </w:t>
      </w:r>
      <w:r w:rsidR="00511EC8">
        <w:rPr>
          <w:rFonts w:eastAsiaTheme="minorHAnsi" w:cs="Arial"/>
          <w:szCs w:val="20"/>
          <w:lang w:val="sl-SI"/>
        </w:rPr>
        <w:t xml:space="preserve">tudi </w:t>
      </w:r>
      <w:r w:rsidR="00E71CC6">
        <w:rPr>
          <w:rFonts w:eastAsiaTheme="minorHAnsi" w:cs="Arial"/>
          <w:szCs w:val="20"/>
          <w:lang w:val="sl-SI"/>
        </w:rPr>
        <w:t xml:space="preserve">ni bilo prijav pridelave gensko spremenjenih rastlin pristojnemu ministrstvu. </w:t>
      </w:r>
      <w:r w:rsidRPr="005771BD">
        <w:rPr>
          <w:rFonts w:eastAsiaTheme="minorHAnsi" w:cs="Arial"/>
          <w:szCs w:val="20"/>
          <w:lang w:val="sl-SI"/>
        </w:rPr>
        <w:t xml:space="preserve"> V EU dovoljeni GSO za namene hrane in krme so pri nas </w:t>
      </w:r>
      <w:r w:rsidR="00511EC8">
        <w:rPr>
          <w:rFonts w:eastAsiaTheme="minorHAnsi" w:cs="Arial"/>
          <w:szCs w:val="20"/>
          <w:lang w:val="sl-SI"/>
        </w:rPr>
        <w:t>n</w:t>
      </w:r>
      <w:r w:rsidRPr="005771BD">
        <w:rPr>
          <w:rFonts w:eastAsiaTheme="minorHAnsi" w:cs="Arial"/>
          <w:szCs w:val="20"/>
          <w:lang w:val="sl-SI"/>
        </w:rPr>
        <w:t>ajvečkrat prisotni v krmi za živali</w:t>
      </w:r>
      <w:r w:rsidR="00511EC8">
        <w:rPr>
          <w:rFonts w:eastAsiaTheme="minorHAnsi" w:cs="Arial"/>
          <w:szCs w:val="20"/>
          <w:lang w:val="sl-SI"/>
        </w:rPr>
        <w:t>. Oznake</w:t>
      </w:r>
      <w:r w:rsidRPr="005771BD">
        <w:rPr>
          <w:rFonts w:eastAsiaTheme="minorHAnsi" w:cs="Arial"/>
          <w:szCs w:val="20"/>
          <w:lang w:val="sl-SI"/>
        </w:rPr>
        <w:t xml:space="preserve"> na takih izdelkih </w:t>
      </w:r>
      <w:r w:rsidR="00511EC8">
        <w:rPr>
          <w:rFonts w:eastAsiaTheme="minorHAnsi" w:cs="Arial"/>
          <w:szCs w:val="20"/>
          <w:lang w:val="sl-SI"/>
        </w:rPr>
        <w:t xml:space="preserve">morajo </w:t>
      </w:r>
      <w:r w:rsidRPr="005771BD">
        <w:rPr>
          <w:rFonts w:eastAsiaTheme="minorHAnsi" w:cs="Arial"/>
          <w:szCs w:val="20"/>
          <w:lang w:val="sl-SI"/>
        </w:rPr>
        <w:t>vključevati informacije o tem, da vsebujejo</w:t>
      </w:r>
      <w:r>
        <w:rPr>
          <w:rFonts w:eastAsiaTheme="minorHAnsi" w:cs="Arial"/>
          <w:szCs w:val="20"/>
          <w:lang w:val="sl-SI"/>
        </w:rPr>
        <w:t xml:space="preserve"> </w:t>
      </w:r>
      <w:r w:rsidR="00511EC8">
        <w:rPr>
          <w:rFonts w:eastAsiaTheme="minorHAnsi" w:cs="Arial"/>
          <w:szCs w:val="20"/>
          <w:lang w:val="sl-SI"/>
        </w:rPr>
        <w:t>a</w:t>
      </w:r>
      <w:r w:rsidRPr="005771BD">
        <w:rPr>
          <w:rFonts w:eastAsiaTheme="minorHAnsi" w:cs="Arial"/>
          <w:szCs w:val="20"/>
          <w:lang w:val="sl-SI"/>
        </w:rPr>
        <w:t>li so sestavljeni iz GSO.</w:t>
      </w:r>
    </w:p>
    <w:p w:rsidR="003B2707" w:rsidRPr="005771BD" w:rsidRDefault="003B2707" w:rsidP="003B2707">
      <w:pPr>
        <w:spacing w:line="276" w:lineRule="auto"/>
        <w:jc w:val="both"/>
        <w:rPr>
          <w:rFonts w:eastAsiaTheme="minorHAnsi" w:cs="Arial"/>
          <w:szCs w:val="20"/>
          <w:lang w:val="sl-SI"/>
        </w:rPr>
      </w:pPr>
    </w:p>
    <w:p w:rsidR="003B2707" w:rsidRPr="005771BD" w:rsidRDefault="00DE3B10" w:rsidP="003B2707">
      <w:pPr>
        <w:spacing w:after="200" w:line="276" w:lineRule="auto"/>
        <w:jc w:val="both"/>
        <w:rPr>
          <w:rFonts w:eastAsiaTheme="minorHAnsi" w:cs="Arial"/>
          <w:b/>
          <w:szCs w:val="20"/>
          <w:u w:val="single"/>
          <w:lang w:val="sl-SI"/>
        </w:rPr>
      </w:pPr>
      <w:r>
        <w:rPr>
          <w:rFonts w:eastAsiaTheme="minorHAnsi" w:cs="Arial"/>
          <w:b/>
          <w:szCs w:val="20"/>
          <w:u w:val="single"/>
          <w:lang w:val="sl-SI"/>
        </w:rPr>
        <w:br w:type="column"/>
      </w:r>
      <w:r w:rsidR="003B2707" w:rsidRPr="005771BD">
        <w:rPr>
          <w:rFonts w:eastAsiaTheme="minorHAnsi" w:cs="Arial"/>
          <w:b/>
          <w:szCs w:val="20"/>
          <w:u w:val="single"/>
          <w:lang w:val="sl-SI"/>
        </w:rPr>
        <w:t>1</w:t>
      </w:r>
      <w:r>
        <w:rPr>
          <w:rFonts w:eastAsiaTheme="minorHAnsi" w:cs="Arial"/>
          <w:b/>
          <w:szCs w:val="20"/>
          <w:u w:val="single"/>
          <w:lang w:val="sl-SI"/>
        </w:rPr>
        <w:t>3</w:t>
      </w:r>
      <w:r w:rsidR="003B2707" w:rsidRPr="005771BD">
        <w:rPr>
          <w:rFonts w:eastAsiaTheme="minorHAnsi" w:cs="Arial"/>
          <w:b/>
          <w:szCs w:val="20"/>
          <w:u w:val="single"/>
          <w:lang w:val="sl-SI"/>
        </w:rPr>
        <w:t xml:space="preserve">.3 </w:t>
      </w:r>
      <w:r w:rsidR="003B2707">
        <w:rPr>
          <w:rFonts w:eastAsiaTheme="minorHAnsi" w:cs="Arial"/>
          <w:b/>
          <w:szCs w:val="20"/>
          <w:u w:val="single"/>
          <w:lang w:val="sl-SI"/>
        </w:rPr>
        <w:t>Možni</w:t>
      </w:r>
      <w:r w:rsidR="003B2707" w:rsidRPr="005771BD">
        <w:rPr>
          <w:rFonts w:eastAsiaTheme="minorHAnsi" w:cs="Arial"/>
          <w:b/>
          <w:szCs w:val="20"/>
          <w:u w:val="single"/>
          <w:lang w:val="sl-SI"/>
        </w:rPr>
        <w:t xml:space="preserve"> povzročitelji in </w:t>
      </w:r>
      <w:r w:rsidR="003B2707">
        <w:rPr>
          <w:rFonts w:eastAsiaTheme="minorHAnsi" w:cs="Arial"/>
          <w:b/>
          <w:szCs w:val="20"/>
          <w:u w:val="single"/>
          <w:lang w:val="sl-SI"/>
        </w:rPr>
        <w:t xml:space="preserve">vzroki </w:t>
      </w:r>
      <w:r w:rsidR="003B2707" w:rsidRPr="005771BD">
        <w:rPr>
          <w:rFonts w:eastAsiaTheme="minorHAnsi" w:cs="Arial"/>
          <w:b/>
          <w:szCs w:val="20"/>
          <w:u w:val="single"/>
          <w:lang w:val="sl-SI"/>
        </w:rPr>
        <w:t xml:space="preserve">tveganja </w:t>
      </w:r>
    </w:p>
    <w:p w:rsidR="003B2707" w:rsidRPr="005771BD" w:rsidRDefault="003B2707" w:rsidP="00DE3B10">
      <w:pPr>
        <w:spacing w:after="360" w:line="276" w:lineRule="auto"/>
        <w:jc w:val="both"/>
        <w:rPr>
          <w:rFonts w:eastAsiaTheme="minorHAnsi" w:cs="Arial"/>
          <w:szCs w:val="20"/>
          <w:lang w:val="sl-SI"/>
        </w:rPr>
      </w:pPr>
      <w:r w:rsidRPr="005771BD">
        <w:rPr>
          <w:rFonts w:eastAsiaTheme="minorHAnsi" w:cs="Arial"/>
          <w:szCs w:val="20"/>
          <w:lang w:val="sl-SI"/>
        </w:rPr>
        <w:t>Sodobna biotehnologija in njeni gensko spremenjeni izdelki nimajo dolge zgodovine varne uporabe, zato vzpostavljen</w:t>
      </w:r>
      <w:r>
        <w:rPr>
          <w:rFonts w:eastAsiaTheme="minorHAnsi" w:cs="Arial"/>
          <w:szCs w:val="20"/>
          <w:lang w:val="sl-SI"/>
        </w:rPr>
        <w:t>i</w:t>
      </w:r>
      <w:r w:rsidRPr="005771BD">
        <w:rPr>
          <w:rFonts w:eastAsiaTheme="minorHAnsi" w:cs="Arial"/>
          <w:szCs w:val="20"/>
          <w:lang w:val="sl-SI"/>
        </w:rPr>
        <w:t xml:space="preserve"> sistem biološke varnosti, ki ureja ravnanje z GSO, določa ukrepe za preprečevanje in zmanjševanje možnih škodljivih vplivov na okolje, zlasti glede ohranjanja biotske raznovrstnosti in zdravja ljudi, do katerih bi lahko prišlo pri delu z GSO v zaprtih sistemih, namernem sproščanju GSO v okolje z namenom njihovega preizkušanja in dajanju takih izdelkov na trg. Vzpostavljeni zakonodajni okvir na tem področju zagotavlja postopnost in previdnost na </w:t>
      </w:r>
      <w:r>
        <w:rPr>
          <w:rFonts w:eastAsiaTheme="minorHAnsi" w:cs="Arial"/>
          <w:szCs w:val="20"/>
          <w:lang w:val="sl-SI"/>
        </w:rPr>
        <w:t>podlagi</w:t>
      </w:r>
      <w:r w:rsidRPr="005771BD">
        <w:rPr>
          <w:rFonts w:eastAsiaTheme="minorHAnsi" w:cs="Arial"/>
          <w:szCs w:val="20"/>
          <w:lang w:val="sl-SI"/>
        </w:rPr>
        <w:t xml:space="preserve"> ocene tveganja za vsak posamez</w:t>
      </w:r>
      <w:r>
        <w:rPr>
          <w:rFonts w:eastAsiaTheme="minorHAnsi" w:cs="Arial"/>
          <w:szCs w:val="20"/>
          <w:lang w:val="sl-SI"/>
        </w:rPr>
        <w:t>ni</w:t>
      </w:r>
      <w:r w:rsidRPr="005771BD">
        <w:rPr>
          <w:rFonts w:eastAsiaTheme="minorHAnsi" w:cs="Arial"/>
          <w:szCs w:val="20"/>
          <w:lang w:val="sl-SI"/>
        </w:rPr>
        <w:t xml:space="preserve"> primer </w:t>
      </w:r>
      <w:r>
        <w:rPr>
          <w:rFonts w:eastAsiaTheme="minorHAnsi" w:cs="Arial"/>
          <w:szCs w:val="20"/>
          <w:lang w:val="sl-SI"/>
        </w:rPr>
        <w:t>na</w:t>
      </w:r>
      <w:r w:rsidRPr="005771BD">
        <w:rPr>
          <w:rFonts w:eastAsiaTheme="minorHAnsi" w:cs="Arial"/>
          <w:szCs w:val="20"/>
          <w:lang w:val="sl-SI"/>
        </w:rPr>
        <w:t xml:space="preserve"> njegov</w:t>
      </w:r>
      <w:r>
        <w:rPr>
          <w:rFonts w:eastAsiaTheme="minorHAnsi" w:cs="Arial"/>
          <w:szCs w:val="20"/>
          <w:lang w:val="sl-SI"/>
        </w:rPr>
        <w:t>i</w:t>
      </w:r>
      <w:r w:rsidRPr="005771BD">
        <w:rPr>
          <w:rFonts w:eastAsiaTheme="minorHAnsi" w:cs="Arial"/>
          <w:szCs w:val="20"/>
          <w:lang w:val="sl-SI"/>
        </w:rPr>
        <w:t xml:space="preserve"> celotn</w:t>
      </w:r>
      <w:r>
        <w:rPr>
          <w:rFonts w:eastAsiaTheme="minorHAnsi" w:cs="Arial"/>
          <w:szCs w:val="20"/>
          <w:lang w:val="sl-SI"/>
        </w:rPr>
        <w:t>i</w:t>
      </w:r>
      <w:r w:rsidRPr="005771BD">
        <w:rPr>
          <w:rFonts w:eastAsiaTheme="minorHAnsi" w:cs="Arial"/>
          <w:szCs w:val="20"/>
          <w:lang w:val="sl-SI"/>
        </w:rPr>
        <w:t xml:space="preserve"> pot</w:t>
      </w:r>
      <w:r>
        <w:rPr>
          <w:rFonts w:eastAsiaTheme="minorHAnsi" w:cs="Arial"/>
          <w:szCs w:val="20"/>
          <w:lang w:val="sl-SI"/>
        </w:rPr>
        <w:t>i</w:t>
      </w:r>
      <w:r w:rsidRPr="005771BD">
        <w:rPr>
          <w:rFonts w:eastAsiaTheme="minorHAnsi" w:cs="Arial"/>
          <w:szCs w:val="20"/>
          <w:lang w:val="sl-SI"/>
        </w:rPr>
        <w:t xml:space="preserve"> od priprave GSO v laboratoriju do dovoljevanja njegove uporabe na trgu EU. V nadaljevanju so v ta namen </w:t>
      </w:r>
      <w:r>
        <w:rPr>
          <w:rFonts w:eastAsiaTheme="minorHAnsi" w:cs="Arial"/>
          <w:szCs w:val="20"/>
          <w:lang w:val="sl-SI"/>
        </w:rPr>
        <w:t>opisani</w:t>
      </w:r>
      <w:r w:rsidRPr="005771BD">
        <w:rPr>
          <w:rFonts w:eastAsiaTheme="minorHAnsi" w:cs="Arial"/>
          <w:szCs w:val="20"/>
          <w:lang w:val="sl-SI"/>
        </w:rPr>
        <w:t xml:space="preserve"> zaprti sistemi, poskusno sproščanje v okolje in na koncu dajanje GSO na trg v Sloveniji.</w:t>
      </w:r>
    </w:p>
    <w:p w:rsidR="003B2707" w:rsidRPr="005771BD" w:rsidRDefault="003B2707" w:rsidP="003B2707">
      <w:pPr>
        <w:spacing w:after="200" w:line="276" w:lineRule="auto"/>
        <w:jc w:val="both"/>
        <w:rPr>
          <w:rFonts w:eastAsiaTheme="minorHAnsi" w:cs="Arial"/>
          <w:b/>
          <w:i/>
          <w:szCs w:val="20"/>
          <w:lang w:val="sl-SI"/>
        </w:rPr>
      </w:pPr>
      <w:r w:rsidRPr="005771BD">
        <w:rPr>
          <w:rFonts w:eastAsiaTheme="minorHAnsi" w:cs="Arial"/>
          <w:b/>
          <w:i/>
          <w:szCs w:val="20"/>
          <w:lang w:val="sl-SI"/>
        </w:rPr>
        <w:t>1</w:t>
      </w:r>
      <w:r w:rsidR="00DE3B10">
        <w:rPr>
          <w:rFonts w:eastAsiaTheme="minorHAnsi" w:cs="Arial"/>
          <w:b/>
          <w:i/>
          <w:szCs w:val="20"/>
          <w:lang w:val="sl-SI"/>
        </w:rPr>
        <w:t>3</w:t>
      </w:r>
      <w:r w:rsidRPr="005771BD">
        <w:rPr>
          <w:rFonts w:eastAsiaTheme="minorHAnsi" w:cs="Arial"/>
          <w:b/>
          <w:i/>
          <w:szCs w:val="20"/>
          <w:lang w:val="sl-SI"/>
        </w:rPr>
        <w:t>.3.1 Zaprti sistemi in delo z GSO v zaprtih sistemih</w:t>
      </w:r>
    </w:p>
    <w:p w:rsidR="003B2707" w:rsidRPr="005771BD" w:rsidRDefault="003B2707" w:rsidP="003B2707">
      <w:pPr>
        <w:spacing w:after="200" w:line="276" w:lineRule="auto"/>
        <w:jc w:val="both"/>
        <w:rPr>
          <w:rFonts w:eastAsiaTheme="minorHAnsi" w:cs="Arial"/>
          <w:szCs w:val="20"/>
          <w:lang w:val="sl-SI"/>
        </w:rPr>
      </w:pPr>
      <w:r w:rsidRPr="005771BD">
        <w:rPr>
          <w:rFonts w:eastAsiaTheme="minorHAnsi" w:cs="Arial"/>
          <w:szCs w:val="20"/>
          <w:lang w:val="sl-SI"/>
        </w:rPr>
        <w:t xml:space="preserve">To področje je v celoti v pristojnosti odgovornih organov posameznih držav članic EU. V Sloveniji je za to področje odgovorno ministrstvo, pristojno za varstvo okolja. </w:t>
      </w:r>
      <w:r>
        <w:rPr>
          <w:rFonts w:eastAsiaTheme="minorHAnsi" w:cs="Arial"/>
          <w:szCs w:val="20"/>
          <w:lang w:val="sl-SI"/>
        </w:rPr>
        <w:t>V</w:t>
      </w:r>
      <w:r w:rsidRPr="005771BD">
        <w:rPr>
          <w:rFonts w:eastAsiaTheme="minorHAnsi" w:cs="Arial"/>
          <w:szCs w:val="20"/>
          <w:lang w:val="sl-SI"/>
        </w:rPr>
        <w:t xml:space="preserve"> slovensk</w:t>
      </w:r>
      <w:r>
        <w:rPr>
          <w:rFonts w:eastAsiaTheme="minorHAnsi" w:cs="Arial"/>
          <w:szCs w:val="20"/>
          <w:lang w:val="sl-SI"/>
        </w:rPr>
        <w:t>i</w:t>
      </w:r>
      <w:r w:rsidRPr="005771BD">
        <w:rPr>
          <w:rFonts w:eastAsiaTheme="minorHAnsi" w:cs="Arial"/>
          <w:szCs w:val="20"/>
          <w:lang w:val="sl-SI"/>
        </w:rPr>
        <w:t xml:space="preserve"> zakonodaj</w:t>
      </w:r>
      <w:r>
        <w:rPr>
          <w:rFonts w:eastAsiaTheme="minorHAnsi" w:cs="Arial"/>
          <w:szCs w:val="20"/>
          <w:lang w:val="sl-SI"/>
        </w:rPr>
        <w:t>i</w:t>
      </w:r>
      <w:r w:rsidRPr="005771BD">
        <w:rPr>
          <w:rFonts w:eastAsiaTheme="minorHAnsi" w:cs="Arial"/>
          <w:szCs w:val="20"/>
          <w:lang w:val="sl-SI"/>
        </w:rPr>
        <w:t xml:space="preserve"> so s pojmoma »zaprti sistem« in »delo v zaprtem sistemu« </w:t>
      </w:r>
      <w:r>
        <w:rPr>
          <w:rFonts w:eastAsiaTheme="minorHAnsi" w:cs="Arial"/>
          <w:szCs w:val="20"/>
          <w:lang w:val="sl-SI"/>
        </w:rPr>
        <w:t>zajete</w:t>
      </w:r>
      <w:r w:rsidRPr="005771BD">
        <w:rPr>
          <w:rFonts w:eastAsiaTheme="minorHAnsi" w:cs="Arial"/>
          <w:szCs w:val="20"/>
          <w:lang w:val="sl-SI"/>
        </w:rPr>
        <w:t xml:space="preserve"> vse aktivnosti, pri katerih se gensko spreminja organizem (vključno z virusi, viroidi, mikroorganizmi ter živalskimi in rastlinskimi celicami) ali goji GSO, se ga razmnožuje, shranjuje, prevaža, uničuje, odstranjuje ali na drug način uporablja v temu namenjenih prostorih in za katere se izvajajo zadrževalni ukrepi. </w:t>
      </w:r>
    </w:p>
    <w:p w:rsidR="003B2707" w:rsidRPr="005771BD" w:rsidRDefault="003B2707" w:rsidP="003B2707">
      <w:pPr>
        <w:spacing w:after="200" w:line="276" w:lineRule="auto"/>
        <w:jc w:val="both"/>
        <w:rPr>
          <w:rFonts w:eastAsiaTheme="minorHAnsi" w:cs="Arial"/>
          <w:szCs w:val="20"/>
          <w:lang w:val="sl-SI"/>
        </w:rPr>
      </w:pPr>
      <w:r w:rsidRPr="005771BD">
        <w:rPr>
          <w:rFonts w:eastAsiaTheme="minorHAnsi" w:cs="Arial"/>
          <w:szCs w:val="20"/>
          <w:lang w:val="sl-SI"/>
        </w:rPr>
        <w:t xml:space="preserve">Vsak, ki namerava delati z GSO v zaprtem sistemu, ki je lahko laboratorij, genska banka, proizvodni oddelek ali katerikoli drugi zaprt prostor, mora svoj zaprti sistem in aktivnost v njem prijaviti odgovornemu organu. V postopku izdaje potrdila ali dovoljenja odgovorni organ preverja primernost zaprtega sistema za izvajanje nameravane aktivnosti </w:t>
      </w:r>
      <w:r>
        <w:rPr>
          <w:rFonts w:eastAsiaTheme="minorHAnsi" w:cs="Arial"/>
          <w:szCs w:val="20"/>
          <w:lang w:val="sl-SI"/>
        </w:rPr>
        <w:t>ter</w:t>
      </w:r>
      <w:r w:rsidRPr="005771BD">
        <w:rPr>
          <w:rFonts w:eastAsiaTheme="minorHAnsi" w:cs="Arial"/>
          <w:szCs w:val="20"/>
          <w:lang w:val="sl-SI"/>
        </w:rPr>
        <w:t xml:space="preserve"> ustreznost in zadostnost ukrepov, da delo z GSO ne p</w:t>
      </w:r>
      <w:r>
        <w:rPr>
          <w:rFonts w:eastAsiaTheme="minorHAnsi" w:cs="Arial"/>
          <w:szCs w:val="20"/>
          <w:lang w:val="sl-SI"/>
        </w:rPr>
        <w:t>omeni</w:t>
      </w:r>
      <w:r w:rsidRPr="005771BD">
        <w:rPr>
          <w:rFonts w:eastAsiaTheme="minorHAnsi" w:cs="Arial"/>
          <w:szCs w:val="20"/>
          <w:lang w:val="sl-SI"/>
        </w:rPr>
        <w:t xml:space="preserve"> nevarnosti za zdravje ljudi in okolje.</w:t>
      </w:r>
    </w:p>
    <w:p w:rsidR="003B2707" w:rsidRPr="005771BD" w:rsidRDefault="003B2707" w:rsidP="003B2707">
      <w:pPr>
        <w:spacing w:line="276" w:lineRule="auto"/>
        <w:jc w:val="both"/>
        <w:rPr>
          <w:rFonts w:eastAsiaTheme="minorHAnsi" w:cs="Arial"/>
          <w:szCs w:val="20"/>
          <w:lang w:val="sl-SI"/>
        </w:rPr>
      </w:pPr>
      <w:r w:rsidRPr="005771BD">
        <w:rPr>
          <w:rFonts w:eastAsiaTheme="minorHAnsi" w:cs="Arial"/>
          <w:szCs w:val="20"/>
          <w:lang w:val="sl-SI"/>
        </w:rPr>
        <w:t xml:space="preserve">Na </w:t>
      </w:r>
      <w:r>
        <w:rPr>
          <w:rFonts w:eastAsiaTheme="minorHAnsi" w:cs="Arial"/>
          <w:szCs w:val="20"/>
          <w:lang w:val="sl-SI"/>
        </w:rPr>
        <w:t>podlagi</w:t>
      </w:r>
      <w:r w:rsidRPr="005771BD">
        <w:rPr>
          <w:rFonts w:eastAsiaTheme="minorHAnsi" w:cs="Arial"/>
          <w:szCs w:val="20"/>
          <w:lang w:val="sl-SI"/>
        </w:rPr>
        <w:t xml:space="preserve"> tveganja za okolje so delo in aktivnosti z GSO v zaprtem sistemu razdeljene na štiri varnostne razrede, in sicer:</w:t>
      </w:r>
    </w:p>
    <w:p w:rsidR="003B2707" w:rsidRPr="005771BD" w:rsidRDefault="003B2707" w:rsidP="003B2707">
      <w:pPr>
        <w:numPr>
          <w:ilvl w:val="0"/>
          <w:numId w:val="75"/>
        </w:numPr>
        <w:spacing w:before="60" w:line="276" w:lineRule="auto"/>
        <w:ind w:left="284" w:hanging="284"/>
        <w:jc w:val="both"/>
        <w:rPr>
          <w:rFonts w:cs="Arial"/>
          <w:szCs w:val="20"/>
          <w:lang w:val="sl-SI" w:eastAsia="sl-SI"/>
        </w:rPr>
      </w:pPr>
      <w:r w:rsidRPr="00A95A16">
        <w:rPr>
          <w:rFonts w:cs="Arial"/>
          <w:szCs w:val="20"/>
          <w:lang w:val="sl-SI" w:eastAsia="sl-SI"/>
        </w:rPr>
        <w:t>prvi varnostni razred, če gre za delo, pri katerem je tveganje zanemarljivo,</w:t>
      </w:r>
    </w:p>
    <w:p w:rsidR="003B2707" w:rsidRPr="005771BD" w:rsidRDefault="003B2707" w:rsidP="003B2707">
      <w:pPr>
        <w:numPr>
          <w:ilvl w:val="0"/>
          <w:numId w:val="75"/>
        </w:numPr>
        <w:spacing w:before="60" w:line="276" w:lineRule="auto"/>
        <w:ind w:left="284" w:hanging="284"/>
        <w:jc w:val="both"/>
        <w:rPr>
          <w:rFonts w:cs="Arial"/>
          <w:szCs w:val="20"/>
          <w:lang w:val="sl-SI" w:eastAsia="sl-SI"/>
        </w:rPr>
      </w:pPr>
      <w:r w:rsidRPr="00A95A16">
        <w:rPr>
          <w:rFonts w:cs="Arial"/>
          <w:szCs w:val="20"/>
          <w:lang w:val="sl-SI" w:eastAsia="sl-SI"/>
        </w:rPr>
        <w:t>drugi varnostni razred, če gre za delo, pri katerem je tveganje majhno,</w:t>
      </w:r>
    </w:p>
    <w:p w:rsidR="003B2707" w:rsidRPr="005771BD" w:rsidRDefault="003B2707" w:rsidP="003B2707">
      <w:pPr>
        <w:numPr>
          <w:ilvl w:val="0"/>
          <w:numId w:val="75"/>
        </w:numPr>
        <w:spacing w:before="60" w:line="276" w:lineRule="auto"/>
        <w:ind w:left="284" w:hanging="284"/>
        <w:jc w:val="both"/>
        <w:rPr>
          <w:rFonts w:cs="Arial"/>
          <w:szCs w:val="20"/>
          <w:lang w:val="sl-SI" w:eastAsia="sl-SI"/>
        </w:rPr>
      </w:pPr>
      <w:r w:rsidRPr="00A95A16">
        <w:rPr>
          <w:rFonts w:cs="Arial"/>
          <w:szCs w:val="20"/>
          <w:lang w:val="sl-SI" w:eastAsia="sl-SI"/>
        </w:rPr>
        <w:t>tretji varnostni razred, če gre za delo, pri katerem je tveganje zmerno,</w:t>
      </w:r>
    </w:p>
    <w:p w:rsidR="003B2707" w:rsidRPr="005771BD" w:rsidRDefault="003B2707" w:rsidP="003B2707">
      <w:pPr>
        <w:numPr>
          <w:ilvl w:val="0"/>
          <w:numId w:val="75"/>
        </w:numPr>
        <w:spacing w:before="60" w:after="200" w:line="276" w:lineRule="auto"/>
        <w:ind w:left="284" w:hanging="284"/>
        <w:jc w:val="both"/>
        <w:rPr>
          <w:rFonts w:cs="Arial"/>
          <w:szCs w:val="20"/>
          <w:lang w:val="sl-SI" w:eastAsia="sl-SI"/>
        </w:rPr>
      </w:pPr>
      <w:r w:rsidRPr="00A95A16">
        <w:rPr>
          <w:rFonts w:cs="Arial"/>
          <w:szCs w:val="20"/>
          <w:lang w:val="sl-SI" w:eastAsia="sl-SI"/>
        </w:rPr>
        <w:t>četrti varnostni razred, če gre za delo, pri katerem je tveganje veliko.</w:t>
      </w:r>
    </w:p>
    <w:p w:rsidR="003B2707" w:rsidRPr="005771BD" w:rsidRDefault="003B2707" w:rsidP="003B2707">
      <w:pPr>
        <w:spacing w:after="200" w:line="276" w:lineRule="auto"/>
        <w:jc w:val="both"/>
        <w:rPr>
          <w:rFonts w:eastAsiaTheme="minorHAnsi" w:cs="Arial"/>
          <w:szCs w:val="20"/>
          <w:lang w:val="sl-SI"/>
        </w:rPr>
      </w:pPr>
      <w:r w:rsidRPr="005771BD">
        <w:rPr>
          <w:rFonts w:eastAsiaTheme="minorHAnsi" w:cs="Arial"/>
          <w:szCs w:val="20"/>
          <w:lang w:val="sl-SI"/>
        </w:rPr>
        <w:t>Razvrstitev del z GSO v zaprtem sistemu v varnostne razrede izhaja iz ravni tveganja, ki ga GSO in delo z njimi p</w:t>
      </w:r>
      <w:r>
        <w:rPr>
          <w:rFonts w:eastAsiaTheme="minorHAnsi" w:cs="Arial"/>
          <w:szCs w:val="20"/>
          <w:lang w:val="sl-SI"/>
        </w:rPr>
        <w:t>omenijo</w:t>
      </w:r>
      <w:r w:rsidRPr="005771BD">
        <w:rPr>
          <w:rFonts w:eastAsiaTheme="minorHAnsi" w:cs="Arial"/>
          <w:szCs w:val="20"/>
          <w:lang w:val="sl-SI"/>
        </w:rPr>
        <w:t xml:space="preserve"> za zdravje ljudi, živali, rastline in okolje. Raven tveganja se ugotovi in ovrednoti na </w:t>
      </w:r>
      <w:r>
        <w:rPr>
          <w:rFonts w:eastAsiaTheme="minorHAnsi" w:cs="Arial"/>
          <w:szCs w:val="20"/>
          <w:lang w:val="sl-SI"/>
        </w:rPr>
        <w:t>podlagi</w:t>
      </w:r>
      <w:r w:rsidRPr="005771BD">
        <w:rPr>
          <w:rFonts w:eastAsiaTheme="minorHAnsi" w:cs="Arial"/>
          <w:szCs w:val="20"/>
          <w:lang w:val="sl-SI"/>
        </w:rPr>
        <w:t xml:space="preserve"> presoje tveganja, ki je pripravljena za nameravano delo z GSO. </w:t>
      </w:r>
    </w:p>
    <w:p w:rsidR="003B2707" w:rsidRPr="005771BD" w:rsidRDefault="003B2707" w:rsidP="003B2707">
      <w:pPr>
        <w:spacing w:after="200" w:line="276" w:lineRule="auto"/>
        <w:jc w:val="both"/>
        <w:rPr>
          <w:rFonts w:cs="Arial"/>
          <w:color w:val="000000" w:themeColor="text1"/>
          <w:szCs w:val="20"/>
          <w:lang w:val="sl-SI" w:eastAsia="sl-SI"/>
        </w:rPr>
      </w:pPr>
      <w:r w:rsidRPr="005771BD">
        <w:rPr>
          <w:rFonts w:eastAsiaTheme="minorHAnsi" w:cs="Arial"/>
          <w:color w:val="000000" w:themeColor="text1"/>
          <w:szCs w:val="20"/>
          <w:lang w:val="sl-SI"/>
        </w:rPr>
        <w:t xml:space="preserve">Tako se lahko delo z GSO uvrsti v prvi varnostni razred, če </w:t>
      </w:r>
      <w:r w:rsidRPr="005771BD">
        <w:rPr>
          <w:rFonts w:cs="Arial"/>
          <w:color w:val="000000" w:themeColor="text1"/>
          <w:szCs w:val="20"/>
          <w:lang w:val="sl-SI" w:eastAsia="sl-SI"/>
        </w:rPr>
        <w:t>prejemni, starševski ali izvorni organizem ter vektor, vključek in novonastali GSO ne povzročajo bolezni ali sprememb pri zdravih ljudeh, živalih ali rastlinah, vključno z alergijskimi in toksičnimi učinki</w:t>
      </w:r>
      <w:r>
        <w:rPr>
          <w:rFonts w:cs="Arial"/>
          <w:color w:val="000000" w:themeColor="text1"/>
          <w:szCs w:val="20"/>
          <w:lang w:val="sl-SI" w:eastAsia="sl-SI"/>
        </w:rPr>
        <w:t>,</w:t>
      </w:r>
      <w:r w:rsidRPr="005771BD">
        <w:rPr>
          <w:rFonts w:cs="Arial"/>
          <w:color w:val="000000" w:themeColor="text1"/>
          <w:szCs w:val="20"/>
          <w:lang w:val="sl-SI" w:eastAsia="sl-SI"/>
        </w:rPr>
        <w:t xml:space="preserve"> ter ne povzročajo škodljivih učinkov v okolju </w:t>
      </w:r>
      <w:r>
        <w:rPr>
          <w:rFonts w:cs="Arial"/>
          <w:color w:val="000000" w:themeColor="text1"/>
          <w:szCs w:val="20"/>
          <w:lang w:val="sl-SI" w:eastAsia="sl-SI"/>
        </w:rPr>
        <w:t>in</w:t>
      </w:r>
      <w:r w:rsidRPr="005771BD">
        <w:rPr>
          <w:rFonts w:cs="Arial"/>
          <w:color w:val="000000" w:themeColor="text1"/>
          <w:szCs w:val="20"/>
          <w:lang w:val="sl-SI" w:eastAsia="sl-SI"/>
        </w:rPr>
        <w:t xml:space="preserve"> ne ogrožajo biotske raznovrstnosti ali naravnega ravnovesja. Tveganje za okolje je v takih primerih ovrednoteno kot zanemarljivo.</w:t>
      </w:r>
    </w:p>
    <w:p w:rsidR="003B2707" w:rsidRPr="005771BD" w:rsidRDefault="003B2707" w:rsidP="003B2707">
      <w:pPr>
        <w:spacing w:after="200" w:line="276" w:lineRule="auto"/>
        <w:jc w:val="both"/>
        <w:rPr>
          <w:rFonts w:cs="Arial"/>
          <w:color w:val="000000" w:themeColor="text1"/>
          <w:szCs w:val="20"/>
          <w:lang w:val="sl-SI" w:eastAsia="sl-SI"/>
        </w:rPr>
      </w:pPr>
      <w:r w:rsidRPr="005771BD">
        <w:rPr>
          <w:rFonts w:cs="Arial"/>
          <w:color w:val="000000" w:themeColor="text1"/>
          <w:szCs w:val="20"/>
          <w:lang w:val="sl-SI" w:eastAsia="sl-SI"/>
        </w:rPr>
        <w:t>Delo z GSO se uvršča v drugi varnostni razred, če prejemni, starševski ali izvorni organizem ter vektor ali vključek in novonastali GSO lahko povzroča</w:t>
      </w:r>
      <w:r>
        <w:rPr>
          <w:rFonts w:cs="Arial"/>
          <w:color w:val="000000" w:themeColor="text1"/>
          <w:szCs w:val="20"/>
          <w:lang w:val="sl-SI" w:eastAsia="sl-SI"/>
        </w:rPr>
        <w:t>jo</w:t>
      </w:r>
      <w:r w:rsidRPr="005771BD">
        <w:rPr>
          <w:rFonts w:cs="Arial"/>
          <w:color w:val="000000" w:themeColor="text1"/>
          <w:szCs w:val="20"/>
          <w:lang w:val="sl-SI" w:eastAsia="sl-SI"/>
        </w:rPr>
        <w:t xml:space="preserve"> bolezni pri ljudeh, živalih ali rastlinah in </w:t>
      </w:r>
      <w:r>
        <w:rPr>
          <w:rFonts w:cs="Arial"/>
          <w:color w:val="000000" w:themeColor="text1"/>
          <w:szCs w:val="20"/>
          <w:lang w:val="sl-SI" w:eastAsia="sl-SI"/>
        </w:rPr>
        <w:t>so</w:t>
      </w:r>
      <w:r w:rsidRPr="005771BD">
        <w:rPr>
          <w:rFonts w:cs="Arial"/>
          <w:color w:val="000000" w:themeColor="text1"/>
          <w:szCs w:val="20"/>
          <w:lang w:val="sl-SI" w:eastAsia="sl-SI"/>
        </w:rPr>
        <w:t xml:space="preserve"> lahko nevar</w:t>
      </w:r>
      <w:r>
        <w:rPr>
          <w:rFonts w:cs="Arial"/>
          <w:color w:val="000000" w:themeColor="text1"/>
          <w:szCs w:val="20"/>
          <w:lang w:val="sl-SI" w:eastAsia="sl-SI"/>
        </w:rPr>
        <w:t>ni</w:t>
      </w:r>
      <w:r w:rsidRPr="005771BD">
        <w:rPr>
          <w:rFonts w:cs="Arial"/>
          <w:color w:val="000000" w:themeColor="text1"/>
          <w:szCs w:val="20"/>
          <w:lang w:val="sl-SI" w:eastAsia="sl-SI"/>
        </w:rPr>
        <w:t xml:space="preserve"> za njihovo zdravje. Pomembno pri tem je, da obstaja učinkovito preprečevanje ali zdravljenje take bolezni. V tem primeru je tudi tveganje za okolje, biotsko raznovrstnost in naravno ravnovesje majhno</w:t>
      </w:r>
      <w:r>
        <w:rPr>
          <w:rFonts w:cs="Arial"/>
          <w:color w:val="000000" w:themeColor="text1"/>
          <w:szCs w:val="20"/>
          <w:lang w:val="sl-SI" w:eastAsia="sl-SI"/>
        </w:rPr>
        <w:t xml:space="preserve">, </w:t>
      </w:r>
      <w:r w:rsidRPr="005771BD">
        <w:rPr>
          <w:rFonts w:cs="Arial"/>
          <w:color w:val="000000" w:themeColor="text1"/>
          <w:szCs w:val="20"/>
          <w:lang w:val="sl-SI" w:eastAsia="sl-SI"/>
        </w:rPr>
        <w:t xml:space="preserve">morebitni škodljivi učinki v okolju </w:t>
      </w:r>
      <w:r>
        <w:rPr>
          <w:rFonts w:cs="Arial"/>
          <w:color w:val="000000" w:themeColor="text1"/>
          <w:szCs w:val="20"/>
          <w:lang w:val="sl-SI" w:eastAsia="sl-SI"/>
        </w:rPr>
        <w:t xml:space="preserve">pa </w:t>
      </w:r>
      <w:r w:rsidRPr="005771BD">
        <w:rPr>
          <w:rFonts w:cs="Arial"/>
          <w:color w:val="000000" w:themeColor="text1"/>
          <w:szCs w:val="20"/>
          <w:lang w:val="sl-SI" w:eastAsia="sl-SI"/>
        </w:rPr>
        <w:t xml:space="preserve">so popravljivi. Upoštevati je treba tudi, da je lahko tak GSO sposoben razmnoževanja in križanja z drugimi v naravi prisotnimi vrstami, vendar je ob uporabi ustreznih zadrževalnih ukrepov preprečeno ogrožanje biotske raznovrstnosti ali naravnega ravnovesja. </w:t>
      </w:r>
      <w:r>
        <w:rPr>
          <w:rFonts w:cs="Arial"/>
          <w:color w:val="000000" w:themeColor="text1"/>
          <w:szCs w:val="20"/>
          <w:lang w:val="sl-SI" w:eastAsia="sl-SI"/>
        </w:rPr>
        <w:t>Prav tako je treba  upoštevati</w:t>
      </w:r>
      <w:r w:rsidRPr="005771BD">
        <w:rPr>
          <w:rFonts w:cs="Arial"/>
          <w:color w:val="000000" w:themeColor="text1"/>
          <w:szCs w:val="20"/>
          <w:lang w:val="sl-SI" w:eastAsia="sl-SI"/>
        </w:rPr>
        <w:t>, da so mo</w:t>
      </w:r>
      <w:r>
        <w:rPr>
          <w:rFonts w:cs="Arial"/>
          <w:color w:val="000000" w:themeColor="text1"/>
          <w:szCs w:val="20"/>
          <w:lang w:val="sl-SI" w:eastAsia="sl-SI"/>
        </w:rPr>
        <w:t>goči</w:t>
      </w:r>
      <w:r w:rsidRPr="005771BD">
        <w:rPr>
          <w:rFonts w:cs="Arial"/>
          <w:color w:val="000000" w:themeColor="text1"/>
          <w:szCs w:val="20"/>
          <w:lang w:val="sl-SI" w:eastAsia="sl-SI"/>
        </w:rPr>
        <w:t xml:space="preserve"> tudi škodljivi učinki zaradi naravnega prenosa vnesenega genskega materiala v druge organizme, vendar ti ne ogrozijo biotske raznovrstnosti ali naravnega ravnovesja.</w:t>
      </w:r>
    </w:p>
    <w:p w:rsidR="003B2707" w:rsidRPr="005771BD" w:rsidRDefault="003B2707" w:rsidP="003B2707">
      <w:pPr>
        <w:spacing w:after="200" w:line="276" w:lineRule="auto"/>
        <w:jc w:val="both"/>
        <w:rPr>
          <w:rFonts w:cs="Arial"/>
          <w:color w:val="000000" w:themeColor="text1"/>
          <w:szCs w:val="20"/>
          <w:lang w:val="sl-SI" w:eastAsia="sl-SI"/>
        </w:rPr>
      </w:pPr>
      <w:r w:rsidRPr="005771BD">
        <w:rPr>
          <w:rFonts w:cs="Arial"/>
          <w:color w:val="000000" w:themeColor="text1"/>
          <w:szCs w:val="20"/>
          <w:lang w:val="sl-SI" w:eastAsia="sl-SI"/>
        </w:rPr>
        <w:t>V tretjem in četrtem varnostnem razredu lahko prejemni ali starševski ali izvorni organizem ali vektor ali vključek ter novonastali GSO povzročajo hude bolezni, v primeru četrtega varnostnega razreda celo smrt pri ljudeh, živalih ali rastlinah, in p</w:t>
      </w:r>
      <w:r>
        <w:rPr>
          <w:rFonts w:cs="Arial"/>
          <w:color w:val="000000" w:themeColor="text1"/>
          <w:szCs w:val="20"/>
          <w:lang w:val="sl-SI" w:eastAsia="sl-SI"/>
        </w:rPr>
        <w:t>omenijo</w:t>
      </w:r>
      <w:r w:rsidRPr="005771BD">
        <w:rPr>
          <w:rFonts w:cs="Arial"/>
          <w:color w:val="000000" w:themeColor="text1"/>
          <w:szCs w:val="20"/>
          <w:lang w:val="sl-SI" w:eastAsia="sl-SI"/>
        </w:rPr>
        <w:t xml:space="preserve"> veliko oziroma zelo visoko tveganje za njihovo zdravje. Učinkovito preprečevanje ali zdravljenje je v t</w:t>
      </w:r>
      <w:r>
        <w:rPr>
          <w:rFonts w:cs="Arial"/>
          <w:color w:val="000000" w:themeColor="text1"/>
          <w:szCs w:val="20"/>
          <w:lang w:val="sl-SI" w:eastAsia="sl-SI"/>
        </w:rPr>
        <w:t>eh</w:t>
      </w:r>
      <w:r w:rsidRPr="005771BD">
        <w:rPr>
          <w:rFonts w:cs="Arial"/>
          <w:color w:val="000000" w:themeColor="text1"/>
          <w:szCs w:val="20"/>
          <w:lang w:val="sl-SI" w:eastAsia="sl-SI"/>
        </w:rPr>
        <w:t xml:space="preserve"> primerih </w:t>
      </w:r>
      <w:r>
        <w:rPr>
          <w:rFonts w:cs="Arial"/>
          <w:color w:val="000000" w:themeColor="text1"/>
          <w:szCs w:val="20"/>
          <w:lang w:val="sl-SI" w:eastAsia="sl-SI"/>
        </w:rPr>
        <w:t xml:space="preserve">običajno </w:t>
      </w:r>
      <w:r w:rsidRPr="005771BD">
        <w:rPr>
          <w:rFonts w:cs="Arial"/>
          <w:color w:val="000000" w:themeColor="text1"/>
          <w:szCs w:val="20"/>
          <w:lang w:val="sl-SI" w:eastAsia="sl-SI"/>
        </w:rPr>
        <w:t xml:space="preserve">težko dostopno ali pa ni na voljo. Tak GSO je v primeru nenamernega sproščanja v okolje sposoben razmnoževanja in križanja z drugimi v naravi prisotnimi vrstami, kar ogroža biotsko raznovrstnost ali lahko poruši naravno ravnovesje. Predvsem v četrtem varnostnem razredu so lahko njegovi morebitni škodljivi učinki v okolju nepopravljivi. </w:t>
      </w:r>
    </w:p>
    <w:p w:rsidR="003B2707" w:rsidRPr="005771BD" w:rsidRDefault="003B2707" w:rsidP="003B2707">
      <w:pPr>
        <w:spacing w:after="200" w:line="276" w:lineRule="auto"/>
        <w:jc w:val="both"/>
        <w:rPr>
          <w:rFonts w:cs="Arial"/>
          <w:color w:val="000000" w:themeColor="text1"/>
          <w:szCs w:val="20"/>
          <w:lang w:val="sl-SI" w:eastAsia="sl-SI"/>
        </w:rPr>
      </w:pPr>
      <w:r>
        <w:rPr>
          <w:rFonts w:cs="Arial"/>
          <w:color w:val="000000" w:themeColor="text1"/>
          <w:szCs w:val="20"/>
          <w:lang w:val="sl-SI" w:eastAsia="sl-SI"/>
        </w:rPr>
        <w:t>Kakor že omenjeno</w:t>
      </w:r>
      <w:r w:rsidRPr="005771BD">
        <w:rPr>
          <w:rFonts w:cs="Arial"/>
          <w:color w:val="000000" w:themeColor="text1"/>
          <w:szCs w:val="20"/>
          <w:lang w:val="sl-SI" w:eastAsia="sl-SI"/>
        </w:rPr>
        <w:t xml:space="preserve">, mora prijavitelj pri vsakem delu z GSO zagotoviti vse potrebne zadrževalne in druge varstvene ukrepe (v nadaljnjem besedilu: zadrževalni ukrepi), da se prepreči stik GSO z ljudmi in okoljem zunaj zaprtega sistema ter prenos genskega materiala iz zaprtega sistema v okolje. V ta namen morajo zadrževalni ukrepi zajemati </w:t>
      </w:r>
      <w:r w:rsidRPr="005771BD">
        <w:rPr>
          <w:rFonts w:cs="Arial"/>
          <w:color w:val="000000" w:themeColor="text1"/>
          <w:szCs w:val="20"/>
          <w:u w:val="single"/>
          <w:lang w:val="sl-SI" w:eastAsia="sl-SI"/>
        </w:rPr>
        <w:t>biološke ukrepe</w:t>
      </w:r>
      <w:r w:rsidRPr="005771BD">
        <w:rPr>
          <w:rFonts w:cs="Arial"/>
          <w:color w:val="000000" w:themeColor="text1"/>
          <w:szCs w:val="20"/>
          <w:lang w:val="sl-SI" w:eastAsia="sl-SI"/>
        </w:rPr>
        <w:t xml:space="preserve">, ki preprečujejo prenos genske spremembe v organizmu na druge organizme po biološki poti, ali </w:t>
      </w:r>
      <w:r w:rsidRPr="005771BD">
        <w:rPr>
          <w:rFonts w:cs="Arial"/>
          <w:color w:val="000000" w:themeColor="text1"/>
          <w:szCs w:val="20"/>
          <w:u w:val="single"/>
          <w:lang w:val="sl-SI" w:eastAsia="sl-SI"/>
        </w:rPr>
        <w:t>fizične ukrepe</w:t>
      </w:r>
      <w:r w:rsidRPr="005771BD">
        <w:rPr>
          <w:rFonts w:cs="Arial"/>
          <w:color w:val="000000" w:themeColor="text1"/>
          <w:szCs w:val="20"/>
          <w:lang w:val="sl-SI" w:eastAsia="sl-SI"/>
        </w:rPr>
        <w:t>, ki preprečujejo stik ljudi ali okolja z GSO zunaj zaprtega sistema, in sicer s fizičnimi zaporami ali kemičnimi ukrepi, ki inaktivirajo ali uničijo GSO s kemičnimi procesi</w:t>
      </w:r>
      <w:r>
        <w:rPr>
          <w:rFonts w:cs="Arial"/>
          <w:color w:val="000000" w:themeColor="text1"/>
          <w:szCs w:val="20"/>
          <w:lang w:val="sl-SI" w:eastAsia="sl-SI"/>
        </w:rPr>
        <w:t>,</w:t>
      </w:r>
      <w:r w:rsidRPr="005771BD">
        <w:rPr>
          <w:rFonts w:cs="Arial"/>
          <w:color w:val="000000" w:themeColor="text1"/>
          <w:szCs w:val="20"/>
          <w:lang w:val="sl-SI" w:eastAsia="sl-SI"/>
        </w:rPr>
        <w:t xml:space="preserve"> ter </w:t>
      </w:r>
      <w:r w:rsidRPr="005771BD">
        <w:rPr>
          <w:rFonts w:cs="Arial"/>
          <w:color w:val="000000" w:themeColor="text1"/>
          <w:szCs w:val="20"/>
          <w:u w:val="single"/>
          <w:lang w:val="sl-SI" w:eastAsia="sl-SI"/>
        </w:rPr>
        <w:t>organizacijske ukrepe</w:t>
      </w:r>
      <w:r w:rsidRPr="005771BD">
        <w:rPr>
          <w:rFonts w:cs="Arial"/>
          <w:color w:val="000000" w:themeColor="text1"/>
          <w:szCs w:val="20"/>
          <w:lang w:val="sl-SI" w:eastAsia="sl-SI"/>
        </w:rPr>
        <w:t xml:space="preserve">, ki zajemajo sistem dela v zaprtem sistemu in aktivnosti, povezane z zagotavljanjem varnega dela. Na </w:t>
      </w:r>
      <w:r>
        <w:rPr>
          <w:rFonts w:cs="Arial"/>
          <w:color w:val="000000" w:themeColor="text1"/>
          <w:szCs w:val="20"/>
          <w:lang w:val="sl-SI" w:eastAsia="sl-SI"/>
        </w:rPr>
        <w:t>podlagi</w:t>
      </w:r>
      <w:r w:rsidRPr="005771BD">
        <w:rPr>
          <w:rFonts w:cs="Arial"/>
          <w:color w:val="000000" w:themeColor="text1"/>
          <w:szCs w:val="20"/>
          <w:lang w:val="sl-SI" w:eastAsia="sl-SI"/>
        </w:rPr>
        <w:t xml:space="preserve"> ocene tveganja lahko zadrževalni ukrep zajema enega ali vse od ukrepov ali njihove kombinacije. </w:t>
      </w:r>
    </w:p>
    <w:p w:rsidR="003B2707" w:rsidRPr="005771BD" w:rsidRDefault="003B2707" w:rsidP="003B2707">
      <w:pPr>
        <w:spacing w:after="200" w:line="276" w:lineRule="auto"/>
        <w:jc w:val="both"/>
        <w:rPr>
          <w:rFonts w:eastAsiaTheme="minorHAnsi" w:cs="Arial"/>
          <w:color w:val="000000" w:themeColor="text1"/>
          <w:szCs w:val="20"/>
          <w:lang w:val="sl-SI"/>
        </w:rPr>
      </w:pPr>
      <w:r>
        <w:rPr>
          <w:rFonts w:eastAsiaTheme="minorHAnsi" w:cs="Arial"/>
          <w:color w:val="000000" w:themeColor="text1"/>
          <w:szCs w:val="20"/>
          <w:lang w:val="sl-SI"/>
        </w:rPr>
        <w:t>Ob</w:t>
      </w:r>
      <w:r w:rsidRPr="005771BD">
        <w:rPr>
          <w:rFonts w:eastAsiaTheme="minorHAnsi" w:cs="Arial"/>
          <w:color w:val="000000" w:themeColor="text1"/>
          <w:szCs w:val="20"/>
          <w:lang w:val="sl-SI"/>
        </w:rPr>
        <w:t xml:space="preserve"> upoštevanj</w:t>
      </w:r>
      <w:r>
        <w:rPr>
          <w:rFonts w:eastAsiaTheme="minorHAnsi" w:cs="Arial"/>
          <w:color w:val="000000" w:themeColor="text1"/>
          <w:szCs w:val="20"/>
          <w:lang w:val="sl-SI"/>
        </w:rPr>
        <w:t>u</w:t>
      </w:r>
      <w:r w:rsidRPr="005771BD">
        <w:rPr>
          <w:rFonts w:eastAsiaTheme="minorHAnsi" w:cs="Arial"/>
          <w:color w:val="000000" w:themeColor="text1"/>
          <w:szCs w:val="20"/>
          <w:lang w:val="sl-SI"/>
        </w:rPr>
        <w:t xml:space="preserve"> predpisanih zahtev, ocene tveganja za okolje in zagotavljanj</w:t>
      </w:r>
      <w:r>
        <w:rPr>
          <w:rFonts w:eastAsiaTheme="minorHAnsi" w:cs="Arial"/>
          <w:color w:val="000000" w:themeColor="text1"/>
          <w:szCs w:val="20"/>
          <w:lang w:val="sl-SI"/>
        </w:rPr>
        <w:t>u</w:t>
      </w:r>
      <w:r w:rsidRPr="005771BD">
        <w:rPr>
          <w:rFonts w:eastAsiaTheme="minorHAnsi" w:cs="Arial"/>
          <w:color w:val="000000" w:themeColor="text1"/>
          <w:szCs w:val="20"/>
          <w:lang w:val="sl-SI"/>
        </w:rPr>
        <w:t xml:space="preserve"> primernih zadrževalnih ukrepov je v Sloveniji v register vpisanih 66 zaprtih sistemov za delo z GSO (laboratoriji ali proizvodni oddelki ali drugi zaprti prostori, kjer se dela z GSO), kar pomeni nekoliko več kot </w:t>
      </w:r>
      <w:r>
        <w:rPr>
          <w:rFonts w:eastAsiaTheme="minorHAnsi" w:cs="Arial"/>
          <w:color w:val="000000" w:themeColor="text1"/>
          <w:szCs w:val="20"/>
          <w:lang w:val="sl-SI"/>
        </w:rPr>
        <w:t>tri</w:t>
      </w:r>
      <w:r w:rsidRPr="005771BD">
        <w:rPr>
          <w:rFonts w:eastAsiaTheme="minorHAnsi" w:cs="Arial"/>
          <w:color w:val="000000" w:themeColor="text1"/>
          <w:szCs w:val="20"/>
          <w:lang w:val="sl-SI"/>
        </w:rPr>
        <w:t xml:space="preserve"> (3.4) zaprt</w:t>
      </w:r>
      <w:r>
        <w:rPr>
          <w:rFonts w:eastAsiaTheme="minorHAnsi" w:cs="Arial"/>
          <w:color w:val="000000" w:themeColor="text1"/>
          <w:szCs w:val="20"/>
          <w:lang w:val="sl-SI"/>
        </w:rPr>
        <w:t>e</w:t>
      </w:r>
      <w:r w:rsidRPr="005771BD">
        <w:rPr>
          <w:rFonts w:eastAsiaTheme="minorHAnsi" w:cs="Arial"/>
          <w:color w:val="000000" w:themeColor="text1"/>
          <w:szCs w:val="20"/>
          <w:lang w:val="sl-SI"/>
        </w:rPr>
        <w:t xml:space="preserve"> sistem</w:t>
      </w:r>
      <w:r>
        <w:rPr>
          <w:rFonts w:eastAsiaTheme="minorHAnsi" w:cs="Arial"/>
          <w:color w:val="000000" w:themeColor="text1"/>
          <w:szCs w:val="20"/>
          <w:lang w:val="sl-SI"/>
        </w:rPr>
        <w:t>e</w:t>
      </w:r>
      <w:r w:rsidRPr="005771BD">
        <w:rPr>
          <w:rFonts w:eastAsiaTheme="minorHAnsi" w:cs="Arial"/>
          <w:color w:val="000000" w:themeColor="text1"/>
          <w:szCs w:val="20"/>
          <w:lang w:val="sl-SI"/>
        </w:rPr>
        <w:t>, v katerih lahko potekajo dela z GSO, na 100.000 prebivalcev Slovenije. Največji delež (78,8 %) zaprtih sistemov je v izobraževalnih in raziskovalnih institucijah</w:t>
      </w:r>
      <w:r>
        <w:rPr>
          <w:rFonts w:eastAsiaTheme="minorHAnsi" w:cs="Arial"/>
          <w:color w:val="000000" w:themeColor="text1"/>
          <w:szCs w:val="20"/>
          <w:lang w:val="sl-SI"/>
        </w:rPr>
        <w:t>,</w:t>
      </w:r>
      <w:r w:rsidRPr="005771BD">
        <w:rPr>
          <w:rFonts w:eastAsiaTheme="minorHAnsi" w:cs="Arial"/>
          <w:color w:val="000000" w:themeColor="text1"/>
          <w:szCs w:val="20"/>
          <w:lang w:val="sl-SI"/>
        </w:rPr>
        <w:t xml:space="preserve"> kot so univerze in inštituti. Preostali del zaprtih sistemov je v podjetjih (19.7 %) in šolah (1.5 %). </w:t>
      </w:r>
    </w:p>
    <w:p w:rsidR="003B2707" w:rsidRPr="005771BD" w:rsidRDefault="003B2707" w:rsidP="003B2707">
      <w:pPr>
        <w:spacing w:after="200" w:line="276" w:lineRule="auto"/>
        <w:jc w:val="both"/>
        <w:rPr>
          <w:rFonts w:eastAsiaTheme="minorHAnsi" w:cs="Arial"/>
          <w:color w:val="000000"/>
          <w:szCs w:val="20"/>
          <w:lang w:val="sl-SI"/>
        </w:rPr>
      </w:pPr>
      <w:r w:rsidRPr="005771BD">
        <w:rPr>
          <w:rFonts w:eastAsiaTheme="minorHAnsi" w:cs="Arial"/>
          <w:szCs w:val="20"/>
          <w:lang w:val="sl-SI"/>
        </w:rPr>
        <w:t xml:space="preserve">Večina (81.8 %) prijaviteljev v Sloveniji lahko izvaja svoje delo z GSO v zaprtih sistemih v prvem varnostnem razredu, pri katerem je na </w:t>
      </w:r>
      <w:r>
        <w:rPr>
          <w:rFonts w:eastAsiaTheme="minorHAnsi" w:cs="Arial"/>
          <w:szCs w:val="20"/>
          <w:lang w:val="sl-SI"/>
        </w:rPr>
        <w:t>podlagi</w:t>
      </w:r>
      <w:r w:rsidRPr="005771BD">
        <w:rPr>
          <w:rFonts w:eastAsiaTheme="minorHAnsi" w:cs="Arial"/>
          <w:szCs w:val="20"/>
          <w:lang w:val="sl-SI"/>
        </w:rPr>
        <w:t xml:space="preserve"> presoje tveganje pri delu z GSO zanemarljivo. Preostalih 18.2 % lahko izvaja svoje delo z GSO v zaprtih sistemih v drugem varnostnem razredu. V tem primeru je na </w:t>
      </w:r>
      <w:r>
        <w:rPr>
          <w:rFonts w:eastAsiaTheme="minorHAnsi" w:cs="Arial"/>
          <w:szCs w:val="20"/>
          <w:lang w:val="sl-SI"/>
        </w:rPr>
        <w:t>podlagi</w:t>
      </w:r>
      <w:r w:rsidRPr="005771BD">
        <w:rPr>
          <w:rFonts w:eastAsiaTheme="minorHAnsi" w:cs="Arial"/>
          <w:szCs w:val="20"/>
          <w:lang w:val="sl-SI"/>
        </w:rPr>
        <w:t xml:space="preserve"> presoje tveganje</w:t>
      </w:r>
      <w:r w:rsidRPr="005771BD">
        <w:rPr>
          <w:rFonts w:cs="Arial"/>
          <w:szCs w:val="20"/>
          <w:lang w:val="sl-SI" w:eastAsia="sl-SI"/>
        </w:rPr>
        <w:t xml:space="preserve"> za okolje, biotsko raznovrstnost in naravno ravnovesje majhno. Tudi morebitni škodljivi učinki v okolju so v teh primerih popravljivi. </w:t>
      </w:r>
      <w:r>
        <w:rPr>
          <w:rFonts w:cs="Arial"/>
          <w:szCs w:val="20"/>
          <w:lang w:val="sl-SI" w:eastAsia="sl-SI"/>
        </w:rPr>
        <w:t>Poudariti</w:t>
      </w:r>
      <w:r w:rsidRPr="005771BD">
        <w:rPr>
          <w:rFonts w:cs="Arial"/>
          <w:szCs w:val="20"/>
          <w:lang w:val="sl-SI" w:eastAsia="sl-SI"/>
        </w:rPr>
        <w:t xml:space="preserve"> velja, da v </w:t>
      </w:r>
      <w:r w:rsidRPr="005771BD">
        <w:rPr>
          <w:rFonts w:cs="Arial"/>
          <w:color w:val="333333"/>
          <w:szCs w:val="20"/>
          <w:lang w:val="sl-SI" w:eastAsia="sl-SI"/>
        </w:rPr>
        <w:t>Sloveniji nimamo zaprtih sistemov, v katerih bi lahko delali z GSO v tretjem ali četrtem varnostnem razredu.</w:t>
      </w:r>
    </w:p>
    <w:p w:rsidR="003B2707" w:rsidRPr="005771BD" w:rsidRDefault="003B2707" w:rsidP="003B2707">
      <w:pPr>
        <w:spacing w:after="200" w:line="276" w:lineRule="auto"/>
        <w:jc w:val="both"/>
        <w:rPr>
          <w:rFonts w:eastAsiaTheme="minorHAnsi" w:cs="Arial"/>
          <w:color w:val="000000" w:themeColor="text1"/>
          <w:szCs w:val="20"/>
          <w:lang w:val="sl-SI"/>
        </w:rPr>
      </w:pPr>
    </w:p>
    <w:p w:rsidR="003B2707" w:rsidRPr="005771BD" w:rsidRDefault="003B2707" w:rsidP="003B2707">
      <w:pPr>
        <w:spacing w:after="200" w:line="276" w:lineRule="auto"/>
        <w:jc w:val="center"/>
        <w:rPr>
          <w:rFonts w:eastAsiaTheme="minorHAnsi" w:cs="Arial"/>
          <w:noProof/>
          <w:szCs w:val="20"/>
          <w:lang w:val="sl-SI" w:eastAsia="sl-SI"/>
        </w:rPr>
      </w:pPr>
      <w:r w:rsidRPr="007F272F">
        <w:rPr>
          <w:rFonts w:eastAsiaTheme="minorHAnsi" w:cs="Arial"/>
          <w:noProof/>
          <w:szCs w:val="20"/>
          <w:lang w:val="sl-SI" w:eastAsia="sl-SI"/>
        </w:rPr>
        <w:drawing>
          <wp:inline distT="0" distB="0" distL="0" distR="0" wp14:anchorId="5E52B8D5" wp14:editId="2689992C">
            <wp:extent cx="4686300" cy="2794000"/>
            <wp:effectExtent l="0" t="0" r="19050" b="25400"/>
            <wp:docPr id="68" name="Grafikon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3"/>
              </a:graphicData>
            </a:graphic>
          </wp:inline>
        </w:drawing>
      </w:r>
    </w:p>
    <w:p w:rsidR="003B2707" w:rsidRPr="005771BD" w:rsidRDefault="003B2707" w:rsidP="003B2707">
      <w:pPr>
        <w:spacing w:after="200" w:line="276" w:lineRule="auto"/>
        <w:jc w:val="center"/>
        <w:rPr>
          <w:rFonts w:eastAsiaTheme="minorHAnsi" w:cs="Arial"/>
          <w:color w:val="000000"/>
          <w:szCs w:val="20"/>
          <w:lang w:val="sl-SI"/>
        </w:rPr>
      </w:pPr>
      <w:r w:rsidRPr="007F272F">
        <w:rPr>
          <w:rFonts w:eastAsiaTheme="minorHAnsi" w:cs="Arial"/>
          <w:noProof/>
          <w:szCs w:val="20"/>
          <w:lang w:val="sl-SI" w:eastAsia="sl-SI"/>
        </w:rPr>
        <w:drawing>
          <wp:inline distT="0" distB="0" distL="0" distR="0" wp14:anchorId="58C4692E" wp14:editId="0203F90F">
            <wp:extent cx="4768850" cy="3390900"/>
            <wp:effectExtent l="0" t="0" r="12700" b="19050"/>
            <wp:docPr id="69" name="Grafikon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4"/>
              </a:graphicData>
            </a:graphic>
          </wp:inline>
        </w:drawing>
      </w:r>
    </w:p>
    <w:p w:rsidR="003B2707" w:rsidRPr="005771BD" w:rsidRDefault="003B2707" w:rsidP="003B2707">
      <w:pPr>
        <w:spacing w:after="200" w:line="276" w:lineRule="auto"/>
        <w:jc w:val="both"/>
        <w:rPr>
          <w:rFonts w:eastAsiaTheme="minorHAnsi" w:cs="Arial"/>
          <w:i/>
          <w:color w:val="000000"/>
          <w:szCs w:val="20"/>
          <w:lang w:val="sl-SI"/>
        </w:rPr>
      </w:pPr>
      <w:r>
        <w:rPr>
          <w:rFonts w:eastAsiaTheme="minorHAnsi" w:cs="Arial"/>
          <w:i/>
          <w:color w:val="000000"/>
          <w:szCs w:val="20"/>
          <w:lang w:val="sl-SI"/>
        </w:rPr>
        <w:t>Slika 1</w:t>
      </w:r>
      <w:r w:rsidR="00DE3B10">
        <w:rPr>
          <w:rFonts w:eastAsiaTheme="minorHAnsi" w:cs="Arial"/>
          <w:i/>
          <w:color w:val="000000"/>
          <w:szCs w:val="20"/>
          <w:lang w:val="sl-SI"/>
        </w:rPr>
        <w:t>3</w:t>
      </w:r>
      <w:r w:rsidRPr="005771BD">
        <w:rPr>
          <w:rFonts w:eastAsiaTheme="minorHAnsi" w:cs="Arial"/>
          <w:i/>
          <w:color w:val="000000"/>
          <w:szCs w:val="20"/>
          <w:lang w:val="sl-SI"/>
        </w:rPr>
        <w:t>.2: Število zaprtih sistemov in varnostni razred (I. VR – prvi varnostni razred; II. VR – drugi varnostni razred)</w:t>
      </w:r>
      <w:r>
        <w:rPr>
          <w:rFonts w:eastAsiaTheme="minorHAnsi" w:cs="Arial"/>
          <w:i/>
          <w:color w:val="000000"/>
          <w:szCs w:val="20"/>
          <w:lang w:val="sl-SI"/>
        </w:rPr>
        <w:t>,</w:t>
      </w:r>
      <w:r w:rsidRPr="005771BD">
        <w:rPr>
          <w:rFonts w:eastAsiaTheme="minorHAnsi" w:cs="Arial"/>
          <w:i/>
          <w:color w:val="000000"/>
          <w:szCs w:val="20"/>
          <w:lang w:val="sl-SI"/>
        </w:rPr>
        <w:t xml:space="preserve"> v katerem se lahko dela z GSO v zaprtih sistemih v Sloveniji</w:t>
      </w:r>
    </w:p>
    <w:p w:rsidR="003B2707" w:rsidRPr="005771BD" w:rsidRDefault="003B2707" w:rsidP="003B2707">
      <w:pPr>
        <w:spacing w:after="200" w:line="276" w:lineRule="auto"/>
        <w:jc w:val="center"/>
        <w:rPr>
          <w:rFonts w:eastAsiaTheme="minorHAnsi" w:cs="Arial"/>
          <w:color w:val="000000"/>
          <w:szCs w:val="20"/>
          <w:lang w:val="sl-SI"/>
        </w:rPr>
      </w:pPr>
      <w:r w:rsidRPr="007F272F">
        <w:rPr>
          <w:rFonts w:eastAsiaTheme="minorHAnsi" w:cs="Arial"/>
          <w:noProof/>
          <w:szCs w:val="20"/>
          <w:lang w:val="sl-SI" w:eastAsia="sl-SI"/>
        </w:rPr>
        <w:drawing>
          <wp:inline distT="0" distB="0" distL="0" distR="0" wp14:anchorId="6D7664C7" wp14:editId="72050633">
            <wp:extent cx="4943475" cy="3414713"/>
            <wp:effectExtent l="0" t="0" r="9525" b="14605"/>
            <wp:docPr id="70" name="Grafikon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5"/>
              </a:graphicData>
            </a:graphic>
          </wp:inline>
        </w:drawing>
      </w:r>
    </w:p>
    <w:p w:rsidR="003B2707" w:rsidRPr="005771BD" w:rsidRDefault="003B2707" w:rsidP="003B2707">
      <w:pPr>
        <w:spacing w:after="200" w:line="276" w:lineRule="auto"/>
        <w:jc w:val="center"/>
        <w:rPr>
          <w:rFonts w:eastAsiaTheme="minorHAnsi" w:cs="Arial"/>
          <w:color w:val="000000"/>
          <w:szCs w:val="20"/>
          <w:lang w:val="sl-SI"/>
        </w:rPr>
      </w:pPr>
      <w:r w:rsidRPr="007F272F">
        <w:rPr>
          <w:rFonts w:eastAsiaTheme="minorHAnsi" w:cs="Arial"/>
          <w:noProof/>
          <w:szCs w:val="20"/>
          <w:lang w:val="sl-SI" w:eastAsia="sl-SI"/>
        </w:rPr>
        <w:drawing>
          <wp:inline distT="0" distB="0" distL="0" distR="0" wp14:anchorId="45CBD67A" wp14:editId="37EFDB37">
            <wp:extent cx="4943475" cy="3395663"/>
            <wp:effectExtent l="0" t="0" r="9525" b="14605"/>
            <wp:docPr id="71" name="Grafikon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6"/>
              </a:graphicData>
            </a:graphic>
          </wp:inline>
        </w:drawing>
      </w:r>
    </w:p>
    <w:p w:rsidR="003B2707" w:rsidRPr="005771BD" w:rsidRDefault="003B2707" w:rsidP="003B2707">
      <w:pPr>
        <w:spacing w:after="200" w:line="276" w:lineRule="auto"/>
        <w:ind w:left="709" w:hanging="709"/>
        <w:jc w:val="both"/>
        <w:rPr>
          <w:rFonts w:eastAsiaTheme="minorHAnsi" w:cs="Arial"/>
          <w:i/>
          <w:color w:val="000000"/>
          <w:szCs w:val="20"/>
          <w:lang w:val="sl-SI"/>
        </w:rPr>
      </w:pPr>
      <w:r w:rsidRPr="005771BD">
        <w:rPr>
          <w:rFonts w:eastAsiaTheme="minorHAnsi" w:cs="Arial"/>
          <w:i/>
          <w:color w:val="000000"/>
          <w:szCs w:val="20"/>
          <w:lang w:val="sl-SI"/>
        </w:rPr>
        <w:t>Slika 1</w:t>
      </w:r>
      <w:r w:rsidR="00DE3B10">
        <w:rPr>
          <w:rFonts w:eastAsiaTheme="minorHAnsi" w:cs="Arial"/>
          <w:i/>
          <w:color w:val="000000"/>
          <w:szCs w:val="20"/>
          <w:lang w:val="sl-SI"/>
        </w:rPr>
        <w:t>3</w:t>
      </w:r>
      <w:r w:rsidRPr="005771BD">
        <w:rPr>
          <w:rFonts w:eastAsiaTheme="minorHAnsi" w:cs="Arial"/>
          <w:i/>
          <w:color w:val="000000"/>
          <w:szCs w:val="20"/>
          <w:lang w:val="sl-SI"/>
        </w:rPr>
        <w:t>.3: Število del in varnostni razred dela z GSO v Sloveniji</w:t>
      </w:r>
    </w:p>
    <w:p w:rsidR="003B2707" w:rsidRPr="005771BD" w:rsidRDefault="003B2707" w:rsidP="003B2707">
      <w:pPr>
        <w:spacing w:after="200" w:line="276" w:lineRule="auto"/>
        <w:jc w:val="both"/>
        <w:rPr>
          <w:rFonts w:eastAsiaTheme="minorHAnsi" w:cs="Arial"/>
          <w:color w:val="000000"/>
          <w:szCs w:val="20"/>
          <w:lang w:val="sl-SI"/>
        </w:rPr>
      </w:pPr>
      <w:r w:rsidRPr="005771BD">
        <w:rPr>
          <w:rFonts w:eastAsiaTheme="minorHAnsi" w:cs="Arial"/>
          <w:color w:val="000000"/>
          <w:szCs w:val="20"/>
          <w:lang w:val="sl-SI"/>
        </w:rPr>
        <w:t xml:space="preserve">V okviru izvajanja del z GSO v zaprtih sistemih, ki pomenijo vsako dejavnost, pri kateri se gensko spreminja organizem ali se GSO goji, razmnožuje, shranjuje, prevaža, uničuje, odstranjuje ali na drug način uporablja, in za katero je treba izvajati zadrževalne ukrepe, je v register v Sloveniji vpisanih 80 del. Dela z GSO se </w:t>
      </w:r>
      <w:r>
        <w:rPr>
          <w:rFonts w:eastAsiaTheme="minorHAnsi" w:cs="Arial"/>
          <w:color w:val="000000"/>
          <w:szCs w:val="20"/>
          <w:lang w:val="sl-SI"/>
        </w:rPr>
        <w:t>večinoma</w:t>
      </w:r>
      <w:r w:rsidRPr="005771BD">
        <w:rPr>
          <w:rFonts w:eastAsiaTheme="minorHAnsi" w:cs="Arial"/>
          <w:color w:val="000000"/>
          <w:szCs w:val="20"/>
          <w:lang w:val="sl-SI"/>
        </w:rPr>
        <w:t xml:space="preserve"> (v 67.5 %) izvajajo v zaprtih sistemih prvega varnostnega razreda in </w:t>
      </w:r>
      <w:r>
        <w:rPr>
          <w:rFonts w:eastAsiaTheme="minorHAnsi" w:cs="Arial"/>
          <w:color w:val="000000"/>
          <w:szCs w:val="20"/>
          <w:lang w:val="sl-SI"/>
        </w:rPr>
        <w:t>preostala</w:t>
      </w:r>
      <w:r w:rsidRPr="005771BD">
        <w:rPr>
          <w:rFonts w:eastAsiaTheme="minorHAnsi" w:cs="Arial"/>
          <w:color w:val="000000"/>
          <w:szCs w:val="20"/>
          <w:lang w:val="sl-SI"/>
        </w:rPr>
        <w:t xml:space="preserve"> (32.5 %) v drugem varnostnem razredu. Poudariti je treba tudi, da prijavitelji del z GSO v zaprtih sistemih prihajajo v 35 % z univerz, 39 % z inštitutov in 25 % iz podjetij. T</w:t>
      </w:r>
      <w:r>
        <w:rPr>
          <w:rFonts w:eastAsiaTheme="minorHAnsi" w:cs="Arial"/>
          <w:color w:val="000000"/>
          <w:szCs w:val="20"/>
          <w:lang w:val="sl-SI"/>
        </w:rPr>
        <w:t>e</w:t>
      </w:r>
      <w:r w:rsidRPr="005771BD">
        <w:rPr>
          <w:rFonts w:eastAsiaTheme="minorHAnsi" w:cs="Arial"/>
          <w:color w:val="000000"/>
          <w:szCs w:val="20"/>
          <w:lang w:val="sl-SI"/>
        </w:rPr>
        <w:t xml:space="preserve"> raziskovalno-razvojn</w:t>
      </w:r>
      <w:r>
        <w:rPr>
          <w:rFonts w:eastAsiaTheme="minorHAnsi" w:cs="Arial"/>
          <w:color w:val="000000"/>
          <w:szCs w:val="20"/>
          <w:lang w:val="sl-SI"/>
        </w:rPr>
        <w:t>e zmogljivosti</w:t>
      </w:r>
      <w:r w:rsidRPr="005771BD">
        <w:rPr>
          <w:rFonts w:eastAsiaTheme="minorHAnsi" w:cs="Arial"/>
          <w:color w:val="000000"/>
          <w:szCs w:val="20"/>
          <w:lang w:val="sl-SI"/>
        </w:rPr>
        <w:t xml:space="preserve"> lahko pozitivno vpliva</w:t>
      </w:r>
      <w:r>
        <w:rPr>
          <w:rFonts w:eastAsiaTheme="minorHAnsi" w:cs="Arial"/>
          <w:color w:val="000000"/>
          <w:szCs w:val="20"/>
          <w:lang w:val="sl-SI"/>
        </w:rPr>
        <w:t>jo</w:t>
      </w:r>
      <w:r w:rsidRPr="005771BD">
        <w:rPr>
          <w:rFonts w:eastAsiaTheme="minorHAnsi" w:cs="Arial"/>
          <w:color w:val="000000"/>
          <w:szCs w:val="20"/>
          <w:lang w:val="sl-SI"/>
        </w:rPr>
        <w:t xml:space="preserve"> na celokupno inovacijsko sposobnost Slovenije in prispeva k večji ekonomski in politični suverenosti, saj </w:t>
      </w:r>
      <w:r>
        <w:rPr>
          <w:rFonts w:eastAsiaTheme="minorHAnsi" w:cs="Arial"/>
          <w:color w:val="000000"/>
          <w:szCs w:val="20"/>
          <w:lang w:val="sl-SI"/>
        </w:rPr>
        <w:t>možnosti</w:t>
      </w:r>
      <w:r w:rsidRPr="005771BD">
        <w:rPr>
          <w:rFonts w:eastAsiaTheme="minorHAnsi" w:cs="Arial"/>
          <w:color w:val="000000"/>
          <w:szCs w:val="20"/>
          <w:lang w:val="sl-SI"/>
        </w:rPr>
        <w:t xml:space="preserve"> uporab</w:t>
      </w:r>
      <w:r>
        <w:rPr>
          <w:rFonts w:eastAsiaTheme="minorHAnsi" w:cs="Arial"/>
          <w:color w:val="000000"/>
          <w:szCs w:val="20"/>
          <w:lang w:val="sl-SI"/>
        </w:rPr>
        <w:t>e</w:t>
      </w:r>
      <w:r w:rsidRPr="005771BD">
        <w:rPr>
          <w:rFonts w:eastAsiaTheme="minorHAnsi" w:cs="Arial"/>
          <w:color w:val="000000"/>
          <w:szCs w:val="20"/>
          <w:lang w:val="sl-SI"/>
        </w:rPr>
        <w:t xml:space="preserve"> izdelkov sodobne biotehnologije </w:t>
      </w:r>
      <w:r w:rsidRPr="005771BD">
        <w:rPr>
          <w:rFonts w:eastAsiaTheme="minorHAnsi" w:cs="Arial"/>
          <w:bCs/>
          <w:color w:val="000000"/>
          <w:szCs w:val="20"/>
          <w:lang w:val="sl-SI"/>
        </w:rPr>
        <w:t>sega</w:t>
      </w:r>
      <w:r>
        <w:rPr>
          <w:rFonts w:eastAsiaTheme="minorHAnsi" w:cs="Arial"/>
          <w:bCs/>
          <w:color w:val="000000"/>
          <w:szCs w:val="20"/>
          <w:lang w:val="sl-SI"/>
        </w:rPr>
        <w:t>jo</w:t>
      </w:r>
      <w:r w:rsidRPr="005771BD">
        <w:rPr>
          <w:rFonts w:eastAsiaTheme="minorHAnsi" w:cs="Arial"/>
          <w:bCs/>
          <w:color w:val="000000"/>
          <w:szCs w:val="20"/>
          <w:lang w:val="sl-SI"/>
        </w:rPr>
        <w:t xml:space="preserve"> na področja proizvodnje zdravil/cepiv, goriv, čistil, genske terapije, okolja in odstranjevanja odpadkov, kmetijstva, predelave in pridelave hrane/krme, sintezne biologije itd. </w:t>
      </w:r>
      <w:r w:rsidRPr="005771BD">
        <w:rPr>
          <w:rFonts w:eastAsiaTheme="minorHAnsi" w:cs="Arial"/>
          <w:color w:val="000000"/>
          <w:szCs w:val="20"/>
          <w:lang w:val="sl-SI"/>
        </w:rPr>
        <w:t xml:space="preserve">Znotraj zaprtih sistemov potekajo v Sloveniji aktivnosti z uporabo GSO, ki se uvrščajo v prvi varnostni razred, </w:t>
      </w:r>
      <w:r>
        <w:rPr>
          <w:rFonts w:eastAsiaTheme="minorHAnsi" w:cs="Arial"/>
          <w:color w:val="000000"/>
          <w:szCs w:val="20"/>
          <w:lang w:val="sl-SI"/>
        </w:rPr>
        <w:t>večinoma</w:t>
      </w:r>
      <w:r w:rsidRPr="005771BD">
        <w:rPr>
          <w:rFonts w:eastAsiaTheme="minorHAnsi" w:cs="Arial"/>
          <w:color w:val="000000"/>
          <w:szCs w:val="20"/>
          <w:lang w:val="sl-SI"/>
        </w:rPr>
        <w:t xml:space="preserve"> (v 46.3 %) na univerzah, ki izvajajo izobraževalno in raziskovalno aktivnost, medtem ko na inštitutih (53.8 %) in v podjetjih (34.6 %)</w:t>
      </w:r>
      <w:r w:rsidR="00CB5442">
        <w:rPr>
          <w:rFonts w:eastAsiaTheme="minorHAnsi" w:cs="Arial"/>
          <w:color w:val="000000"/>
          <w:szCs w:val="20"/>
          <w:lang w:val="sl-SI"/>
        </w:rPr>
        <w:t xml:space="preserve"> p</w:t>
      </w:r>
      <w:r w:rsidRPr="005771BD">
        <w:rPr>
          <w:rFonts w:eastAsiaTheme="minorHAnsi" w:cs="Arial"/>
          <w:color w:val="000000"/>
          <w:szCs w:val="20"/>
          <w:lang w:val="sl-SI"/>
        </w:rPr>
        <w:t xml:space="preserve">ri svojem delu </w:t>
      </w:r>
      <w:r>
        <w:rPr>
          <w:rFonts w:eastAsiaTheme="minorHAnsi" w:cs="Arial"/>
          <w:color w:val="000000"/>
          <w:szCs w:val="20"/>
          <w:lang w:val="sl-SI"/>
        </w:rPr>
        <w:t xml:space="preserve">v glavnem uporabljajo </w:t>
      </w:r>
      <w:r w:rsidRPr="005771BD">
        <w:rPr>
          <w:rFonts w:eastAsiaTheme="minorHAnsi" w:cs="Arial"/>
          <w:color w:val="000000"/>
          <w:szCs w:val="20"/>
          <w:lang w:val="sl-SI"/>
        </w:rPr>
        <w:t>GSO, ki se uvrščajo v drugi varnostni razred. V Sloveniji se pri delu z GSO tako v prvem kot drugem varnostnem razredu v</w:t>
      </w:r>
      <w:r>
        <w:rPr>
          <w:rFonts w:eastAsiaTheme="minorHAnsi" w:cs="Arial"/>
          <w:color w:val="000000"/>
          <w:szCs w:val="20"/>
          <w:lang w:val="sl-SI"/>
        </w:rPr>
        <w:t>ečinoma</w:t>
      </w:r>
      <w:r w:rsidRPr="005771BD">
        <w:rPr>
          <w:rFonts w:eastAsiaTheme="minorHAnsi" w:cs="Arial"/>
          <w:color w:val="000000"/>
          <w:szCs w:val="20"/>
          <w:lang w:val="sl-SI"/>
        </w:rPr>
        <w:t xml:space="preserve"> uporabljajo gensko spremenjeni mikroorganizmi.</w:t>
      </w:r>
    </w:p>
    <w:p w:rsidR="003B2707" w:rsidRPr="005771BD" w:rsidRDefault="003B2707" w:rsidP="003B2707">
      <w:pPr>
        <w:spacing w:line="276" w:lineRule="auto"/>
        <w:jc w:val="both"/>
        <w:rPr>
          <w:rFonts w:eastAsiaTheme="minorHAnsi" w:cs="Arial"/>
          <w:color w:val="000000"/>
          <w:szCs w:val="20"/>
          <w:lang w:val="sl-SI"/>
        </w:rPr>
      </w:pPr>
    </w:p>
    <w:p w:rsidR="003B2707" w:rsidRPr="005771BD" w:rsidRDefault="003B2707" w:rsidP="003B2707">
      <w:pPr>
        <w:spacing w:after="200" w:line="276" w:lineRule="auto"/>
        <w:jc w:val="both"/>
        <w:rPr>
          <w:rFonts w:eastAsiaTheme="minorHAnsi" w:cs="Arial"/>
          <w:b/>
          <w:color w:val="000000"/>
          <w:szCs w:val="20"/>
          <w:lang w:val="sl-SI"/>
        </w:rPr>
      </w:pPr>
      <w:r w:rsidRPr="005771BD">
        <w:rPr>
          <w:rFonts w:eastAsiaTheme="minorHAnsi" w:cs="Arial"/>
          <w:b/>
          <w:color w:val="000000"/>
          <w:szCs w:val="20"/>
          <w:lang w:val="sl-SI"/>
        </w:rPr>
        <w:t>1</w:t>
      </w:r>
      <w:r w:rsidR="00DE3B10">
        <w:rPr>
          <w:rFonts w:eastAsiaTheme="minorHAnsi" w:cs="Arial"/>
          <w:b/>
          <w:color w:val="000000"/>
          <w:szCs w:val="20"/>
          <w:lang w:val="sl-SI"/>
        </w:rPr>
        <w:t>3</w:t>
      </w:r>
      <w:r w:rsidRPr="005771BD">
        <w:rPr>
          <w:rFonts w:eastAsiaTheme="minorHAnsi" w:cs="Arial"/>
          <w:b/>
          <w:color w:val="000000"/>
          <w:szCs w:val="20"/>
          <w:lang w:val="sl-SI"/>
        </w:rPr>
        <w:t>.3.2 Namerno sproščanje GSO v okolje za poskusne namene</w:t>
      </w:r>
    </w:p>
    <w:p w:rsidR="003B2707" w:rsidRPr="005771BD" w:rsidRDefault="003B2707" w:rsidP="003B2707">
      <w:pPr>
        <w:spacing w:after="200" w:line="276" w:lineRule="auto"/>
        <w:jc w:val="both"/>
        <w:rPr>
          <w:rFonts w:eastAsiaTheme="minorHAnsi" w:cs="Arial"/>
          <w:color w:val="000000"/>
          <w:szCs w:val="20"/>
          <w:lang w:val="sl-SI"/>
        </w:rPr>
      </w:pPr>
      <w:r w:rsidRPr="005771BD">
        <w:rPr>
          <w:rFonts w:eastAsiaTheme="minorHAnsi" w:cs="Arial"/>
          <w:color w:val="000000"/>
          <w:szCs w:val="20"/>
          <w:lang w:val="sl-SI"/>
        </w:rPr>
        <w:t>V Sloveniji in tudi drugih državah članicah EU mora vsakdo, ki namerava za poskusne namene namerno sproščati GSO v okolje,</w:t>
      </w:r>
      <w:r>
        <w:rPr>
          <w:rFonts w:eastAsiaTheme="minorHAnsi" w:cs="Arial"/>
          <w:color w:val="000000"/>
          <w:szCs w:val="20"/>
          <w:lang w:val="sl-SI"/>
        </w:rPr>
        <w:t xml:space="preserve"> </w:t>
      </w:r>
      <w:r w:rsidRPr="005771BD">
        <w:rPr>
          <w:rFonts w:eastAsiaTheme="minorHAnsi" w:cs="Arial"/>
          <w:color w:val="000000"/>
          <w:szCs w:val="20"/>
          <w:lang w:val="sl-SI"/>
        </w:rPr>
        <w:t>pridobiti dovoljenje odgovornega organa</w:t>
      </w:r>
      <w:r>
        <w:rPr>
          <w:rFonts w:eastAsiaTheme="minorHAnsi" w:cs="Arial"/>
          <w:color w:val="000000"/>
          <w:szCs w:val="20"/>
          <w:lang w:val="sl-SI"/>
        </w:rPr>
        <w:t xml:space="preserve"> v državi</w:t>
      </w:r>
      <w:r w:rsidRPr="005771BD">
        <w:rPr>
          <w:rFonts w:eastAsiaTheme="minorHAnsi" w:cs="Arial"/>
          <w:color w:val="000000"/>
          <w:szCs w:val="20"/>
          <w:lang w:val="sl-SI"/>
        </w:rPr>
        <w:t xml:space="preserve">. Na </w:t>
      </w:r>
      <w:r>
        <w:rPr>
          <w:rFonts w:eastAsiaTheme="minorHAnsi" w:cs="Arial"/>
          <w:color w:val="000000"/>
          <w:szCs w:val="20"/>
          <w:lang w:val="sl-SI"/>
        </w:rPr>
        <w:t>podlagi</w:t>
      </w:r>
      <w:r w:rsidRPr="005771BD">
        <w:rPr>
          <w:rFonts w:eastAsiaTheme="minorHAnsi" w:cs="Arial"/>
          <w:color w:val="000000"/>
          <w:szCs w:val="20"/>
          <w:lang w:val="sl-SI"/>
        </w:rPr>
        <w:t xml:space="preserve"> ZRGSO je v Sloveniji za dovoljevanje namernega sproščanja GSO v okolje odgovorno ministrstvo, pristojno za varstvo okolja, ki izda dovoljenje v soglasju z ministrstvom,  pristojnim za kmetijstvo, gozdarstvo in prehrano. Namerno sproščanje GSO v okolje na </w:t>
      </w:r>
      <w:r>
        <w:rPr>
          <w:rFonts w:eastAsiaTheme="minorHAnsi" w:cs="Arial"/>
          <w:color w:val="000000"/>
          <w:szCs w:val="20"/>
          <w:lang w:val="sl-SI"/>
        </w:rPr>
        <w:t>podlagi</w:t>
      </w:r>
      <w:r w:rsidRPr="005771BD">
        <w:rPr>
          <w:rFonts w:eastAsiaTheme="minorHAnsi" w:cs="Arial"/>
          <w:color w:val="000000"/>
          <w:szCs w:val="20"/>
          <w:lang w:val="sl-SI"/>
        </w:rPr>
        <w:t xml:space="preserve"> zakonodaje pomeni vsak namer</w:t>
      </w:r>
      <w:r>
        <w:rPr>
          <w:rFonts w:eastAsiaTheme="minorHAnsi" w:cs="Arial"/>
          <w:color w:val="000000"/>
          <w:szCs w:val="20"/>
          <w:lang w:val="sl-SI"/>
        </w:rPr>
        <w:t>ni</w:t>
      </w:r>
      <w:r w:rsidRPr="005771BD">
        <w:rPr>
          <w:rFonts w:eastAsiaTheme="minorHAnsi" w:cs="Arial"/>
          <w:color w:val="000000"/>
          <w:szCs w:val="20"/>
          <w:lang w:val="sl-SI"/>
        </w:rPr>
        <w:t xml:space="preserve"> vnos GSO ali kombinacije GSO v okolje, pri katerem ni treba izvajati zadrževalnih ukrepov omejitve stika GSO z okoljem in prebivalstvom. Tudi tu je osrednji del postopka dovoljevanja namernega sproščanja GSO v okolje za poskusne namene presoja tveganja za zdravje ljudi, živali, rastline in okolje. V to </w:t>
      </w:r>
      <w:r>
        <w:rPr>
          <w:rFonts w:eastAsiaTheme="minorHAnsi" w:cs="Arial"/>
          <w:color w:val="000000"/>
          <w:szCs w:val="20"/>
          <w:lang w:val="sl-SI"/>
        </w:rPr>
        <w:t>skupino</w:t>
      </w:r>
      <w:r w:rsidRPr="005771BD">
        <w:rPr>
          <w:rFonts w:eastAsiaTheme="minorHAnsi" w:cs="Arial"/>
          <w:color w:val="000000"/>
          <w:szCs w:val="20"/>
          <w:lang w:val="sl-SI"/>
        </w:rPr>
        <w:t xml:space="preserve"> </w:t>
      </w:r>
      <w:r>
        <w:rPr>
          <w:rFonts w:eastAsiaTheme="minorHAnsi" w:cs="Arial"/>
          <w:color w:val="000000"/>
          <w:szCs w:val="20"/>
          <w:lang w:val="sl-SI"/>
        </w:rPr>
        <w:t>spadajo</w:t>
      </w:r>
      <w:r w:rsidRPr="005771BD">
        <w:rPr>
          <w:rFonts w:eastAsiaTheme="minorHAnsi" w:cs="Arial"/>
          <w:color w:val="000000"/>
          <w:szCs w:val="20"/>
          <w:lang w:val="sl-SI"/>
        </w:rPr>
        <w:t xml:space="preserve"> vsi poskusi z GSO</w:t>
      </w:r>
      <w:r>
        <w:rPr>
          <w:rFonts w:eastAsiaTheme="minorHAnsi" w:cs="Arial"/>
          <w:color w:val="000000"/>
          <w:szCs w:val="20"/>
          <w:lang w:val="sl-SI"/>
        </w:rPr>
        <w:t>,</w:t>
      </w:r>
      <w:r w:rsidRPr="005771BD">
        <w:rPr>
          <w:rFonts w:eastAsiaTheme="minorHAnsi" w:cs="Arial"/>
          <w:color w:val="000000"/>
          <w:szCs w:val="20"/>
          <w:lang w:val="sl-SI"/>
        </w:rPr>
        <w:t xml:space="preserve"> razen dajanja na trg. Na tej </w:t>
      </w:r>
      <w:r>
        <w:rPr>
          <w:rFonts w:eastAsiaTheme="minorHAnsi" w:cs="Arial"/>
          <w:color w:val="000000"/>
          <w:szCs w:val="20"/>
          <w:lang w:val="sl-SI"/>
        </w:rPr>
        <w:t>podlagi</w:t>
      </w:r>
      <w:r w:rsidRPr="005771BD">
        <w:rPr>
          <w:rFonts w:eastAsiaTheme="minorHAnsi" w:cs="Arial"/>
          <w:color w:val="000000"/>
          <w:szCs w:val="20"/>
          <w:lang w:val="sl-SI"/>
        </w:rPr>
        <w:t xml:space="preserve"> v EU in Sloveniji ločimo dve </w:t>
      </w:r>
      <w:r>
        <w:rPr>
          <w:rFonts w:eastAsiaTheme="minorHAnsi" w:cs="Arial"/>
          <w:color w:val="000000"/>
          <w:szCs w:val="20"/>
          <w:lang w:val="sl-SI"/>
        </w:rPr>
        <w:t>vrsti</w:t>
      </w:r>
      <w:r w:rsidRPr="005771BD">
        <w:rPr>
          <w:rFonts w:eastAsiaTheme="minorHAnsi" w:cs="Arial"/>
          <w:color w:val="000000"/>
          <w:szCs w:val="20"/>
          <w:lang w:val="sl-SI"/>
        </w:rPr>
        <w:t xml:space="preserve"> poskusnega sproščanja GSO v okolje. V prvo </w:t>
      </w:r>
      <w:r>
        <w:rPr>
          <w:rFonts w:eastAsiaTheme="minorHAnsi" w:cs="Arial"/>
          <w:color w:val="000000"/>
          <w:szCs w:val="20"/>
          <w:lang w:val="sl-SI"/>
        </w:rPr>
        <w:t>skupino</w:t>
      </w:r>
      <w:r w:rsidRPr="005771BD">
        <w:rPr>
          <w:rFonts w:eastAsiaTheme="minorHAnsi" w:cs="Arial"/>
          <w:color w:val="000000"/>
          <w:szCs w:val="20"/>
          <w:lang w:val="sl-SI"/>
        </w:rPr>
        <w:t xml:space="preserve"> se uvrščajo poskusna sproščanja gensko spremenjenih rastlin v okolje, ki jih imenujemo tudi poljski poskusi, v drugo </w:t>
      </w:r>
      <w:r>
        <w:rPr>
          <w:rFonts w:eastAsiaTheme="minorHAnsi" w:cs="Arial"/>
          <w:color w:val="000000"/>
          <w:szCs w:val="20"/>
          <w:lang w:val="sl-SI"/>
        </w:rPr>
        <w:t>skupino</w:t>
      </w:r>
      <w:r w:rsidRPr="005771BD">
        <w:rPr>
          <w:rFonts w:eastAsiaTheme="minorHAnsi" w:cs="Arial"/>
          <w:color w:val="000000"/>
          <w:szCs w:val="20"/>
          <w:lang w:val="sl-SI"/>
        </w:rPr>
        <w:t xml:space="preserve"> pa se uvrščajo vsa </w:t>
      </w:r>
      <w:r>
        <w:rPr>
          <w:rFonts w:eastAsiaTheme="minorHAnsi" w:cs="Arial"/>
          <w:color w:val="000000"/>
          <w:szCs w:val="20"/>
          <w:lang w:val="sl-SI"/>
        </w:rPr>
        <w:t>druga</w:t>
      </w:r>
      <w:r w:rsidRPr="005771BD">
        <w:rPr>
          <w:rFonts w:eastAsiaTheme="minorHAnsi" w:cs="Arial"/>
          <w:color w:val="000000"/>
          <w:szCs w:val="20"/>
          <w:lang w:val="sl-SI"/>
        </w:rPr>
        <w:t xml:space="preserve"> sproščanja GSO v okolje</w:t>
      </w:r>
      <w:r>
        <w:rPr>
          <w:rFonts w:eastAsiaTheme="minorHAnsi" w:cs="Arial"/>
          <w:color w:val="000000"/>
          <w:szCs w:val="20"/>
          <w:lang w:val="sl-SI"/>
        </w:rPr>
        <w:t>,</w:t>
      </w:r>
      <w:r w:rsidRPr="005771BD">
        <w:rPr>
          <w:rFonts w:eastAsiaTheme="minorHAnsi" w:cs="Arial"/>
          <w:color w:val="000000"/>
          <w:szCs w:val="20"/>
          <w:lang w:val="sl-SI"/>
        </w:rPr>
        <w:t xml:space="preserve"> razen gensko spremenjenih rastlin. V tem primeru poskusi vključujejo GSO, ki so namenjeni npr. genski terapiji, pripravi zdravil ali cepiv itd. Vsa namerna sproščanja GSO v okolje za poskusne namene tako za gensko spremenjene rastline kot vsa </w:t>
      </w:r>
      <w:r>
        <w:rPr>
          <w:rFonts w:eastAsiaTheme="minorHAnsi" w:cs="Arial"/>
          <w:color w:val="000000"/>
          <w:szCs w:val="20"/>
          <w:lang w:val="sl-SI"/>
        </w:rPr>
        <w:t>druga</w:t>
      </w:r>
      <w:r w:rsidRPr="005771BD">
        <w:rPr>
          <w:rFonts w:eastAsiaTheme="minorHAnsi" w:cs="Arial"/>
          <w:color w:val="000000"/>
          <w:szCs w:val="20"/>
          <w:lang w:val="sl-SI"/>
        </w:rPr>
        <w:t xml:space="preserve"> sproščanja, ki se izvajajo v državah EU, so vpisana v</w:t>
      </w:r>
      <w:r>
        <w:rPr>
          <w:rFonts w:eastAsiaTheme="minorHAnsi" w:cs="Arial"/>
          <w:color w:val="000000"/>
          <w:szCs w:val="20"/>
          <w:lang w:val="sl-SI"/>
        </w:rPr>
        <w:t xml:space="preserve"> </w:t>
      </w:r>
      <w:r w:rsidRPr="005771BD">
        <w:rPr>
          <w:rFonts w:eastAsiaTheme="minorHAnsi" w:cs="Arial"/>
          <w:color w:val="000000"/>
          <w:szCs w:val="20"/>
          <w:lang w:val="sl-SI"/>
        </w:rPr>
        <w:t>register</w:t>
      </w:r>
      <w:r>
        <w:rPr>
          <w:rFonts w:eastAsiaTheme="minorHAnsi" w:cs="Arial"/>
          <w:color w:val="000000"/>
          <w:szCs w:val="20"/>
          <w:lang w:val="sl-SI"/>
        </w:rPr>
        <w:t xml:space="preserve"> GSO</w:t>
      </w:r>
      <w:r w:rsidRPr="005771BD">
        <w:rPr>
          <w:rFonts w:eastAsiaTheme="minorHAnsi" w:cs="Arial"/>
          <w:color w:val="000000"/>
          <w:szCs w:val="20"/>
          <w:lang w:val="sl-SI"/>
        </w:rPr>
        <w:t xml:space="preserve"> pri Skupnem </w:t>
      </w:r>
      <w:r>
        <w:rPr>
          <w:rFonts w:eastAsiaTheme="minorHAnsi" w:cs="Arial"/>
          <w:color w:val="000000"/>
          <w:szCs w:val="20"/>
          <w:lang w:val="sl-SI"/>
        </w:rPr>
        <w:t>r</w:t>
      </w:r>
      <w:r w:rsidRPr="005771BD">
        <w:rPr>
          <w:rFonts w:eastAsiaTheme="minorHAnsi" w:cs="Arial"/>
          <w:color w:val="000000"/>
          <w:szCs w:val="20"/>
          <w:lang w:val="sl-SI"/>
        </w:rPr>
        <w:t xml:space="preserve">aziskovalnem </w:t>
      </w:r>
      <w:r>
        <w:rPr>
          <w:rFonts w:eastAsiaTheme="minorHAnsi" w:cs="Arial"/>
          <w:color w:val="000000"/>
          <w:szCs w:val="20"/>
          <w:lang w:val="sl-SI"/>
        </w:rPr>
        <w:t>c</w:t>
      </w:r>
      <w:r w:rsidRPr="005771BD">
        <w:rPr>
          <w:rFonts w:eastAsiaTheme="minorHAnsi" w:cs="Arial"/>
          <w:color w:val="000000"/>
          <w:szCs w:val="20"/>
          <w:lang w:val="sl-SI"/>
        </w:rPr>
        <w:t xml:space="preserve">entru Evropske komisije (European Commission </w:t>
      </w:r>
      <w:r>
        <w:rPr>
          <w:rFonts w:eastAsiaTheme="minorHAnsi" w:cs="Arial"/>
          <w:color w:val="000000"/>
          <w:szCs w:val="20"/>
          <w:lang w:val="sl-SI"/>
        </w:rPr>
        <w:t>–</w:t>
      </w:r>
      <w:r w:rsidRPr="005771BD">
        <w:rPr>
          <w:rFonts w:eastAsiaTheme="minorHAnsi" w:cs="Arial"/>
          <w:color w:val="000000"/>
          <w:szCs w:val="20"/>
          <w:lang w:val="sl-SI"/>
        </w:rPr>
        <w:t xml:space="preserve"> Joint Research Cente), v Sloveniji pa tudi v register namernega sproščanja GSO v okolje.</w:t>
      </w:r>
    </w:p>
    <w:p w:rsidR="003B2707" w:rsidRPr="005771BD" w:rsidRDefault="003B2707" w:rsidP="003B2707">
      <w:pPr>
        <w:spacing w:after="200" w:line="276" w:lineRule="auto"/>
        <w:jc w:val="both"/>
        <w:rPr>
          <w:rFonts w:eastAsiaTheme="minorHAnsi" w:cs="Arial"/>
          <w:color w:val="000000"/>
          <w:szCs w:val="20"/>
          <w:lang w:val="sl-SI"/>
        </w:rPr>
      </w:pPr>
      <w:r w:rsidRPr="005771BD">
        <w:rPr>
          <w:rFonts w:eastAsiaTheme="minorHAnsi" w:cs="Arial"/>
          <w:color w:val="000000"/>
          <w:szCs w:val="20"/>
          <w:lang w:val="sl-SI"/>
        </w:rPr>
        <w:t>Slovenija do</w:t>
      </w:r>
      <w:r>
        <w:rPr>
          <w:rFonts w:eastAsiaTheme="minorHAnsi" w:cs="Arial"/>
          <w:color w:val="000000"/>
          <w:szCs w:val="20"/>
          <w:lang w:val="sl-SI"/>
        </w:rPr>
        <w:t>slej</w:t>
      </w:r>
      <w:r w:rsidRPr="005771BD">
        <w:rPr>
          <w:rFonts w:eastAsiaTheme="minorHAnsi" w:cs="Arial"/>
          <w:color w:val="000000"/>
          <w:szCs w:val="20"/>
          <w:lang w:val="sl-SI"/>
        </w:rPr>
        <w:t xml:space="preserve"> ni imela prijav namernega sproščanja gensko spremenjenih rastlin v okolje za raziskovalne namene. Na drugi strani pa sta v register namernega sproščanja GSO v okolje pri nas vpisani dve prijavi genske terapije pri živalih l. 2009 in l. 2014. Ti genski terapiji  </w:t>
      </w:r>
      <w:r>
        <w:rPr>
          <w:rFonts w:eastAsiaTheme="minorHAnsi" w:cs="Arial"/>
          <w:color w:val="000000"/>
          <w:szCs w:val="20"/>
          <w:lang w:val="sl-SI"/>
        </w:rPr>
        <w:t>pri</w:t>
      </w:r>
      <w:r w:rsidRPr="005771BD">
        <w:rPr>
          <w:rFonts w:eastAsiaTheme="minorHAnsi" w:cs="Arial"/>
          <w:color w:val="000000"/>
          <w:szCs w:val="20"/>
          <w:lang w:val="sl-SI"/>
        </w:rPr>
        <w:t xml:space="preserve"> svojem poskusu </w:t>
      </w:r>
      <w:r>
        <w:rPr>
          <w:rFonts w:eastAsiaTheme="minorHAnsi" w:cs="Arial"/>
          <w:color w:val="000000"/>
          <w:szCs w:val="20"/>
          <w:lang w:val="sl-SI"/>
        </w:rPr>
        <w:t xml:space="preserve">neposredno </w:t>
      </w:r>
      <w:r w:rsidRPr="005771BD">
        <w:rPr>
          <w:rFonts w:eastAsiaTheme="minorHAnsi" w:cs="Arial"/>
          <w:color w:val="000000"/>
          <w:szCs w:val="20"/>
          <w:lang w:val="sl-SI"/>
        </w:rPr>
        <w:t xml:space="preserve">ne uporabljata z zakonodajo </w:t>
      </w:r>
      <w:r>
        <w:rPr>
          <w:rFonts w:eastAsiaTheme="minorHAnsi" w:cs="Arial"/>
          <w:color w:val="000000"/>
          <w:szCs w:val="20"/>
          <w:lang w:val="sl-SI"/>
        </w:rPr>
        <w:t>opredeljenih</w:t>
      </w:r>
      <w:r w:rsidRPr="005771BD">
        <w:rPr>
          <w:rFonts w:eastAsiaTheme="minorHAnsi" w:cs="Arial"/>
          <w:color w:val="000000"/>
          <w:szCs w:val="20"/>
          <w:lang w:val="sl-SI"/>
        </w:rPr>
        <w:t xml:space="preserve"> GSO, vendar sta vključeni zaradi zagotavljana visoke stopnje biološke varnosti v Sloveniji.   </w:t>
      </w:r>
    </w:p>
    <w:p w:rsidR="003B2707" w:rsidRPr="005771BD" w:rsidRDefault="003B2707" w:rsidP="003B2707">
      <w:pPr>
        <w:spacing w:after="200" w:line="276" w:lineRule="auto"/>
        <w:jc w:val="both"/>
        <w:rPr>
          <w:rFonts w:eastAsiaTheme="minorHAnsi" w:cs="Arial"/>
          <w:color w:val="000000"/>
          <w:szCs w:val="20"/>
          <w:lang w:val="sl-SI"/>
        </w:rPr>
      </w:pPr>
      <w:r>
        <w:rPr>
          <w:rFonts w:eastAsiaTheme="minorHAnsi" w:cs="Arial"/>
          <w:noProof/>
          <w:szCs w:val="20"/>
          <w:lang w:val="sl-SI" w:eastAsia="sl-SI"/>
        </w:rPr>
        <w:t>––</w:t>
      </w:r>
      <w:r w:rsidRPr="007F272F">
        <w:rPr>
          <w:rFonts w:eastAsiaTheme="minorHAnsi" w:cs="Arial"/>
          <w:noProof/>
          <w:szCs w:val="20"/>
          <w:lang w:val="sl-SI" w:eastAsia="sl-SI"/>
        </w:rPr>
        <w:drawing>
          <wp:inline distT="0" distB="0" distL="0" distR="0" wp14:anchorId="07B99F1B" wp14:editId="77198547">
            <wp:extent cx="5187950" cy="3124200"/>
            <wp:effectExtent l="0" t="0" r="12700" b="19050"/>
            <wp:docPr id="72" name="Grafikon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7"/>
              </a:graphicData>
            </a:graphic>
          </wp:inline>
        </w:drawing>
      </w:r>
    </w:p>
    <w:p w:rsidR="003B2707" w:rsidRPr="005771BD" w:rsidRDefault="003B2707" w:rsidP="003B2707">
      <w:pPr>
        <w:spacing w:after="200" w:line="276" w:lineRule="auto"/>
        <w:jc w:val="both"/>
        <w:rPr>
          <w:rFonts w:eastAsiaTheme="minorHAnsi" w:cs="Arial"/>
          <w:color w:val="000000"/>
          <w:szCs w:val="20"/>
          <w:lang w:val="sl-SI"/>
        </w:rPr>
      </w:pPr>
      <w:r w:rsidRPr="007F272F">
        <w:rPr>
          <w:rFonts w:eastAsiaTheme="minorHAnsi" w:cs="Arial"/>
          <w:noProof/>
          <w:szCs w:val="20"/>
          <w:lang w:val="sl-SI" w:eastAsia="sl-SI"/>
        </w:rPr>
        <w:drawing>
          <wp:inline distT="0" distB="0" distL="0" distR="0" wp14:anchorId="291AF705" wp14:editId="0A8348D2">
            <wp:extent cx="5187950" cy="3098800"/>
            <wp:effectExtent l="0" t="0" r="12700" b="25400"/>
            <wp:docPr id="73" name="Grafikon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8"/>
              </a:graphicData>
            </a:graphic>
          </wp:inline>
        </w:drawing>
      </w:r>
    </w:p>
    <w:p w:rsidR="003B2707" w:rsidRPr="005771BD" w:rsidRDefault="003B2707" w:rsidP="003B2707">
      <w:pPr>
        <w:spacing w:after="360" w:line="276" w:lineRule="auto"/>
        <w:jc w:val="both"/>
        <w:rPr>
          <w:rFonts w:eastAsiaTheme="minorHAnsi" w:cs="Arial"/>
          <w:i/>
          <w:color w:val="000000"/>
          <w:szCs w:val="20"/>
          <w:lang w:val="sl-SI"/>
        </w:rPr>
      </w:pPr>
      <w:r w:rsidRPr="005771BD">
        <w:rPr>
          <w:rFonts w:eastAsiaTheme="minorHAnsi" w:cs="Arial"/>
          <w:i/>
          <w:color w:val="000000"/>
          <w:szCs w:val="20"/>
          <w:lang w:val="sl-SI"/>
        </w:rPr>
        <w:t>Slika 1</w:t>
      </w:r>
      <w:r w:rsidR="00DE3B10">
        <w:rPr>
          <w:rFonts w:eastAsiaTheme="minorHAnsi" w:cs="Arial"/>
          <w:i/>
          <w:color w:val="000000"/>
          <w:szCs w:val="20"/>
          <w:lang w:val="sl-SI"/>
        </w:rPr>
        <w:t>3</w:t>
      </w:r>
      <w:r w:rsidRPr="005771BD">
        <w:rPr>
          <w:rFonts w:eastAsiaTheme="minorHAnsi" w:cs="Arial"/>
          <w:i/>
          <w:color w:val="000000"/>
          <w:szCs w:val="20"/>
          <w:lang w:val="sl-SI"/>
        </w:rPr>
        <w:t>.4: Namerno sproščanje GSO (gensko spremenjenih rastlin in drugih gensko spremenjenih organizmov skupaj) v okolje v poskusne namene v EU (GMO Register – European Commission – Joint Research Centre; (dostop, 6.</w:t>
      </w:r>
      <w:r>
        <w:rPr>
          <w:rFonts w:eastAsiaTheme="minorHAnsi" w:cs="Arial"/>
          <w:i/>
          <w:color w:val="000000"/>
          <w:szCs w:val="20"/>
          <w:lang w:val="sl-SI"/>
        </w:rPr>
        <w:t xml:space="preserve"> </w:t>
      </w:r>
      <w:r w:rsidRPr="005771BD">
        <w:rPr>
          <w:rFonts w:eastAsiaTheme="minorHAnsi" w:cs="Arial"/>
          <w:i/>
          <w:color w:val="000000"/>
          <w:szCs w:val="20"/>
          <w:lang w:val="sl-SI"/>
        </w:rPr>
        <w:t>9.</w:t>
      </w:r>
      <w:r>
        <w:rPr>
          <w:rFonts w:eastAsiaTheme="minorHAnsi" w:cs="Arial"/>
          <w:i/>
          <w:color w:val="000000"/>
          <w:szCs w:val="20"/>
          <w:lang w:val="sl-SI"/>
        </w:rPr>
        <w:t xml:space="preserve"> </w:t>
      </w:r>
      <w:r w:rsidRPr="005771BD">
        <w:rPr>
          <w:rFonts w:eastAsiaTheme="minorHAnsi" w:cs="Arial"/>
          <w:i/>
          <w:color w:val="000000"/>
          <w:szCs w:val="20"/>
          <w:lang w:val="sl-SI"/>
        </w:rPr>
        <w:t xml:space="preserve">2016,  </w:t>
      </w:r>
      <w:hyperlink r:id="rId219" w:history="1">
        <w:r w:rsidRPr="005771BD">
          <w:rPr>
            <w:rFonts w:eastAsiaTheme="minorHAnsi" w:cs="Arial"/>
            <w:i/>
            <w:color w:val="5F5F5F" w:themeColor="hyperlink"/>
            <w:szCs w:val="20"/>
            <w:u w:val="single"/>
            <w:lang w:val="sl-SI"/>
          </w:rPr>
          <w:t>http://gmoinfo.jrc.ec.europa.eu/</w:t>
        </w:r>
      </w:hyperlink>
      <w:r w:rsidRPr="005771BD">
        <w:rPr>
          <w:rFonts w:eastAsiaTheme="minorHAnsi" w:cs="Arial"/>
          <w:i/>
          <w:color w:val="000000"/>
          <w:szCs w:val="20"/>
          <w:lang w:val="sl-SI"/>
        </w:rPr>
        <w:t>))</w:t>
      </w:r>
    </w:p>
    <w:p w:rsidR="003B2707" w:rsidRPr="005771BD" w:rsidRDefault="003B2707" w:rsidP="003B2707">
      <w:pPr>
        <w:spacing w:after="200" w:line="276" w:lineRule="auto"/>
        <w:jc w:val="both"/>
        <w:rPr>
          <w:rFonts w:eastAsiaTheme="minorHAnsi" w:cs="Arial"/>
          <w:color w:val="000000"/>
          <w:szCs w:val="20"/>
          <w:lang w:val="sl-SI"/>
        </w:rPr>
      </w:pPr>
      <w:r w:rsidRPr="005771BD">
        <w:rPr>
          <w:rFonts w:eastAsiaTheme="minorHAnsi" w:cs="Arial"/>
          <w:color w:val="000000"/>
          <w:szCs w:val="20"/>
          <w:lang w:val="sl-SI"/>
        </w:rPr>
        <w:t xml:space="preserve">Pregled </w:t>
      </w:r>
      <w:r>
        <w:rPr>
          <w:rFonts w:eastAsiaTheme="minorHAnsi" w:cs="Arial"/>
          <w:color w:val="000000"/>
          <w:szCs w:val="20"/>
          <w:lang w:val="sl-SI"/>
        </w:rPr>
        <w:t xml:space="preserve">registra </w:t>
      </w:r>
      <w:r w:rsidRPr="005771BD">
        <w:rPr>
          <w:rFonts w:eastAsiaTheme="minorHAnsi" w:cs="Arial"/>
          <w:color w:val="000000"/>
          <w:szCs w:val="20"/>
          <w:lang w:val="sl-SI"/>
        </w:rPr>
        <w:t>GSO pri Evropski komisiji za obdobje 2006</w:t>
      </w:r>
      <w:r>
        <w:rPr>
          <w:rFonts w:eastAsiaTheme="minorHAnsi" w:cs="Arial"/>
          <w:color w:val="000000"/>
          <w:szCs w:val="20"/>
          <w:lang w:val="sl-SI"/>
        </w:rPr>
        <w:t>–</w:t>
      </w:r>
      <w:r w:rsidRPr="005771BD">
        <w:rPr>
          <w:rFonts w:eastAsiaTheme="minorHAnsi" w:cs="Arial"/>
          <w:color w:val="000000"/>
          <w:szCs w:val="20"/>
          <w:lang w:val="sl-SI"/>
        </w:rPr>
        <w:t xml:space="preserve">2016 kaže, da je v tem obdobju največ aktivnosti na področju sproščanja GSO v okolje za </w:t>
      </w:r>
      <w:r>
        <w:rPr>
          <w:rFonts w:eastAsiaTheme="minorHAnsi" w:cs="Arial"/>
          <w:color w:val="000000"/>
          <w:szCs w:val="20"/>
          <w:lang w:val="sl-SI"/>
        </w:rPr>
        <w:t>poskusne</w:t>
      </w:r>
      <w:r w:rsidRPr="005771BD">
        <w:rPr>
          <w:rFonts w:eastAsiaTheme="minorHAnsi" w:cs="Arial"/>
          <w:color w:val="000000"/>
          <w:szCs w:val="20"/>
          <w:lang w:val="sl-SI"/>
        </w:rPr>
        <w:t xml:space="preserve"> namene (78.8 %) potekalo v šestih državah članicah EU</w:t>
      </w:r>
      <w:r>
        <w:rPr>
          <w:rFonts w:eastAsiaTheme="minorHAnsi" w:cs="Arial"/>
          <w:color w:val="000000"/>
          <w:szCs w:val="20"/>
          <w:lang w:val="sl-SI"/>
        </w:rPr>
        <w:t>, in sicer</w:t>
      </w:r>
      <w:r w:rsidRPr="005771BD">
        <w:rPr>
          <w:rFonts w:eastAsiaTheme="minorHAnsi" w:cs="Arial"/>
          <w:color w:val="000000"/>
          <w:szCs w:val="20"/>
          <w:lang w:val="sl-SI"/>
        </w:rPr>
        <w:t xml:space="preserve"> </w:t>
      </w:r>
      <w:r>
        <w:rPr>
          <w:rFonts w:eastAsiaTheme="minorHAnsi" w:cs="Arial"/>
          <w:color w:val="000000"/>
          <w:szCs w:val="20"/>
          <w:lang w:val="sl-SI"/>
        </w:rPr>
        <w:t>v</w:t>
      </w:r>
      <w:r w:rsidRPr="005771BD">
        <w:rPr>
          <w:rFonts w:eastAsiaTheme="minorHAnsi" w:cs="Arial"/>
          <w:color w:val="000000"/>
          <w:szCs w:val="20"/>
          <w:lang w:val="sl-SI"/>
        </w:rPr>
        <w:t xml:space="preserve"> Španiji skoraj polovica (44 %) vseh aktivnosti</w:t>
      </w:r>
      <w:r>
        <w:rPr>
          <w:rFonts w:eastAsiaTheme="minorHAnsi" w:cs="Arial"/>
          <w:color w:val="000000"/>
          <w:szCs w:val="20"/>
          <w:lang w:val="sl-SI"/>
        </w:rPr>
        <w:t>,</w:t>
      </w:r>
      <w:r w:rsidRPr="005771BD">
        <w:rPr>
          <w:rFonts w:eastAsiaTheme="minorHAnsi" w:cs="Arial"/>
          <w:color w:val="000000"/>
          <w:szCs w:val="20"/>
          <w:lang w:val="sl-SI"/>
        </w:rPr>
        <w:t xml:space="preserve"> </w:t>
      </w:r>
      <w:r>
        <w:rPr>
          <w:rFonts w:eastAsiaTheme="minorHAnsi" w:cs="Arial"/>
          <w:color w:val="000000"/>
          <w:szCs w:val="20"/>
          <w:lang w:val="sl-SI"/>
        </w:rPr>
        <w:t>v</w:t>
      </w:r>
      <w:r w:rsidRPr="005771BD">
        <w:rPr>
          <w:rFonts w:eastAsiaTheme="minorHAnsi" w:cs="Arial"/>
          <w:color w:val="000000"/>
          <w:szCs w:val="20"/>
          <w:lang w:val="sl-SI"/>
        </w:rPr>
        <w:t xml:space="preserve"> Nemčiji, Franciji, </w:t>
      </w:r>
      <w:r>
        <w:rPr>
          <w:rFonts w:eastAsiaTheme="minorHAnsi" w:cs="Arial"/>
          <w:color w:val="000000"/>
          <w:szCs w:val="20"/>
          <w:lang w:val="sl-SI"/>
        </w:rPr>
        <w:t xml:space="preserve">na </w:t>
      </w:r>
      <w:r w:rsidRPr="005771BD">
        <w:rPr>
          <w:rFonts w:eastAsiaTheme="minorHAnsi" w:cs="Arial"/>
          <w:color w:val="000000"/>
          <w:szCs w:val="20"/>
          <w:lang w:val="sl-SI"/>
        </w:rPr>
        <w:t>Švedsk</w:t>
      </w:r>
      <w:r>
        <w:rPr>
          <w:rFonts w:eastAsiaTheme="minorHAnsi" w:cs="Arial"/>
          <w:color w:val="000000"/>
          <w:szCs w:val="20"/>
          <w:lang w:val="sl-SI"/>
        </w:rPr>
        <w:t>e,</w:t>
      </w:r>
      <w:r w:rsidRPr="005771BD">
        <w:rPr>
          <w:rFonts w:eastAsiaTheme="minorHAnsi" w:cs="Arial"/>
          <w:color w:val="000000"/>
          <w:szCs w:val="20"/>
          <w:lang w:val="sl-SI"/>
        </w:rPr>
        <w:t>, Nizozemsk</w:t>
      </w:r>
      <w:r>
        <w:rPr>
          <w:rFonts w:eastAsiaTheme="minorHAnsi" w:cs="Arial"/>
          <w:color w:val="000000"/>
          <w:szCs w:val="20"/>
          <w:lang w:val="sl-SI"/>
        </w:rPr>
        <w:t>em</w:t>
      </w:r>
      <w:r w:rsidRPr="005771BD">
        <w:rPr>
          <w:rFonts w:eastAsiaTheme="minorHAnsi" w:cs="Arial"/>
          <w:color w:val="000000"/>
          <w:szCs w:val="20"/>
          <w:lang w:val="sl-SI"/>
        </w:rPr>
        <w:t xml:space="preserve"> in </w:t>
      </w:r>
      <w:r>
        <w:rPr>
          <w:rFonts w:eastAsiaTheme="minorHAnsi" w:cs="Arial"/>
          <w:color w:val="000000"/>
          <w:szCs w:val="20"/>
          <w:lang w:val="sl-SI"/>
        </w:rPr>
        <w:t xml:space="preserve">v </w:t>
      </w:r>
      <w:r w:rsidRPr="005771BD">
        <w:rPr>
          <w:rFonts w:eastAsiaTheme="minorHAnsi" w:cs="Arial"/>
          <w:color w:val="000000"/>
          <w:szCs w:val="20"/>
          <w:lang w:val="sl-SI"/>
        </w:rPr>
        <w:t xml:space="preserve">Romuniji pa preostalih 45 % namernega sproščanja GSO v okolje v poskusne namene. Preostalih 20 % aktivnosti sproščanja GSO v okolje v poskusne namene je potekalo še na Madžarskem, Češkem, </w:t>
      </w:r>
      <w:r>
        <w:rPr>
          <w:rFonts w:eastAsiaTheme="minorHAnsi" w:cs="Arial"/>
          <w:color w:val="000000"/>
          <w:szCs w:val="20"/>
          <w:lang w:val="sl-SI"/>
        </w:rPr>
        <w:t xml:space="preserve">v </w:t>
      </w:r>
      <w:r w:rsidRPr="005771BD">
        <w:rPr>
          <w:rFonts w:eastAsiaTheme="minorHAnsi" w:cs="Arial"/>
          <w:color w:val="000000"/>
          <w:szCs w:val="20"/>
          <w:lang w:val="sl-SI"/>
        </w:rPr>
        <w:t xml:space="preserve">Veliki Britaniji, Belgiji, Poljski, Danski, Portugalski, Slovaški, Italiji, Finski, Irski, Litvi, Sloveniji in Estoniji. Države brez kakršnegakoli poskusnega sproščanja GSO v okolje za </w:t>
      </w:r>
      <w:r>
        <w:rPr>
          <w:rFonts w:eastAsiaTheme="minorHAnsi" w:cs="Arial"/>
          <w:color w:val="000000"/>
          <w:szCs w:val="20"/>
          <w:lang w:val="sl-SI"/>
        </w:rPr>
        <w:t>poskusne</w:t>
      </w:r>
      <w:r w:rsidRPr="005771BD">
        <w:rPr>
          <w:rFonts w:eastAsiaTheme="minorHAnsi" w:cs="Arial"/>
          <w:color w:val="000000"/>
          <w:szCs w:val="20"/>
          <w:lang w:val="sl-SI"/>
        </w:rPr>
        <w:t xml:space="preserve"> namene v tem obdobju so Avstrija, Bolgarija, Ciper, Grčija, Hrvaška, Latvija in Malta. </w:t>
      </w:r>
    </w:p>
    <w:p w:rsidR="003B2707" w:rsidRPr="005771BD" w:rsidRDefault="003B2707" w:rsidP="00DE3B10">
      <w:pPr>
        <w:spacing w:after="360" w:line="276" w:lineRule="auto"/>
        <w:jc w:val="both"/>
        <w:rPr>
          <w:rFonts w:eastAsiaTheme="minorHAnsi" w:cs="Arial"/>
          <w:color w:val="000000"/>
          <w:szCs w:val="20"/>
          <w:lang w:val="sl-SI"/>
        </w:rPr>
      </w:pPr>
      <w:r w:rsidRPr="005771BD">
        <w:rPr>
          <w:rFonts w:eastAsiaTheme="minorHAnsi" w:cs="Arial"/>
          <w:color w:val="000000"/>
          <w:szCs w:val="20"/>
          <w:lang w:val="sl-SI"/>
        </w:rPr>
        <w:t>Obseg poskusnih aktivnosti na področju namernega sproščanja GSO v okolje za druge namene</w:t>
      </w:r>
      <w:r>
        <w:rPr>
          <w:rFonts w:eastAsiaTheme="minorHAnsi" w:cs="Arial"/>
          <w:color w:val="000000"/>
          <w:szCs w:val="20"/>
          <w:lang w:val="sl-SI"/>
        </w:rPr>
        <w:t>,</w:t>
      </w:r>
      <w:r w:rsidRPr="005771BD">
        <w:rPr>
          <w:rFonts w:eastAsiaTheme="minorHAnsi" w:cs="Arial"/>
          <w:color w:val="000000"/>
          <w:szCs w:val="20"/>
          <w:lang w:val="sl-SI"/>
        </w:rPr>
        <w:t xml:space="preserve"> kot je dajanje na trg v EU</w:t>
      </w:r>
      <w:r>
        <w:rPr>
          <w:rFonts w:eastAsiaTheme="minorHAnsi" w:cs="Arial"/>
          <w:color w:val="000000"/>
          <w:szCs w:val="20"/>
          <w:lang w:val="sl-SI"/>
        </w:rPr>
        <w:t>,</w:t>
      </w:r>
      <w:r w:rsidRPr="005771BD">
        <w:rPr>
          <w:rFonts w:eastAsiaTheme="minorHAnsi" w:cs="Arial"/>
          <w:color w:val="000000"/>
          <w:szCs w:val="20"/>
          <w:lang w:val="sl-SI"/>
        </w:rPr>
        <w:t xml:space="preserve"> se je v zadnjih petih letih primerjal</w:t>
      </w:r>
      <w:r>
        <w:rPr>
          <w:rFonts w:eastAsiaTheme="minorHAnsi" w:cs="Arial"/>
          <w:color w:val="000000"/>
          <w:szCs w:val="20"/>
          <w:lang w:val="sl-SI"/>
        </w:rPr>
        <w:t>no</w:t>
      </w:r>
      <w:r w:rsidRPr="005771BD">
        <w:rPr>
          <w:rFonts w:eastAsiaTheme="minorHAnsi" w:cs="Arial"/>
          <w:color w:val="000000"/>
          <w:szCs w:val="20"/>
          <w:lang w:val="sl-SI"/>
        </w:rPr>
        <w:t xml:space="preserve"> z leti 2006</w:t>
      </w:r>
      <w:r>
        <w:rPr>
          <w:rFonts w:eastAsiaTheme="minorHAnsi" w:cs="Arial"/>
          <w:color w:val="000000"/>
          <w:szCs w:val="20"/>
          <w:lang w:val="sl-SI"/>
        </w:rPr>
        <w:t>–</w:t>
      </w:r>
      <w:r w:rsidRPr="005771BD">
        <w:rPr>
          <w:rFonts w:eastAsiaTheme="minorHAnsi" w:cs="Arial"/>
          <w:color w:val="000000"/>
          <w:szCs w:val="20"/>
          <w:lang w:val="sl-SI"/>
        </w:rPr>
        <w:t xml:space="preserve">2009  zmanjšal za skoraj polovico, kar je verjetno tudi odraz odklonilnega odnosa Evropejcev do GSO, predvsem gensko spremenjenih rastlin. </w:t>
      </w:r>
    </w:p>
    <w:p w:rsidR="003B2707" w:rsidRPr="005771BD" w:rsidRDefault="003B2707" w:rsidP="003B2707">
      <w:pPr>
        <w:spacing w:after="200" w:line="276" w:lineRule="auto"/>
        <w:jc w:val="both"/>
        <w:rPr>
          <w:rFonts w:eastAsiaTheme="minorHAnsi" w:cs="Arial"/>
          <w:b/>
          <w:color w:val="000000"/>
          <w:szCs w:val="20"/>
          <w:lang w:val="sl-SI"/>
        </w:rPr>
      </w:pPr>
      <w:r w:rsidRPr="005771BD">
        <w:rPr>
          <w:rFonts w:eastAsiaTheme="minorHAnsi" w:cs="Arial"/>
          <w:b/>
          <w:color w:val="000000"/>
          <w:szCs w:val="20"/>
          <w:lang w:val="sl-SI"/>
        </w:rPr>
        <w:t>1</w:t>
      </w:r>
      <w:r w:rsidR="00DE3B10">
        <w:rPr>
          <w:rFonts w:eastAsiaTheme="minorHAnsi" w:cs="Arial"/>
          <w:b/>
          <w:color w:val="000000"/>
          <w:szCs w:val="20"/>
          <w:lang w:val="sl-SI"/>
        </w:rPr>
        <w:t>3</w:t>
      </w:r>
      <w:r w:rsidRPr="005771BD">
        <w:rPr>
          <w:rFonts w:eastAsiaTheme="minorHAnsi" w:cs="Arial"/>
          <w:b/>
          <w:color w:val="000000"/>
          <w:szCs w:val="20"/>
          <w:lang w:val="sl-SI"/>
        </w:rPr>
        <w:t>.3.3 Dajanje GSO na trg</w:t>
      </w:r>
    </w:p>
    <w:p w:rsidR="003B2707" w:rsidRPr="005771BD" w:rsidRDefault="003B2707" w:rsidP="003B2707">
      <w:pPr>
        <w:spacing w:after="200" w:line="276" w:lineRule="auto"/>
        <w:jc w:val="both"/>
        <w:rPr>
          <w:rFonts w:eastAsiaTheme="minorHAnsi" w:cs="Arial"/>
          <w:color w:val="000000"/>
          <w:szCs w:val="20"/>
          <w:lang w:val="sl-SI"/>
        </w:rPr>
      </w:pPr>
      <w:r>
        <w:rPr>
          <w:rFonts w:eastAsiaTheme="minorHAnsi" w:cs="Arial"/>
          <w:color w:val="000000"/>
          <w:szCs w:val="20"/>
          <w:lang w:val="sl-SI"/>
        </w:rPr>
        <w:t>Po</w:t>
      </w:r>
      <w:r w:rsidRPr="005771BD">
        <w:rPr>
          <w:rFonts w:eastAsiaTheme="minorHAnsi" w:cs="Arial"/>
          <w:color w:val="000000"/>
          <w:szCs w:val="20"/>
          <w:lang w:val="sl-SI"/>
        </w:rPr>
        <w:t xml:space="preserve"> slovensk</w:t>
      </w:r>
      <w:r>
        <w:rPr>
          <w:rFonts w:eastAsiaTheme="minorHAnsi" w:cs="Arial"/>
          <w:color w:val="000000"/>
          <w:szCs w:val="20"/>
          <w:lang w:val="sl-SI"/>
        </w:rPr>
        <w:t>i</w:t>
      </w:r>
      <w:r w:rsidRPr="005771BD">
        <w:rPr>
          <w:rFonts w:eastAsiaTheme="minorHAnsi" w:cs="Arial"/>
          <w:color w:val="000000"/>
          <w:szCs w:val="20"/>
          <w:lang w:val="sl-SI"/>
        </w:rPr>
        <w:t xml:space="preserve"> zakonodaj</w:t>
      </w:r>
      <w:r>
        <w:rPr>
          <w:rFonts w:eastAsiaTheme="minorHAnsi" w:cs="Arial"/>
          <w:color w:val="000000"/>
          <w:szCs w:val="20"/>
          <w:lang w:val="sl-SI"/>
        </w:rPr>
        <w:t>i</w:t>
      </w:r>
      <w:r w:rsidRPr="005771BD">
        <w:rPr>
          <w:rFonts w:eastAsiaTheme="minorHAnsi" w:cs="Arial"/>
          <w:color w:val="000000"/>
          <w:szCs w:val="20"/>
          <w:lang w:val="sl-SI"/>
        </w:rPr>
        <w:t xml:space="preserve"> pomeni dajanje GSO na trg dajanje izdelkov tretjim osebam proti plačilu ali brez njega. Za dajanje na trg se šteje tudi uvoz izdelkov </w:t>
      </w:r>
      <w:r>
        <w:rPr>
          <w:rFonts w:eastAsiaTheme="minorHAnsi" w:cs="Arial"/>
          <w:color w:val="000000"/>
          <w:szCs w:val="20"/>
          <w:lang w:val="sl-SI"/>
        </w:rPr>
        <w:t>v</w:t>
      </w:r>
      <w:r w:rsidRPr="005771BD">
        <w:rPr>
          <w:rFonts w:eastAsiaTheme="minorHAnsi" w:cs="Arial"/>
          <w:color w:val="000000"/>
          <w:szCs w:val="20"/>
          <w:lang w:val="sl-SI"/>
        </w:rPr>
        <w:t xml:space="preserve"> carinsko območje EU. Preden se da lahko tak izdelek na slovenski</w:t>
      </w:r>
      <w:r>
        <w:rPr>
          <w:rFonts w:eastAsiaTheme="minorHAnsi" w:cs="Arial"/>
          <w:color w:val="000000"/>
          <w:szCs w:val="20"/>
          <w:lang w:val="sl-SI"/>
        </w:rPr>
        <w:t xml:space="preserve"> trg</w:t>
      </w:r>
      <w:r w:rsidRPr="005771BD">
        <w:rPr>
          <w:rFonts w:eastAsiaTheme="minorHAnsi" w:cs="Arial"/>
          <w:color w:val="000000"/>
          <w:szCs w:val="20"/>
          <w:lang w:val="sl-SI"/>
        </w:rPr>
        <w:t xml:space="preserve"> ali trg</w:t>
      </w:r>
      <w:r>
        <w:rPr>
          <w:rFonts w:eastAsiaTheme="minorHAnsi" w:cs="Arial"/>
          <w:color w:val="000000"/>
          <w:szCs w:val="20"/>
          <w:lang w:val="sl-SI"/>
        </w:rPr>
        <w:t xml:space="preserve"> EU,</w:t>
      </w:r>
      <w:r w:rsidRPr="005771BD">
        <w:rPr>
          <w:rFonts w:eastAsiaTheme="minorHAnsi" w:cs="Arial"/>
          <w:color w:val="000000"/>
          <w:szCs w:val="20"/>
          <w:lang w:val="sl-SI"/>
        </w:rPr>
        <w:t xml:space="preserve"> mora prijavitelj za to pridobiti dovoljenje. Odločitve o dovoljevanju dajanja GSO na trg v EU sprejemajo </w:t>
      </w:r>
      <w:r>
        <w:rPr>
          <w:rFonts w:eastAsiaTheme="minorHAnsi" w:cs="Arial"/>
          <w:color w:val="000000"/>
          <w:szCs w:val="20"/>
          <w:lang w:val="sl-SI"/>
        </w:rPr>
        <w:t>skupno</w:t>
      </w:r>
      <w:r w:rsidRPr="005771BD">
        <w:rPr>
          <w:rFonts w:eastAsiaTheme="minorHAnsi" w:cs="Arial"/>
          <w:color w:val="000000"/>
          <w:szCs w:val="20"/>
          <w:lang w:val="sl-SI"/>
        </w:rPr>
        <w:t xml:space="preserve"> vse držav</w:t>
      </w:r>
      <w:r>
        <w:rPr>
          <w:rFonts w:eastAsiaTheme="minorHAnsi" w:cs="Arial"/>
          <w:color w:val="000000"/>
          <w:szCs w:val="20"/>
          <w:lang w:val="sl-SI"/>
        </w:rPr>
        <w:t>e</w:t>
      </w:r>
      <w:r w:rsidRPr="005771BD">
        <w:rPr>
          <w:rFonts w:eastAsiaTheme="minorHAnsi" w:cs="Arial"/>
          <w:color w:val="000000"/>
          <w:szCs w:val="20"/>
          <w:lang w:val="sl-SI"/>
        </w:rPr>
        <w:t xml:space="preserve"> članic</w:t>
      </w:r>
      <w:r>
        <w:rPr>
          <w:rFonts w:eastAsiaTheme="minorHAnsi" w:cs="Arial"/>
          <w:color w:val="000000"/>
          <w:szCs w:val="20"/>
          <w:lang w:val="sl-SI"/>
        </w:rPr>
        <w:t>e</w:t>
      </w:r>
      <w:r w:rsidRPr="005771BD">
        <w:rPr>
          <w:rFonts w:eastAsiaTheme="minorHAnsi" w:cs="Arial"/>
          <w:color w:val="000000"/>
          <w:szCs w:val="20"/>
          <w:lang w:val="sl-SI"/>
        </w:rPr>
        <w:t xml:space="preserve"> in</w:t>
      </w:r>
      <w:r>
        <w:rPr>
          <w:rFonts w:eastAsiaTheme="minorHAnsi" w:cs="Arial"/>
          <w:color w:val="000000"/>
          <w:szCs w:val="20"/>
          <w:lang w:val="sl-SI"/>
        </w:rPr>
        <w:t xml:space="preserve"> </w:t>
      </w:r>
      <w:r w:rsidRPr="005771BD">
        <w:rPr>
          <w:rFonts w:eastAsiaTheme="minorHAnsi" w:cs="Arial"/>
          <w:color w:val="000000"/>
          <w:szCs w:val="20"/>
          <w:lang w:val="sl-SI"/>
        </w:rPr>
        <w:t>sprejete odločitve veljajo za celot</w:t>
      </w:r>
      <w:r>
        <w:rPr>
          <w:rFonts w:eastAsiaTheme="minorHAnsi" w:cs="Arial"/>
          <w:color w:val="000000"/>
          <w:szCs w:val="20"/>
          <w:lang w:val="sl-SI"/>
        </w:rPr>
        <w:t>ni</w:t>
      </w:r>
      <w:r w:rsidRPr="005771BD">
        <w:rPr>
          <w:rFonts w:eastAsiaTheme="minorHAnsi" w:cs="Arial"/>
          <w:color w:val="000000"/>
          <w:szCs w:val="20"/>
          <w:lang w:val="sl-SI"/>
        </w:rPr>
        <w:t xml:space="preserve"> trg EU. </w:t>
      </w:r>
    </w:p>
    <w:p w:rsidR="003B2707" w:rsidRPr="005771BD" w:rsidRDefault="003B2707" w:rsidP="003B2707">
      <w:pPr>
        <w:spacing w:after="200" w:line="276" w:lineRule="auto"/>
        <w:jc w:val="both"/>
        <w:rPr>
          <w:rFonts w:eastAsiaTheme="minorHAnsi" w:cs="Arial"/>
          <w:color w:val="000000"/>
          <w:szCs w:val="20"/>
          <w:lang w:val="sl-SI"/>
        </w:rPr>
      </w:pPr>
      <w:r w:rsidRPr="005771BD">
        <w:rPr>
          <w:rFonts w:eastAsiaTheme="minorHAnsi" w:cs="Arial"/>
          <w:color w:val="000000"/>
          <w:szCs w:val="20"/>
          <w:lang w:val="sl-SI"/>
        </w:rPr>
        <w:t xml:space="preserve">V EU </w:t>
      </w:r>
      <w:r>
        <w:rPr>
          <w:rFonts w:eastAsiaTheme="minorHAnsi" w:cs="Arial"/>
          <w:color w:val="000000"/>
          <w:szCs w:val="20"/>
          <w:lang w:val="sl-SI"/>
        </w:rPr>
        <w:t>sta dva načina</w:t>
      </w:r>
      <w:r w:rsidRPr="005771BD">
        <w:rPr>
          <w:rFonts w:eastAsiaTheme="minorHAnsi" w:cs="Arial"/>
          <w:color w:val="000000"/>
          <w:szCs w:val="20"/>
          <w:lang w:val="sl-SI"/>
        </w:rPr>
        <w:t xml:space="preserve"> za prijavo dajanja GSO na trg</w:t>
      </w:r>
      <w:r>
        <w:rPr>
          <w:rFonts w:eastAsiaTheme="minorHAnsi" w:cs="Arial"/>
          <w:color w:val="000000"/>
          <w:szCs w:val="20"/>
          <w:lang w:val="sl-SI"/>
        </w:rPr>
        <w:t>,</w:t>
      </w:r>
      <w:r w:rsidRPr="005771BD">
        <w:rPr>
          <w:rFonts w:eastAsiaTheme="minorHAnsi" w:cs="Arial"/>
          <w:color w:val="000000"/>
          <w:szCs w:val="20"/>
          <w:lang w:val="sl-SI"/>
        </w:rPr>
        <w:t xml:space="preserve"> in sicer na </w:t>
      </w:r>
      <w:r>
        <w:rPr>
          <w:rFonts w:eastAsiaTheme="minorHAnsi" w:cs="Arial"/>
          <w:color w:val="000000"/>
          <w:szCs w:val="20"/>
          <w:lang w:val="sl-SI"/>
        </w:rPr>
        <w:t>podlagi</w:t>
      </w:r>
      <w:r w:rsidRPr="005771BD">
        <w:rPr>
          <w:rFonts w:eastAsiaTheme="minorHAnsi" w:cs="Arial"/>
          <w:color w:val="000000"/>
          <w:szCs w:val="20"/>
          <w:lang w:val="sl-SI"/>
        </w:rPr>
        <w:t xml:space="preserve"> dela</w:t>
      </w:r>
      <w:r>
        <w:rPr>
          <w:rFonts w:eastAsiaTheme="minorHAnsi" w:cs="Arial"/>
          <w:color w:val="000000"/>
          <w:szCs w:val="20"/>
          <w:lang w:val="sl-SI"/>
        </w:rPr>
        <w:t xml:space="preserve"> C</w:t>
      </w:r>
      <w:r w:rsidRPr="005771BD">
        <w:rPr>
          <w:rFonts w:eastAsiaTheme="minorHAnsi" w:cs="Arial"/>
          <w:color w:val="000000"/>
          <w:szCs w:val="20"/>
          <w:lang w:val="sl-SI"/>
        </w:rPr>
        <w:t xml:space="preserve"> Direktive 2001/18/ES </w:t>
      </w:r>
      <w:r w:rsidRPr="005771BD">
        <w:rPr>
          <w:rFonts w:eastAsiaTheme="minorHAnsi" w:cs="Arial"/>
          <w:b/>
          <w:bCs/>
          <w:szCs w:val="20"/>
          <w:lang w:val="sl-SI"/>
        </w:rPr>
        <w:t>o namernem sproščanju gensko spremenjenih organizmov v okolje</w:t>
      </w:r>
      <w:r w:rsidRPr="005771BD">
        <w:rPr>
          <w:rFonts w:eastAsiaTheme="minorHAnsi" w:cs="Arial"/>
          <w:color w:val="000000"/>
          <w:szCs w:val="20"/>
          <w:lang w:val="sl-SI"/>
        </w:rPr>
        <w:t xml:space="preserve"> ali Uredbe 1829/2003 </w:t>
      </w:r>
      <w:r w:rsidRPr="005771BD">
        <w:rPr>
          <w:rFonts w:cs="Arial"/>
          <w:szCs w:val="20"/>
          <w:lang w:val="sl-SI" w:eastAsia="sl-SI"/>
        </w:rPr>
        <w:t>o gensko spremenjenih živilih in krmi</w:t>
      </w:r>
      <w:r w:rsidRPr="005771BD">
        <w:rPr>
          <w:rFonts w:eastAsiaTheme="minorHAnsi" w:cs="Arial"/>
          <w:color w:val="000000"/>
          <w:szCs w:val="20"/>
          <w:lang w:val="sl-SI"/>
        </w:rPr>
        <w:t>.</w:t>
      </w:r>
    </w:p>
    <w:p w:rsidR="003B2707" w:rsidRPr="005771BD" w:rsidRDefault="003B2707" w:rsidP="003B2707">
      <w:pPr>
        <w:spacing w:after="200" w:line="276" w:lineRule="auto"/>
        <w:jc w:val="both"/>
        <w:rPr>
          <w:rFonts w:eastAsiaTheme="minorHAnsi" w:cs="Arial"/>
          <w:color w:val="000000"/>
          <w:szCs w:val="20"/>
          <w:lang w:val="sl-SI"/>
        </w:rPr>
      </w:pPr>
      <w:r w:rsidRPr="005771BD">
        <w:rPr>
          <w:rFonts w:eastAsiaTheme="minorHAnsi" w:cs="Arial"/>
          <w:color w:val="000000"/>
          <w:szCs w:val="20"/>
          <w:lang w:val="sl-SI"/>
        </w:rPr>
        <w:t xml:space="preserve">Prijavitelj lahko zaprosi za dovoljenje za dajanje GSO na trg tako, da predloži prijavo, ki vsebuje vse zahtevane podatke o opravljenih poskusih z GSO in presojo tveganja. Prijavitelj lahko zaprosi za dovoljenje, da se GSO na trgu uporablja kot hrana/krma za pridelavo ali predelavo. </w:t>
      </w:r>
      <w:r>
        <w:rPr>
          <w:rFonts w:eastAsiaTheme="minorHAnsi" w:cs="Arial"/>
          <w:color w:val="000000"/>
          <w:szCs w:val="20"/>
          <w:lang w:val="sl-SI"/>
        </w:rPr>
        <w:t>Če</w:t>
      </w:r>
      <w:r w:rsidRPr="005771BD">
        <w:rPr>
          <w:rFonts w:eastAsiaTheme="minorHAnsi" w:cs="Arial"/>
          <w:color w:val="000000"/>
          <w:szCs w:val="20"/>
          <w:lang w:val="sl-SI"/>
        </w:rPr>
        <w:t xml:space="preserve"> se GSO</w:t>
      </w:r>
      <w:r>
        <w:rPr>
          <w:rFonts w:eastAsiaTheme="minorHAnsi" w:cs="Arial"/>
          <w:color w:val="000000"/>
          <w:szCs w:val="20"/>
          <w:lang w:val="sl-SI"/>
        </w:rPr>
        <w:t>-</w:t>
      </w:r>
      <w:r w:rsidRPr="005771BD">
        <w:rPr>
          <w:rFonts w:eastAsiaTheme="minorHAnsi" w:cs="Arial"/>
          <w:color w:val="000000"/>
          <w:szCs w:val="20"/>
          <w:lang w:val="sl-SI"/>
        </w:rPr>
        <w:t>izdelek namerava uporabljati samo za hrano, krmo in predelavo brez njegove pridelave</w:t>
      </w:r>
      <w:r>
        <w:rPr>
          <w:rFonts w:eastAsiaTheme="minorHAnsi" w:cs="Arial"/>
          <w:color w:val="000000"/>
          <w:szCs w:val="20"/>
          <w:lang w:val="sl-SI"/>
        </w:rPr>
        <w:t>,</w:t>
      </w:r>
      <w:r w:rsidRPr="005771BD">
        <w:rPr>
          <w:rFonts w:eastAsiaTheme="minorHAnsi" w:cs="Arial"/>
          <w:color w:val="000000"/>
          <w:szCs w:val="20"/>
          <w:lang w:val="sl-SI"/>
        </w:rPr>
        <w:t xml:space="preserve"> je prijava samo za te namene dovolj. </w:t>
      </w:r>
      <w:r>
        <w:rPr>
          <w:rFonts w:eastAsiaTheme="minorHAnsi" w:cs="Arial"/>
          <w:color w:val="000000"/>
          <w:szCs w:val="20"/>
          <w:lang w:val="sl-SI"/>
        </w:rPr>
        <w:t>Če</w:t>
      </w:r>
      <w:r w:rsidRPr="005771BD">
        <w:rPr>
          <w:rFonts w:eastAsiaTheme="minorHAnsi" w:cs="Arial"/>
          <w:color w:val="000000"/>
          <w:szCs w:val="20"/>
          <w:lang w:val="sl-SI"/>
        </w:rPr>
        <w:t xml:space="preserve"> </w:t>
      </w:r>
      <w:r>
        <w:rPr>
          <w:rFonts w:eastAsiaTheme="minorHAnsi" w:cs="Arial"/>
          <w:color w:val="000000"/>
          <w:szCs w:val="20"/>
          <w:lang w:val="sl-SI"/>
        </w:rPr>
        <w:t xml:space="preserve">pa </w:t>
      </w:r>
      <w:r w:rsidRPr="005771BD">
        <w:rPr>
          <w:rFonts w:eastAsiaTheme="minorHAnsi" w:cs="Arial"/>
          <w:color w:val="000000"/>
          <w:szCs w:val="20"/>
          <w:lang w:val="sl-SI"/>
        </w:rPr>
        <w:t xml:space="preserve">se bo GSO poleg hrane in krme uporabljal tudi za pridelavo, lahko prijavitelj na </w:t>
      </w:r>
      <w:r>
        <w:rPr>
          <w:rFonts w:eastAsiaTheme="minorHAnsi" w:cs="Arial"/>
          <w:color w:val="000000"/>
          <w:szCs w:val="20"/>
          <w:lang w:val="sl-SI"/>
        </w:rPr>
        <w:t>podlagi</w:t>
      </w:r>
      <w:r w:rsidRPr="005771BD">
        <w:rPr>
          <w:rFonts w:eastAsiaTheme="minorHAnsi" w:cs="Arial"/>
          <w:color w:val="000000"/>
          <w:szCs w:val="20"/>
          <w:lang w:val="sl-SI"/>
        </w:rPr>
        <w:t xml:space="preserve"> istega zakonodajnega akta prijavi in pridobi dovoljenje za GSO tudi za vse tri uporabe (hrana/krma, pridelava in predelava). Nasprotno</w:t>
      </w:r>
      <w:r>
        <w:rPr>
          <w:rFonts w:eastAsiaTheme="minorHAnsi" w:cs="Arial"/>
          <w:color w:val="000000"/>
          <w:szCs w:val="20"/>
          <w:lang w:val="sl-SI"/>
        </w:rPr>
        <w:t xml:space="preserve"> je</w:t>
      </w:r>
      <w:r w:rsidRPr="005771BD">
        <w:rPr>
          <w:rFonts w:eastAsiaTheme="minorHAnsi" w:cs="Arial"/>
          <w:color w:val="000000"/>
          <w:szCs w:val="20"/>
          <w:lang w:val="sl-SI"/>
        </w:rPr>
        <w:t xml:space="preserve"> v primeru, da se GSO ne bo uporabljal za hrano in krmo, dovolj samo prijava za pridelavo. Vsi GSO, ki so dobili dovoljenje za trženje kot hrana ali krma v okviru Uredbe 1829/2003, ali pa so bili umaknjeni s trga EU, so vključeni tudi v register</w:t>
      </w:r>
      <w:r>
        <w:rPr>
          <w:rFonts w:eastAsiaTheme="minorHAnsi" w:cs="Arial"/>
          <w:color w:val="000000"/>
          <w:szCs w:val="20"/>
          <w:lang w:val="sl-SI"/>
        </w:rPr>
        <w:t xml:space="preserve"> GSO</w:t>
      </w:r>
      <w:r w:rsidRPr="005771BD">
        <w:rPr>
          <w:rFonts w:eastAsiaTheme="minorHAnsi" w:cs="Arial"/>
          <w:color w:val="000000"/>
          <w:szCs w:val="20"/>
          <w:lang w:val="sl-SI"/>
        </w:rPr>
        <w:t xml:space="preserve"> EU. </w:t>
      </w:r>
    </w:p>
    <w:p w:rsidR="003B2707" w:rsidRPr="005771BD" w:rsidRDefault="003B2707" w:rsidP="003B2707">
      <w:pPr>
        <w:spacing w:after="200" w:line="276" w:lineRule="auto"/>
        <w:jc w:val="both"/>
        <w:rPr>
          <w:rFonts w:eastAsiaTheme="minorHAnsi" w:cs="Arial"/>
          <w:szCs w:val="20"/>
          <w:lang w:val="sl-SI"/>
        </w:rPr>
      </w:pPr>
      <w:r w:rsidRPr="005771BD">
        <w:rPr>
          <w:rFonts w:eastAsiaTheme="minorHAnsi" w:cs="Arial"/>
          <w:szCs w:val="20"/>
          <w:lang w:val="sl-SI"/>
        </w:rPr>
        <w:t xml:space="preserve">Slovenija </w:t>
      </w:r>
      <w:r>
        <w:rPr>
          <w:rFonts w:eastAsiaTheme="minorHAnsi" w:cs="Arial"/>
          <w:szCs w:val="20"/>
          <w:lang w:val="sl-SI"/>
        </w:rPr>
        <w:t>v skladu z</w:t>
      </w:r>
      <w:r w:rsidRPr="005771BD">
        <w:rPr>
          <w:rFonts w:eastAsiaTheme="minorHAnsi" w:cs="Arial"/>
          <w:szCs w:val="20"/>
          <w:lang w:val="sl-SI"/>
        </w:rPr>
        <w:t xml:space="preserve"> zakonodaj</w:t>
      </w:r>
      <w:r>
        <w:rPr>
          <w:rFonts w:eastAsiaTheme="minorHAnsi" w:cs="Arial"/>
          <w:szCs w:val="20"/>
          <w:lang w:val="sl-SI"/>
        </w:rPr>
        <w:t>o</w:t>
      </w:r>
      <w:r w:rsidRPr="005771BD">
        <w:rPr>
          <w:rFonts w:eastAsiaTheme="minorHAnsi" w:cs="Arial"/>
          <w:szCs w:val="20"/>
          <w:lang w:val="sl-SI"/>
        </w:rPr>
        <w:t xml:space="preserve"> spremlja prisotnost gensko spremenjenih organizmov (GSO) v izdelkih </w:t>
      </w:r>
      <w:r>
        <w:rPr>
          <w:rFonts w:eastAsiaTheme="minorHAnsi" w:cs="Arial"/>
          <w:szCs w:val="20"/>
          <w:lang w:val="sl-SI"/>
        </w:rPr>
        <w:t>in</w:t>
      </w:r>
      <w:r w:rsidRPr="005771BD">
        <w:rPr>
          <w:rFonts w:eastAsiaTheme="minorHAnsi" w:cs="Arial"/>
          <w:szCs w:val="20"/>
          <w:lang w:val="sl-SI"/>
        </w:rPr>
        <w:t xml:space="preserve"> na tej </w:t>
      </w:r>
      <w:r>
        <w:rPr>
          <w:rFonts w:eastAsiaTheme="minorHAnsi" w:cs="Arial"/>
          <w:szCs w:val="20"/>
          <w:lang w:val="sl-SI"/>
        </w:rPr>
        <w:t>podlagi</w:t>
      </w:r>
      <w:r w:rsidRPr="005771BD">
        <w:rPr>
          <w:rFonts w:eastAsiaTheme="minorHAnsi" w:cs="Arial"/>
          <w:szCs w:val="20"/>
          <w:lang w:val="sl-SI"/>
        </w:rPr>
        <w:t xml:space="preserve"> izvaja tudi različne monitoringe. </w:t>
      </w:r>
      <w:r>
        <w:rPr>
          <w:rFonts w:eastAsiaTheme="minorHAnsi" w:cs="Arial"/>
          <w:szCs w:val="20"/>
          <w:lang w:val="sl-SI"/>
        </w:rPr>
        <w:t>V skladu z</w:t>
      </w:r>
      <w:r w:rsidRPr="005771BD">
        <w:rPr>
          <w:rFonts w:eastAsiaTheme="minorHAnsi" w:cs="Arial"/>
          <w:szCs w:val="20"/>
          <w:lang w:val="sl-SI"/>
        </w:rPr>
        <w:t xml:space="preserve"> ZRGSO izvaja ministrstvo, pristojno za varstvo okolja, monitoring nad sproščanjem GSO v okolje in v tem okviru nad prisotnostjo GSO ali gensko spremenjenega materiala v semenih na slovenskem trgu.</w:t>
      </w:r>
    </w:p>
    <w:p w:rsidR="003B2707" w:rsidRPr="005771BD" w:rsidRDefault="003B2707" w:rsidP="003B2707">
      <w:pPr>
        <w:spacing w:after="200" w:line="276" w:lineRule="auto"/>
        <w:jc w:val="both"/>
        <w:rPr>
          <w:rFonts w:eastAsiaTheme="minorHAnsi" w:cs="Arial"/>
          <w:szCs w:val="20"/>
          <w:lang w:val="sl-SI"/>
        </w:rPr>
      </w:pPr>
      <w:r w:rsidRPr="005771BD">
        <w:rPr>
          <w:rFonts w:eastAsiaTheme="minorHAnsi" w:cs="Arial"/>
          <w:color w:val="000000"/>
          <w:szCs w:val="20"/>
          <w:lang w:val="sl-SI"/>
        </w:rPr>
        <w:t xml:space="preserve">Monitoringi ugotavljanja prisotnosti </w:t>
      </w:r>
      <w:r w:rsidRPr="005771BD">
        <w:rPr>
          <w:rFonts w:eastAsiaTheme="minorHAnsi" w:cs="Arial"/>
          <w:szCs w:val="20"/>
          <w:lang w:val="sl-SI"/>
        </w:rPr>
        <w:t xml:space="preserve">gensko spremenjenega materiala v semenih na slovenskem trgu se izvaja v semenskem materialu koruze, oljne ogrščice in soje. Iz opravljenih monitoringov </w:t>
      </w:r>
      <w:r>
        <w:rPr>
          <w:rFonts w:eastAsiaTheme="minorHAnsi" w:cs="Arial"/>
          <w:szCs w:val="20"/>
          <w:lang w:val="sl-SI"/>
        </w:rPr>
        <w:t>izhaja</w:t>
      </w:r>
      <w:r w:rsidRPr="005771BD">
        <w:rPr>
          <w:rFonts w:eastAsiaTheme="minorHAnsi" w:cs="Arial"/>
          <w:szCs w:val="20"/>
          <w:lang w:val="sl-SI"/>
        </w:rPr>
        <w:t>, da v obdobju 2006</w:t>
      </w:r>
      <w:r>
        <w:rPr>
          <w:rFonts w:eastAsiaTheme="minorHAnsi" w:cs="Arial"/>
          <w:szCs w:val="20"/>
          <w:lang w:val="sl-SI"/>
        </w:rPr>
        <w:t>–</w:t>
      </w:r>
      <w:r w:rsidRPr="005771BD">
        <w:rPr>
          <w:rFonts w:eastAsiaTheme="minorHAnsi" w:cs="Arial"/>
          <w:szCs w:val="20"/>
          <w:lang w:val="sl-SI"/>
        </w:rPr>
        <w:t xml:space="preserve">2015 v semenu oljne ogrščice in soje prisotnost GSO ni bila zaznana. Tudi v 94 % primerov semenske koruze GSO niso bili zaznani. Vsaka odkrita prisotnost GSO v sledovih je imela za posledico umik semena koruze s slovenskega trga. </w:t>
      </w:r>
    </w:p>
    <w:p w:rsidR="003B2707" w:rsidRPr="005771BD" w:rsidRDefault="003B2707" w:rsidP="003B2707">
      <w:pPr>
        <w:autoSpaceDE w:val="0"/>
        <w:autoSpaceDN w:val="0"/>
        <w:adjustRightInd w:val="0"/>
        <w:spacing w:after="200" w:line="276" w:lineRule="auto"/>
        <w:jc w:val="both"/>
        <w:rPr>
          <w:rFonts w:eastAsiaTheme="minorHAnsi" w:cs="Arial"/>
          <w:color w:val="000000"/>
          <w:szCs w:val="20"/>
          <w:lang w:val="sl-SI"/>
        </w:rPr>
      </w:pPr>
      <w:r w:rsidRPr="005771BD">
        <w:rPr>
          <w:rFonts w:eastAsiaTheme="minorHAnsi" w:cs="Arial"/>
          <w:color w:val="000000"/>
          <w:szCs w:val="20"/>
          <w:lang w:val="sl-SI"/>
        </w:rPr>
        <w:t xml:space="preserve">Na področju hrane in krme izvaja Uprava za varno hrano, veterinarstvo in varstvo rastlin na </w:t>
      </w:r>
      <w:r>
        <w:rPr>
          <w:rFonts w:eastAsiaTheme="minorHAnsi" w:cs="Arial"/>
          <w:color w:val="000000"/>
          <w:szCs w:val="20"/>
          <w:lang w:val="sl-SI"/>
        </w:rPr>
        <w:t>podlagi</w:t>
      </w:r>
      <w:r w:rsidRPr="005771BD">
        <w:rPr>
          <w:rFonts w:eastAsiaTheme="minorHAnsi" w:cs="Arial"/>
          <w:color w:val="000000"/>
          <w:szCs w:val="20"/>
          <w:lang w:val="sl-SI"/>
        </w:rPr>
        <w:t xml:space="preserve"> Zakona o kmetijstvu, Zakona o veterinarskih merilih skladnosti in Zakona o krmi letne monitoringe prisotnosti GSO v hrani in krmi. Vzorčijo se proizvodi, ki vsebujejo sestavine, pri katerih obstaja možnost, da bi bile lahko gensko spremenjene. Takšne sestavine so predvsem soja, koruza, oljna ogrščica, riž in njihovi proizvodi. </w:t>
      </w:r>
      <w:r>
        <w:rPr>
          <w:rFonts w:eastAsiaTheme="minorHAnsi" w:cs="Arial"/>
          <w:color w:val="000000"/>
          <w:szCs w:val="20"/>
          <w:lang w:val="sl-SI"/>
        </w:rPr>
        <w:t>Z ugotavljanjem</w:t>
      </w:r>
      <w:r w:rsidRPr="005771BD">
        <w:rPr>
          <w:rFonts w:eastAsiaTheme="minorHAnsi" w:cs="Arial"/>
          <w:color w:val="000000"/>
          <w:szCs w:val="20"/>
          <w:lang w:val="sl-SI"/>
        </w:rPr>
        <w:t xml:space="preserve"> prisotnost</w:t>
      </w:r>
      <w:r>
        <w:rPr>
          <w:rFonts w:eastAsiaTheme="minorHAnsi" w:cs="Arial"/>
          <w:color w:val="000000"/>
          <w:szCs w:val="20"/>
          <w:lang w:val="sl-SI"/>
        </w:rPr>
        <w:t>i</w:t>
      </w:r>
      <w:r w:rsidRPr="005771BD">
        <w:rPr>
          <w:rFonts w:eastAsiaTheme="minorHAnsi" w:cs="Arial"/>
          <w:color w:val="000000"/>
          <w:szCs w:val="20"/>
          <w:lang w:val="sl-SI"/>
        </w:rPr>
        <w:t xml:space="preserve"> GSO v krmi je ministrstvo, pristojno za kmetijstvo, začelo leta 2005.</w:t>
      </w:r>
    </w:p>
    <w:p w:rsidR="003B2707" w:rsidRPr="005771BD" w:rsidRDefault="003B2707" w:rsidP="003B2707">
      <w:pPr>
        <w:spacing w:after="200" w:line="276" w:lineRule="auto"/>
        <w:jc w:val="both"/>
        <w:rPr>
          <w:rFonts w:eastAsiaTheme="minorHAnsi" w:cs="Arial"/>
          <w:szCs w:val="20"/>
          <w:lang w:val="sl-SI"/>
        </w:rPr>
      </w:pPr>
    </w:p>
    <w:p w:rsidR="003B2707" w:rsidRPr="005771BD" w:rsidRDefault="003B2707" w:rsidP="003B2707">
      <w:pPr>
        <w:spacing w:after="200" w:line="276" w:lineRule="auto"/>
        <w:ind w:right="-1283"/>
        <w:jc w:val="both"/>
        <w:rPr>
          <w:rFonts w:eastAsiaTheme="minorHAnsi" w:cs="Arial"/>
          <w:color w:val="000000"/>
          <w:szCs w:val="20"/>
          <w:lang w:val="sl-SI"/>
        </w:rPr>
      </w:pPr>
      <w:r w:rsidRPr="005771BD">
        <w:rPr>
          <w:rFonts w:eastAsiaTheme="minorHAnsi" w:cs="Arial"/>
          <w:noProof/>
          <w:szCs w:val="20"/>
          <w:lang w:val="sl-SI"/>
        </w:rPr>
        <w:t xml:space="preserve"> </w:t>
      </w:r>
      <w:r w:rsidRPr="007F272F">
        <w:rPr>
          <w:rFonts w:eastAsiaTheme="minorHAnsi" w:cs="Arial"/>
          <w:noProof/>
          <w:szCs w:val="20"/>
          <w:lang w:val="sl-SI" w:eastAsia="sl-SI"/>
        </w:rPr>
        <w:drawing>
          <wp:inline distT="0" distB="0" distL="0" distR="0" wp14:anchorId="698D5722" wp14:editId="6E54B20E">
            <wp:extent cx="2740654" cy="1947553"/>
            <wp:effectExtent l="0" t="0" r="3175" b="0"/>
            <wp:docPr id="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0" cstate="print"/>
                    <a:srcRect/>
                    <a:stretch>
                      <a:fillRect/>
                    </a:stretch>
                  </pic:blipFill>
                  <pic:spPr bwMode="auto">
                    <a:xfrm>
                      <a:off x="0" y="0"/>
                      <a:ext cx="2746578" cy="1951763"/>
                    </a:xfrm>
                    <a:prstGeom prst="rect">
                      <a:avLst/>
                    </a:prstGeom>
                    <a:noFill/>
                    <a:ln w="9525">
                      <a:noFill/>
                      <a:miter lim="800000"/>
                      <a:headEnd/>
                      <a:tailEnd/>
                    </a:ln>
                  </pic:spPr>
                </pic:pic>
              </a:graphicData>
            </a:graphic>
          </wp:inline>
        </w:drawing>
      </w:r>
      <w:r w:rsidRPr="009F7BAE">
        <w:rPr>
          <w:rFonts w:eastAsiaTheme="minorHAnsi" w:cs="Arial"/>
          <w:noProof/>
          <w:szCs w:val="20"/>
          <w:lang w:val="sl-SI" w:eastAsia="sl-SI"/>
        </w:rPr>
        <w:drawing>
          <wp:inline distT="0" distB="0" distL="0" distR="0" wp14:anchorId="423FA2D8" wp14:editId="1E57178E">
            <wp:extent cx="2705285" cy="1935678"/>
            <wp:effectExtent l="0" t="0" r="0" b="7620"/>
            <wp:docPr id="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cstate="print"/>
                    <a:srcRect/>
                    <a:stretch>
                      <a:fillRect/>
                    </a:stretch>
                  </pic:blipFill>
                  <pic:spPr bwMode="auto">
                    <a:xfrm>
                      <a:off x="0" y="0"/>
                      <a:ext cx="2708903" cy="1938267"/>
                    </a:xfrm>
                    <a:prstGeom prst="rect">
                      <a:avLst/>
                    </a:prstGeom>
                    <a:noFill/>
                    <a:ln w="9525">
                      <a:noFill/>
                      <a:miter lim="800000"/>
                      <a:headEnd/>
                      <a:tailEnd/>
                    </a:ln>
                  </pic:spPr>
                </pic:pic>
              </a:graphicData>
            </a:graphic>
          </wp:inline>
        </w:drawing>
      </w:r>
      <w:r w:rsidRPr="005531CD">
        <w:rPr>
          <w:rFonts w:eastAsiaTheme="minorHAnsi" w:cs="Arial"/>
          <w:noProof/>
          <w:szCs w:val="20"/>
          <w:lang w:val="sl-SI" w:eastAsia="sl-SI"/>
        </w:rPr>
        <w:drawing>
          <wp:inline distT="0" distB="0" distL="0" distR="0" wp14:anchorId="0E2F6952" wp14:editId="4BE8343F">
            <wp:extent cx="2778826" cy="2032468"/>
            <wp:effectExtent l="0" t="0" r="2540" b="6350"/>
            <wp:docPr id="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2" cstate="print"/>
                    <a:srcRect/>
                    <a:stretch>
                      <a:fillRect/>
                    </a:stretch>
                  </pic:blipFill>
                  <pic:spPr bwMode="auto">
                    <a:xfrm>
                      <a:off x="0" y="0"/>
                      <a:ext cx="2785108" cy="2037063"/>
                    </a:xfrm>
                    <a:prstGeom prst="rect">
                      <a:avLst/>
                    </a:prstGeom>
                    <a:noFill/>
                    <a:ln w="9525">
                      <a:noFill/>
                      <a:miter lim="800000"/>
                      <a:headEnd/>
                      <a:tailEnd/>
                    </a:ln>
                  </pic:spPr>
                </pic:pic>
              </a:graphicData>
            </a:graphic>
          </wp:inline>
        </w:drawing>
      </w:r>
      <w:r w:rsidRPr="00371AD3">
        <w:rPr>
          <w:rFonts w:eastAsiaTheme="minorHAnsi" w:cs="Arial"/>
          <w:noProof/>
          <w:szCs w:val="20"/>
          <w:lang w:val="sl-SI" w:eastAsia="sl-SI"/>
        </w:rPr>
        <w:drawing>
          <wp:inline distT="0" distB="0" distL="0" distR="0" wp14:anchorId="26293D57" wp14:editId="1722EE07">
            <wp:extent cx="2794849" cy="2066066"/>
            <wp:effectExtent l="0" t="0" r="5715" b="0"/>
            <wp:docPr id="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3" cstate="print"/>
                    <a:srcRect/>
                    <a:stretch>
                      <a:fillRect/>
                    </a:stretch>
                  </pic:blipFill>
                  <pic:spPr bwMode="auto">
                    <a:xfrm>
                      <a:off x="0" y="0"/>
                      <a:ext cx="2797701" cy="2068174"/>
                    </a:xfrm>
                    <a:prstGeom prst="rect">
                      <a:avLst/>
                    </a:prstGeom>
                    <a:noFill/>
                    <a:ln w="9525">
                      <a:noFill/>
                      <a:miter lim="800000"/>
                      <a:headEnd/>
                      <a:tailEnd/>
                    </a:ln>
                  </pic:spPr>
                </pic:pic>
              </a:graphicData>
            </a:graphic>
          </wp:inline>
        </w:drawing>
      </w:r>
    </w:p>
    <w:p w:rsidR="003B2707" w:rsidRPr="005771BD" w:rsidRDefault="003B2707" w:rsidP="00DE3B10">
      <w:pPr>
        <w:spacing w:after="360" w:line="276" w:lineRule="auto"/>
        <w:jc w:val="both"/>
        <w:rPr>
          <w:rFonts w:eastAsiaTheme="minorHAnsi" w:cs="Arial"/>
          <w:i/>
          <w:color w:val="000000"/>
          <w:szCs w:val="20"/>
          <w:lang w:val="sl-SI"/>
        </w:rPr>
      </w:pPr>
      <w:r w:rsidRPr="005771BD">
        <w:rPr>
          <w:rFonts w:eastAsiaTheme="minorHAnsi" w:cs="Arial"/>
          <w:i/>
          <w:color w:val="000000"/>
          <w:szCs w:val="20"/>
          <w:lang w:val="sl-SI"/>
        </w:rPr>
        <w:t>Slika 1</w:t>
      </w:r>
      <w:r w:rsidR="00DE3B10">
        <w:rPr>
          <w:rFonts w:eastAsiaTheme="minorHAnsi" w:cs="Arial"/>
          <w:i/>
          <w:color w:val="000000"/>
          <w:szCs w:val="20"/>
          <w:lang w:val="sl-SI"/>
        </w:rPr>
        <w:t>3</w:t>
      </w:r>
      <w:r w:rsidRPr="005771BD">
        <w:rPr>
          <w:rFonts w:eastAsiaTheme="minorHAnsi" w:cs="Arial"/>
          <w:i/>
          <w:color w:val="000000"/>
          <w:szCs w:val="20"/>
          <w:lang w:val="sl-SI"/>
        </w:rPr>
        <w:t>.5: Rezultati monitoringov prisotnosti GSO v semenu koruze, oljne ogrščice in soje v razdobju 2006</w:t>
      </w:r>
      <w:r>
        <w:rPr>
          <w:rFonts w:eastAsiaTheme="minorHAnsi" w:cs="Arial"/>
          <w:i/>
          <w:color w:val="000000"/>
          <w:szCs w:val="20"/>
          <w:lang w:val="sl-SI"/>
        </w:rPr>
        <w:t>–</w:t>
      </w:r>
      <w:r w:rsidRPr="005771BD">
        <w:rPr>
          <w:rFonts w:eastAsiaTheme="minorHAnsi" w:cs="Arial"/>
          <w:i/>
          <w:color w:val="000000"/>
          <w:szCs w:val="20"/>
          <w:lang w:val="sl-SI"/>
        </w:rPr>
        <w:t>2015 (povzeto Vir: Monitoring GSO, NIB, 2015)</w:t>
      </w:r>
    </w:p>
    <w:p w:rsidR="003B2707" w:rsidRPr="005771BD" w:rsidRDefault="003B2707" w:rsidP="003B2707">
      <w:pPr>
        <w:autoSpaceDE w:val="0"/>
        <w:autoSpaceDN w:val="0"/>
        <w:adjustRightInd w:val="0"/>
        <w:spacing w:after="200" w:line="276" w:lineRule="auto"/>
        <w:jc w:val="both"/>
        <w:rPr>
          <w:rFonts w:eastAsiaTheme="minorHAnsi" w:cs="Arial"/>
          <w:color w:val="000000"/>
          <w:szCs w:val="20"/>
          <w:lang w:val="sl-SI"/>
        </w:rPr>
      </w:pPr>
    </w:p>
    <w:p w:rsidR="003B2707" w:rsidRPr="005771BD" w:rsidRDefault="003B2707" w:rsidP="003B2707">
      <w:pPr>
        <w:autoSpaceDE w:val="0"/>
        <w:autoSpaceDN w:val="0"/>
        <w:adjustRightInd w:val="0"/>
        <w:spacing w:after="200" w:line="276" w:lineRule="auto"/>
        <w:jc w:val="both"/>
        <w:rPr>
          <w:rFonts w:eastAsiaTheme="minorHAnsi" w:cs="Arial"/>
          <w:color w:val="000000"/>
          <w:szCs w:val="20"/>
          <w:lang w:val="sl-SI"/>
        </w:rPr>
      </w:pPr>
      <w:r w:rsidRPr="005771BD">
        <w:rPr>
          <w:rFonts w:eastAsiaTheme="minorHAnsi" w:cs="Arial"/>
          <w:color w:val="000000"/>
          <w:szCs w:val="20"/>
          <w:lang w:val="sl-SI"/>
        </w:rPr>
        <w:t>Analizne metode</w:t>
      </w:r>
      <w:r>
        <w:rPr>
          <w:rFonts w:eastAsiaTheme="minorHAnsi" w:cs="Arial"/>
          <w:color w:val="000000"/>
          <w:szCs w:val="20"/>
          <w:lang w:val="sl-SI"/>
        </w:rPr>
        <w:t>,</w:t>
      </w:r>
      <w:r w:rsidRPr="005771BD">
        <w:rPr>
          <w:rFonts w:eastAsiaTheme="minorHAnsi" w:cs="Arial"/>
          <w:color w:val="000000"/>
          <w:szCs w:val="20"/>
          <w:lang w:val="sl-SI"/>
        </w:rPr>
        <w:t xml:space="preserve"> s katerimi se ugotavlja prisotnost GSO, so zelo natančne in zaznajo že sledi GSO v hrani ali krmi. Naključni in nenamerni prisotnosti GSO se je težko popolnoma izogniti, zato je meja za označevanje prisotnosti GSO v hrani in krmi </w:t>
      </w:r>
      <w:r>
        <w:rPr>
          <w:rFonts w:eastAsiaTheme="minorHAnsi" w:cs="Arial"/>
          <w:color w:val="000000"/>
          <w:szCs w:val="20"/>
          <w:lang w:val="sl-SI"/>
        </w:rPr>
        <w:t>določena</w:t>
      </w:r>
      <w:r w:rsidRPr="005771BD">
        <w:rPr>
          <w:rFonts w:eastAsiaTheme="minorHAnsi" w:cs="Arial"/>
          <w:color w:val="000000"/>
          <w:szCs w:val="20"/>
          <w:lang w:val="sl-SI"/>
        </w:rPr>
        <w:t xml:space="preserve"> pri 0,9%. Proizvodi, ki vsebujejo</w:t>
      </w:r>
      <w:r>
        <w:rPr>
          <w:rFonts w:eastAsiaTheme="minorHAnsi" w:cs="Arial"/>
          <w:color w:val="000000"/>
          <w:szCs w:val="20"/>
          <w:lang w:val="sl-SI"/>
        </w:rPr>
        <w:t xml:space="preserve"> GSO</w:t>
      </w:r>
      <w:r w:rsidRPr="005771BD">
        <w:rPr>
          <w:rFonts w:eastAsiaTheme="minorHAnsi" w:cs="Arial"/>
          <w:color w:val="000000"/>
          <w:szCs w:val="20"/>
          <w:lang w:val="sl-SI"/>
        </w:rPr>
        <w:t>, morajo biti ustrezno označeni.</w:t>
      </w:r>
    </w:p>
    <w:p w:rsidR="003B2707" w:rsidRPr="005771BD" w:rsidRDefault="003B2707" w:rsidP="003B2707">
      <w:pPr>
        <w:autoSpaceDE w:val="0"/>
        <w:autoSpaceDN w:val="0"/>
        <w:adjustRightInd w:val="0"/>
        <w:spacing w:after="200" w:line="276" w:lineRule="auto"/>
        <w:jc w:val="both"/>
        <w:rPr>
          <w:rFonts w:eastAsiaTheme="minorHAnsi" w:cs="Arial"/>
          <w:color w:val="000000"/>
          <w:szCs w:val="20"/>
          <w:lang w:val="sl-SI"/>
        </w:rPr>
      </w:pPr>
      <w:r w:rsidRPr="005771BD">
        <w:rPr>
          <w:rFonts w:eastAsiaTheme="minorHAnsi" w:cs="Arial"/>
          <w:color w:val="000000"/>
          <w:szCs w:val="20"/>
          <w:lang w:val="sl-SI"/>
        </w:rPr>
        <w:t>V opravljenih monitoringih v obdobju 2013</w:t>
      </w:r>
      <w:r>
        <w:rPr>
          <w:rFonts w:eastAsiaTheme="minorHAnsi" w:cs="Arial"/>
          <w:color w:val="000000"/>
          <w:szCs w:val="20"/>
          <w:lang w:val="sl-SI"/>
        </w:rPr>
        <w:t>–</w:t>
      </w:r>
      <w:r w:rsidRPr="005771BD">
        <w:rPr>
          <w:rFonts w:eastAsiaTheme="minorHAnsi" w:cs="Arial"/>
          <w:color w:val="000000"/>
          <w:szCs w:val="20"/>
          <w:lang w:val="sl-SI"/>
        </w:rPr>
        <w:t xml:space="preserve">2015 so bili vsi vzorci živil </w:t>
      </w:r>
      <w:r>
        <w:rPr>
          <w:rFonts w:eastAsiaTheme="minorHAnsi" w:cs="Arial"/>
          <w:color w:val="000000"/>
          <w:szCs w:val="20"/>
          <w:lang w:val="sl-SI"/>
        </w:rPr>
        <w:t xml:space="preserve">v </w:t>
      </w:r>
      <w:r w:rsidRPr="005771BD">
        <w:rPr>
          <w:rFonts w:eastAsiaTheme="minorHAnsi" w:cs="Arial"/>
          <w:color w:val="000000"/>
          <w:szCs w:val="20"/>
          <w:lang w:val="sl-SI"/>
        </w:rPr>
        <w:t>sklad</w:t>
      </w:r>
      <w:r>
        <w:rPr>
          <w:rFonts w:eastAsiaTheme="minorHAnsi" w:cs="Arial"/>
          <w:color w:val="000000"/>
          <w:szCs w:val="20"/>
          <w:lang w:val="sl-SI"/>
        </w:rPr>
        <w:t>u</w:t>
      </w:r>
      <w:r w:rsidRPr="005771BD">
        <w:rPr>
          <w:rFonts w:eastAsiaTheme="minorHAnsi" w:cs="Arial"/>
          <w:color w:val="000000"/>
          <w:szCs w:val="20"/>
          <w:lang w:val="sl-SI"/>
        </w:rPr>
        <w:t xml:space="preserve"> z zakonodajo. Le v majhnem odstotku primerov pregledanih vzorcev živil so bile najdene sledi dovoljene gensko spremenjene soje, katere vsebnost je bila pod 0,1% ali pod mejo kvantifikacije, </w:t>
      </w:r>
      <w:r>
        <w:rPr>
          <w:rFonts w:eastAsiaTheme="minorHAnsi" w:cs="Arial"/>
          <w:color w:val="000000"/>
          <w:szCs w:val="20"/>
          <w:lang w:val="sl-SI"/>
        </w:rPr>
        <w:t>zato</w:t>
      </w:r>
      <w:r w:rsidRPr="005771BD">
        <w:rPr>
          <w:rFonts w:eastAsiaTheme="minorHAnsi" w:cs="Arial"/>
          <w:color w:val="000000"/>
          <w:szCs w:val="20"/>
          <w:lang w:val="sl-SI"/>
        </w:rPr>
        <w:t xml:space="preserve"> njihovo označevanje ni potrebno. </w:t>
      </w:r>
      <w:r>
        <w:rPr>
          <w:rFonts w:eastAsiaTheme="minorHAnsi" w:cs="Arial"/>
          <w:color w:val="000000"/>
          <w:szCs w:val="20"/>
          <w:lang w:val="sl-SI"/>
        </w:rPr>
        <w:t>V drugih</w:t>
      </w:r>
      <w:r w:rsidRPr="005771BD">
        <w:rPr>
          <w:rFonts w:eastAsiaTheme="minorHAnsi" w:cs="Arial"/>
          <w:color w:val="000000"/>
          <w:szCs w:val="20"/>
          <w:lang w:val="sl-SI"/>
        </w:rPr>
        <w:t xml:space="preserve"> vzorci</w:t>
      </w:r>
      <w:r>
        <w:rPr>
          <w:rFonts w:eastAsiaTheme="minorHAnsi" w:cs="Arial"/>
          <w:color w:val="000000"/>
          <w:szCs w:val="20"/>
          <w:lang w:val="sl-SI"/>
        </w:rPr>
        <w:t>h</w:t>
      </w:r>
      <w:r w:rsidRPr="005771BD">
        <w:rPr>
          <w:rFonts w:eastAsiaTheme="minorHAnsi" w:cs="Arial"/>
          <w:color w:val="000000"/>
          <w:szCs w:val="20"/>
          <w:lang w:val="sl-SI"/>
        </w:rPr>
        <w:t xml:space="preserve"> ni</w:t>
      </w:r>
      <w:r>
        <w:rPr>
          <w:rFonts w:eastAsiaTheme="minorHAnsi" w:cs="Arial"/>
          <w:color w:val="000000"/>
          <w:szCs w:val="20"/>
          <w:lang w:val="sl-SI"/>
        </w:rPr>
        <w:t xml:space="preserve"> bilo</w:t>
      </w:r>
      <w:r w:rsidRPr="005771BD">
        <w:rPr>
          <w:rFonts w:eastAsiaTheme="minorHAnsi" w:cs="Arial"/>
          <w:color w:val="000000"/>
          <w:szCs w:val="20"/>
          <w:lang w:val="sl-SI"/>
        </w:rPr>
        <w:t xml:space="preserve"> gensko spremenj</w:t>
      </w:r>
      <w:r>
        <w:rPr>
          <w:rFonts w:eastAsiaTheme="minorHAnsi" w:cs="Arial"/>
          <w:color w:val="000000"/>
          <w:szCs w:val="20"/>
          <w:lang w:val="sl-SI"/>
        </w:rPr>
        <w:t>enih sestavin</w:t>
      </w:r>
      <w:r w:rsidRPr="005771BD">
        <w:rPr>
          <w:rFonts w:eastAsiaTheme="minorHAnsi" w:cs="Arial"/>
          <w:color w:val="000000"/>
          <w:szCs w:val="20"/>
          <w:lang w:val="sl-SI"/>
        </w:rPr>
        <w:t xml:space="preserve">. </w:t>
      </w:r>
    </w:p>
    <w:p w:rsidR="003B2707" w:rsidRPr="005771BD" w:rsidRDefault="003B2707" w:rsidP="003B2707">
      <w:pPr>
        <w:autoSpaceDE w:val="0"/>
        <w:autoSpaceDN w:val="0"/>
        <w:adjustRightInd w:val="0"/>
        <w:spacing w:after="200" w:line="276" w:lineRule="auto"/>
        <w:jc w:val="both"/>
        <w:rPr>
          <w:rFonts w:eastAsiaTheme="minorHAnsi" w:cs="Arial"/>
          <w:color w:val="000000"/>
          <w:szCs w:val="20"/>
          <w:lang w:val="sl-SI"/>
        </w:rPr>
      </w:pPr>
      <w:r w:rsidRPr="005771BD">
        <w:rPr>
          <w:rFonts w:eastAsiaTheme="minorHAnsi" w:cs="Arial"/>
          <w:color w:val="000000"/>
          <w:szCs w:val="20"/>
          <w:lang w:val="sl-SI"/>
        </w:rPr>
        <w:t xml:space="preserve">Na osnovi monitoringov je </w:t>
      </w:r>
      <w:r>
        <w:rPr>
          <w:rFonts w:eastAsiaTheme="minorHAnsi" w:cs="Arial"/>
          <w:color w:val="000000"/>
          <w:szCs w:val="20"/>
          <w:lang w:val="sl-SI"/>
        </w:rPr>
        <w:t xml:space="preserve">bilo </w:t>
      </w:r>
      <w:r w:rsidRPr="005771BD">
        <w:rPr>
          <w:rFonts w:eastAsiaTheme="minorHAnsi" w:cs="Arial"/>
          <w:color w:val="000000"/>
          <w:szCs w:val="20"/>
          <w:lang w:val="sl-SI"/>
        </w:rPr>
        <w:t>tudi ugot</w:t>
      </w:r>
      <w:r>
        <w:rPr>
          <w:rFonts w:eastAsiaTheme="minorHAnsi" w:cs="Arial"/>
          <w:color w:val="000000"/>
          <w:szCs w:val="20"/>
          <w:lang w:val="sl-SI"/>
        </w:rPr>
        <w:t>o</w:t>
      </w:r>
      <w:r w:rsidRPr="005771BD">
        <w:rPr>
          <w:rFonts w:eastAsiaTheme="minorHAnsi" w:cs="Arial"/>
          <w:color w:val="000000"/>
          <w:szCs w:val="20"/>
          <w:lang w:val="sl-SI"/>
        </w:rPr>
        <w:t xml:space="preserve">vljeno, da se dovoljena gensko spremenjena soja redno uporablja kot beljakovinska sestavina v krmnih mešanicah in da </w:t>
      </w:r>
      <w:r>
        <w:rPr>
          <w:rFonts w:eastAsiaTheme="minorHAnsi" w:cs="Arial"/>
          <w:color w:val="000000"/>
          <w:szCs w:val="20"/>
          <w:lang w:val="sl-SI"/>
        </w:rPr>
        <w:t>je</w:t>
      </w:r>
      <w:r w:rsidRPr="005771BD">
        <w:rPr>
          <w:rFonts w:eastAsiaTheme="minorHAnsi" w:cs="Arial"/>
          <w:color w:val="000000"/>
          <w:szCs w:val="20"/>
          <w:lang w:val="sl-SI"/>
        </w:rPr>
        <w:t xml:space="preserve"> dovoljena gensko spremenjena koruza v krmi p</w:t>
      </w:r>
      <w:r>
        <w:rPr>
          <w:rFonts w:eastAsiaTheme="minorHAnsi" w:cs="Arial"/>
          <w:color w:val="000000"/>
          <w:szCs w:val="20"/>
          <w:lang w:val="sl-SI"/>
        </w:rPr>
        <w:t>risotna</w:t>
      </w:r>
      <w:r w:rsidRPr="005771BD">
        <w:rPr>
          <w:rFonts w:eastAsiaTheme="minorHAnsi" w:cs="Arial"/>
          <w:color w:val="000000"/>
          <w:szCs w:val="20"/>
          <w:lang w:val="sl-SI"/>
        </w:rPr>
        <w:t xml:space="preserve"> le v sledeh. Drugi GSO v krmi niso bili prisotni. Rezultati monitoringa tudi potrjujejo, da proizvajalci uporabo gensko spremenjenih sestavin ustrezno označujejo, kar daje kupcem možnost informirane izbire.  </w:t>
      </w:r>
    </w:p>
    <w:p w:rsidR="003B2707" w:rsidRPr="005771BD" w:rsidRDefault="003B2707" w:rsidP="003B2707">
      <w:pPr>
        <w:autoSpaceDE w:val="0"/>
        <w:autoSpaceDN w:val="0"/>
        <w:adjustRightInd w:val="0"/>
        <w:spacing w:after="200" w:line="276" w:lineRule="auto"/>
        <w:jc w:val="both"/>
        <w:rPr>
          <w:rFonts w:eastAsiaTheme="minorHAnsi" w:cs="Arial"/>
          <w:color w:val="000000"/>
          <w:szCs w:val="20"/>
          <w:lang w:val="sl-SI"/>
        </w:rPr>
      </w:pPr>
      <w:r w:rsidRPr="005771BD">
        <w:rPr>
          <w:rFonts w:eastAsiaTheme="minorHAnsi" w:cs="Arial"/>
          <w:color w:val="000000"/>
          <w:szCs w:val="20"/>
          <w:lang w:val="sl-SI"/>
        </w:rPr>
        <w:t xml:space="preserve">V okviru opravljenih monitoringov </w:t>
      </w:r>
      <w:r>
        <w:rPr>
          <w:rFonts w:eastAsiaTheme="minorHAnsi" w:cs="Arial"/>
          <w:color w:val="000000"/>
          <w:szCs w:val="20"/>
          <w:lang w:val="sl-SI"/>
        </w:rPr>
        <w:t>je</w:t>
      </w:r>
      <w:r w:rsidRPr="005771BD">
        <w:rPr>
          <w:rFonts w:eastAsiaTheme="minorHAnsi" w:cs="Arial"/>
          <w:color w:val="000000"/>
          <w:szCs w:val="20"/>
          <w:lang w:val="sl-SI"/>
        </w:rPr>
        <w:t xml:space="preserve"> bil</w:t>
      </w:r>
      <w:r>
        <w:rPr>
          <w:rFonts w:eastAsiaTheme="minorHAnsi" w:cs="Arial"/>
          <w:color w:val="000000"/>
          <w:szCs w:val="20"/>
          <w:lang w:val="sl-SI"/>
        </w:rPr>
        <w:t>a</w:t>
      </w:r>
      <w:r w:rsidRPr="005771BD">
        <w:rPr>
          <w:rFonts w:eastAsiaTheme="minorHAnsi" w:cs="Arial"/>
          <w:color w:val="000000"/>
          <w:szCs w:val="20"/>
          <w:lang w:val="sl-SI"/>
        </w:rPr>
        <w:t xml:space="preserve"> preverjan</w:t>
      </w:r>
      <w:r>
        <w:rPr>
          <w:rFonts w:eastAsiaTheme="minorHAnsi" w:cs="Arial"/>
          <w:color w:val="000000"/>
          <w:szCs w:val="20"/>
          <w:lang w:val="sl-SI"/>
        </w:rPr>
        <w:t>a</w:t>
      </w:r>
      <w:r w:rsidRPr="005771BD">
        <w:rPr>
          <w:rFonts w:eastAsiaTheme="minorHAnsi" w:cs="Arial"/>
          <w:color w:val="000000"/>
          <w:szCs w:val="20"/>
          <w:lang w:val="sl-SI"/>
        </w:rPr>
        <w:t xml:space="preserve"> tudi morebitn</w:t>
      </w:r>
      <w:r>
        <w:rPr>
          <w:rFonts w:eastAsiaTheme="minorHAnsi" w:cs="Arial"/>
          <w:color w:val="000000"/>
          <w:szCs w:val="20"/>
          <w:lang w:val="sl-SI"/>
        </w:rPr>
        <w:t>a</w:t>
      </w:r>
      <w:r w:rsidRPr="005771BD">
        <w:rPr>
          <w:rFonts w:eastAsiaTheme="minorHAnsi" w:cs="Arial"/>
          <w:color w:val="000000"/>
          <w:szCs w:val="20"/>
          <w:lang w:val="sl-SI"/>
        </w:rPr>
        <w:t xml:space="preserve"> prisotnost nedovoljenih GSO, vendar t</w:t>
      </w:r>
      <w:r>
        <w:rPr>
          <w:rFonts w:eastAsiaTheme="minorHAnsi" w:cs="Arial"/>
          <w:color w:val="000000"/>
          <w:szCs w:val="20"/>
          <w:lang w:val="sl-SI"/>
        </w:rPr>
        <w:t>eh</w:t>
      </w:r>
      <w:r w:rsidRPr="005771BD">
        <w:rPr>
          <w:rFonts w:eastAsiaTheme="minorHAnsi" w:cs="Arial"/>
          <w:color w:val="000000"/>
          <w:szCs w:val="20"/>
          <w:lang w:val="sl-SI"/>
        </w:rPr>
        <w:t xml:space="preserve"> v nobenem od odvzetih vzorcev ni</w:t>
      </w:r>
      <w:r>
        <w:rPr>
          <w:rFonts w:eastAsiaTheme="minorHAnsi" w:cs="Arial"/>
          <w:color w:val="000000"/>
          <w:szCs w:val="20"/>
          <w:lang w:val="sl-SI"/>
        </w:rPr>
        <w:t xml:space="preserve"> bilo</w:t>
      </w:r>
      <w:r w:rsidRPr="005771BD">
        <w:rPr>
          <w:rFonts w:eastAsiaTheme="minorHAnsi" w:cs="Arial"/>
          <w:color w:val="000000"/>
          <w:szCs w:val="20"/>
          <w:lang w:val="sl-SI"/>
        </w:rPr>
        <w:t>.</w:t>
      </w:r>
    </w:p>
    <w:p w:rsidR="003B2707" w:rsidRDefault="003B2707" w:rsidP="003B2707">
      <w:pPr>
        <w:spacing w:after="200" w:line="276" w:lineRule="auto"/>
        <w:jc w:val="both"/>
        <w:rPr>
          <w:rFonts w:eastAsiaTheme="minorHAnsi" w:cs="Arial"/>
          <w:szCs w:val="20"/>
          <w:lang w:val="sl-SI"/>
        </w:rPr>
      </w:pPr>
    </w:p>
    <w:p w:rsidR="003B2707" w:rsidRPr="005771BD" w:rsidRDefault="003B2707" w:rsidP="003B2707">
      <w:pPr>
        <w:spacing w:after="200" w:line="276" w:lineRule="auto"/>
        <w:jc w:val="both"/>
        <w:rPr>
          <w:rFonts w:eastAsiaTheme="minorHAnsi" w:cs="Arial"/>
          <w:szCs w:val="20"/>
          <w:lang w:val="sl-SI"/>
        </w:rPr>
      </w:pPr>
    </w:p>
    <w:p w:rsidR="003B2707" w:rsidRPr="005771BD" w:rsidRDefault="003B2707" w:rsidP="003B2707">
      <w:pPr>
        <w:spacing w:after="200" w:line="276" w:lineRule="auto"/>
        <w:jc w:val="both"/>
        <w:rPr>
          <w:rFonts w:eastAsiaTheme="minorHAnsi" w:cs="Arial"/>
          <w:b/>
          <w:szCs w:val="20"/>
          <w:u w:val="single"/>
          <w:lang w:val="sl-SI"/>
        </w:rPr>
      </w:pPr>
      <w:r w:rsidRPr="005771BD">
        <w:rPr>
          <w:rFonts w:eastAsiaTheme="minorHAnsi" w:cs="Arial"/>
          <w:b/>
          <w:szCs w:val="20"/>
          <w:u w:val="single"/>
          <w:lang w:val="sl-SI"/>
        </w:rPr>
        <w:t>1</w:t>
      </w:r>
      <w:r w:rsidR="00DE3B10">
        <w:rPr>
          <w:rFonts w:eastAsiaTheme="minorHAnsi" w:cs="Arial"/>
          <w:b/>
          <w:szCs w:val="20"/>
          <w:u w:val="single"/>
          <w:lang w:val="sl-SI"/>
        </w:rPr>
        <w:t>3</w:t>
      </w:r>
      <w:r w:rsidRPr="005771BD">
        <w:rPr>
          <w:rFonts w:eastAsiaTheme="minorHAnsi" w:cs="Arial"/>
          <w:b/>
          <w:szCs w:val="20"/>
          <w:u w:val="single"/>
          <w:lang w:val="sl-SI"/>
        </w:rPr>
        <w:t xml:space="preserve">.4 Vplivi na zdravje prebivalcev in okolje </w:t>
      </w:r>
    </w:p>
    <w:p w:rsidR="003B2707" w:rsidRPr="005771BD" w:rsidRDefault="003B2707" w:rsidP="003B2707">
      <w:pPr>
        <w:spacing w:after="200" w:line="276" w:lineRule="auto"/>
        <w:jc w:val="both"/>
        <w:rPr>
          <w:rFonts w:eastAsiaTheme="minorHAnsi" w:cs="Arial"/>
          <w:szCs w:val="20"/>
          <w:lang w:val="sl-SI"/>
        </w:rPr>
      </w:pPr>
      <w:r w:rsidRPr="005771BD">
        <w:rPr>
          <w:rFonts w:eastAsiaTheme="minorHAnsi" w:cs="Arial"/>
          <w:szCs w:val="20"/>
          <w:lang w:val="sl-SI"/>
        </w:rPr>
        <w:t xml:space="preserve">Na področju sodobne biotehnologije in njenih proizvodov GSO slovenska in </w:t>
      </w:r>
      <w:r>
        <w:rPr>
          <w:rFonts w:eastAsiaTheme="minorHAnsi" w:cs="Arial"/>
          <w:szCs w:val="20"/>
          <w:lang w:val="sl-SI"/>
        </w:rPr>
        <w:t>evropska</w:t>
      </w:r>
      <w:r w:rsidRPr="005771BD">
        <w:rPr>
          <w:rFonts w:eastAsiaTheme="minorHAnsi" w:cs="Arial"/>
          <w:szCs w:val="20"/>
          <w:lang w:val="sl-SI"/>
        </w:rPr>
        <w:t xml:space="preserve"> zakonodaja zahteva upoštevanje previdnostnega </w:t>
      </w:r>
      <w:r>
        <w:rPr>
          <w:rFonts w:eastAsiaTheme="minorHAnsi" w:cs="Arial"/>
          <w:szCs w:val="20"/>
          <w:lang w:val="sl-SI"/>
        </w:rPr>
        <w:t>pristopa</w:t>
      </w:r>
      <w:r w:rsidRPr="005771BD">
        <w:rPr>
          <w:rFonts w:eastAsiaTheme="minorHAnsi" w:cs="Arial"/>
          <w:szCs w:val="20"/>
          <w:lang w:val="sl-SI"/>
        </w:rPr>
        <w:t xml:space="preserve"> in analizo vseh možnih tveganj </w:t>
      </w:r>
      <w:r>
        <w:rPr>
          <w:rFonts w:eastAsiaTheme="minorHAnsi" w:cs="Arial"/>
          <w:szCs w:val="20"/>
          <w:lang w:val="sl-SI"/>
        </w:rPr>
        <w:t xml:space="preserve">in </w:t>
      </w:r>
      <w:r w:rsidRPr="005771BD">
        <w:rPr>
          <w:rFonts w:eastAsiaTheme="minorHAnsi" w:cs="Arial"/>
          <w:szCs w:val="20"/>
          <w:lang w:val="sl-SI"/>
        </w:rPr>
        <w:t>negativnih vplivov na zdravje ljudi, živali, rastline ali okolje. Previdnostni pristop vključuje presojo tveganj za zdravje ljudi, živali, rastline in okolje ter je osrednji del postopkov dovoljevanja GSO v Sloveniji in EU. Presoja tveganja omogoča tudi hiter odgovor v primeru možnih nevarnosti za zdravje ljudi, živali in rastlin ali varovanje okolja. Upoštevanje previdnostnega pri</w:t>
      </w:r>
      <w:r>
        <w:rPr>
          <w:rFonts w:eastAsiaTheme="minorHAnsi" w:cs="Arial"/>
          <w:szCs w:val="20"/>
          <w:lang w:val="sl-SI"/>
        </w:rPr>
        <w:t>stopa</w:t>
      </w:r>
      <w:r w:rsidRPr="005771BD">
        <w:rPr>
          <w:rFonts w:eastAsiaTheme="minorHAnsi" w:cs="Arial"/>
          <w:szCs w:val="20"/>
          <w:lang w:val="sl-SI"/>
        </w:rPr>
        <w:t xml:space="preserve"> je predvsem pomembno takrat, ko razpoložljivi znanstveni podatki ne omogočajo celotn</w:t>
      </w:r>
      <w:r>
        <w:rPr>
          <w:rFonts w:eastAsiaTheme="minorHAnsi" w:cs="Arial"/>
          <w:szCs w:val="20"/>
          <w:lang w:val="sl-SI"/>
        </w:rPr>
        <w:t>e</w:t>
      </w:r>
      <w:r w:rsidRPr="005771BD">
        <w:rPr>
          <w:rFonts w:eastAsiaTheme="minorHAnsi" w:cs="Arial"/>
          <w:szCs w:val="20"/>
          <w:lang w:val="sl-SI"/>
        </w:rPr>
        <w:t xml:space="preserve"> evalvacij</w:t>
      </w:r>
      <w:r>
        <w:rPr>
          <w:rFonts w:eastAsiaTheme="minorHAnsi" w:cs="Arial"/>
          <w:szCs w:val="20"/>
          <w:lang w:val="sl-SI"/>
        </w:rPr>
        <w:t>e</w:t>
      </w:r>
      <w:r w:rsidRPr="005771BD">
        <w:rPr>
          <w:rFonts w:eastAsiaTheme="minorHAnsi" w:cs="Arial"/>
          <w:szCs w:val="20"/>
          <w:lang w:val="sl-SI"/>
        </w:rPr>
        <w:t xml:space="preserve"> tveganja.</w:t>
      </w:r>
      <w:r>
        <w:rPr>
          <w:rFonts w:eastAsiaTheme="minorHAnsi" w:cs="Arial"/>
          <w:szCs w:val="20"/>
          <w:lang w:val="sl-SI"/>
        </w:rPr>
        <w:t xml:space="preserve"> S tem pristopom</w:t>
      </w:r>
      <w:r w:rsidRPr="005771BD">
        <w:rPr>
          <w:rFonts w:eastAsiaTheme="minorHAnsi" w:cs="Arial"/>
          <w:szCs w:val="20"/>
          <w:lang w:val="sl-SI"/>
        </w:rPr>
        <w:t xml:space="preserve"> je mo</w:t>
      </w:r>
      <w:r>
        <w:rPr>
          <w:rFonts w:eastAsiaTheme="minorHAnsi" w:cs="Arial"/>
          <w:szCs w:val="20"/>
          <w:lang w:val="sl-SI"/>
        </w:rPr>
        <w:t>goče</w:t>
      </w:r>
      <w:r w:rsidRPr="005771BD">
        <w:rPr>
          <w:rFonts w:eastAsiaTheme="minorHAnsi" w:cs="Arial"/>
          <w:szCs w:val="20"/>
          <w:lang w:val="sl-SI"/>
        </w:rPr>
        <w:t xml:space="preserve"> na primer ustaviti </w:t>
      </w:r>
      <w:r>
        <w:rPr>
          <w:rFonts w:eastAsiaTheme="minorHAnsi" w:cs="Arial"/>
          <w:szCs w:val="20"/>
          <w:lang w:val="sl-SI"/>
        </w:rPr>
        <w:t>razširjanje</w:t>
      </w:r>
      <w:r w:rsidRPr="005771BD">
        <w:rPr>
          <w:rFonts w:eastAsiaTheme="minorHAnsi" w:cs="Arial"/>
          <w:szCs w:val="20"/>
          <w:lang w:val="sl-SI"/>
        </w:rPr>
        <w:t xml:space="preserve"> ali naložiti odstranitev izdelka s trga, ki bi bil lahko potencialno nevaren.</w:t>
      </w:r>
    </w:p>
    <w:p w:rsidR="003B2707" w:rsidRPr="005771BD" w:rsidRDefault="003B2707" w:rsidP="003B2707">
      <w:pPr>
        <w:autoSpaceDE w:val="0"/>
        <w:autoSpaceDN w:val="0"/>
        <w:adjustRightInd w:val="0"/>
        <w:spacing w:after="200" w:line="276" w:lineRule="auto"/>
        <w:jc w:val="both"/>
        <w:rPr>
          <w:rFonts w:eastAsiaTheme="minorHAnsi" w:cs="Arial"/>
          <w:szCs w:val="20"/>
          <w:lang w:val="sl-SI"/>
        </w:rPr>
      </w:pPr>
      <w:r w:rsidRPr="005771BD">
        <w:rPr>
          <w:rFonts w:eastAsiaTheme="minorHAnsi" w:cs="Arial"/>
          <w:szCs w:val="20"/>
          <w:lang w:val="sl-SI"/>
        </w:rPr>
        <w:t>Celot</w:t>
      </w:r>
      <w:r>
        <w:rPr>
          <w:rFonts w:eastAsiaTheme="minorHAnsi" w:cs="Arial"/>
          <w:szCs w:val="20"/>
          <w:lang w:val="sl-SI"/>
        </w:rPr>
        <w:t>ni</w:t>
      </w:r>
      <w:r w:rsidRPr="005771BD">
        <w:rPr>
          <w:rFonts w:eastAsiaTheme="minorHAnsi" w:cs="Arial"/>
          <w:szCs w:val="20"/>
          <w:lang w:val="sl-SI"/>
        </w:rPr>
        <w:t xml:space="preserve"> okvir analize tveganj na področju GSO vključuje presojo tveganja, ki je znanstveno podprta. Na tej </w:t>
      </w:r>
      <w:r>
        <w:rPr>
          <w:rFonts w:eastAsiaTheme="minorHAnsi" w:cs="Arial"/>
          <w:szCs w:val="20"/>
          <w:lang w:val="sl-SI"/>
        </w:rPr>
        <w:t>podlagi</w:t>
      </w:r>
      <w:r w:rsidRPr="005771BD">
        <w:rPr>
          <w:rFonts w:eastAsiaTheme="minorHAnsi" w:cs="Arial"/>
          <w:szCs w:val="20"/>
          <w:lang w:val="sl-SI"/>
        </w:rPr>
        <w:t xml:space="preserve"> se določijo </w:t>
      </w:r>
      <w:r>
        <w:rPr>
          <w:rFonts w:eastAsiaTheme="minorHAnsi" w:cs="Arial"/>
          <w:szCs w:val="20"/>
          <w:lang w:val="sl-SI"/>
        </w:rPr>
        <w:t>možni</w:t>
      </w:r>
      <w:r w:rsidRPr="005771BD">
        <w:rPr>
          <w:rFonts w:eastAsiaTheme="minorHAnsi" w:cs="Arial"/>
          <w:szCs w:val="20"/>
          <w:lang w:val="sl-SI"/>
        </w:rPr>
        <w:t xml:space="preserve"> negativni učinki GSO na zdravje ljudi in okolje. V nadaljevanju se na </w:t>
      </w:r>
      <w:r>
        <w:rPr>
          <w:rFonts w:eastAsiaTheme="minorHAnsi" w:cs="Arial"/>
          <w:szCs w:val="20"/>
          <w:lang w:val="sl-SI"/>
        </w:rPr>
        <w:t>podlagi</w:t>
      </w:r>
      <w:r w:rsidRPr="005771BD">
        <w:rPr>
          <w:rFonts w:eastAsiaTheme="minorHAnsi" w:cs="Arial"/>
          <w:szCs w:val="20"/>
          <w:lang w:val="sl-SI"/>
        </w:rPr>
        <w:t xml:space="preserve"> politične odločitve </w:t>
      </w:r>
      <w:r>
        <w:rPr>
          <w:rFonts w:eastAsiaTheme="minorHAnsi" w:cs="Arial"/>
          <w:szCs w:val="20"/>
          <w:lang w:val="sl-SI"/>
        </w:rPr>
        <w:t>določita</w:t>
      </w:r>
      <w:r w:rsidRPr="005771BD">
        <w:rPr>
          <w:rFonts w:eastAsiaTheme="minorHAnsi" w:cs="Arial"/>
          <w:szCs w:val="20"/>
          <w:lang w:val="sl-SI"/>
        </w:rPr>
        <w:t xml:space="preserve"> sprejemljivost ugotovljenih </w:t>
      </w:r>
      <w:r>
        <w:rPr>
          <w:rFonts w:eastAsiaTheme="minorHAnsi" w:cs="Arial"/>
          <w:szCs w:val="20"/>
          <w:lang w:val="sl-SI"/>
        </w:rPr>
        <w:t>možnih</w:t>
      </w:r>
      <w:r w:rsidRPr="005771BD">
        <w:rPr>
          <w:rFonts w:eastAsiaTheme="minorHAnsi" w:cs="Arial"/>
          <w:szCs w:val="20"/>
          <w:lang w:val="sl-SI"/>
        </w:rPr>
        <w:t xml:space="preserve"> tveganj in </w:t>
      </w:r>
      <w:r>
        <w:rPr>
          <w:rFonts w:eastAsiaTheme="minorHAnsi" w:cs="Arial"/>
          <w:szCs w:val="20"/>
          <w:lang w:val="sl-SI"/>
        </w:rPr>
        <w:t xml:space="preserve">njihovo </w:t>
      </w:r>
      <w:r w:rsidRPr="005771BD">
        <w:rPr>
          <w:rFonts w:eastAsiaTheme="minorHAnsi" w:cs="Arial"/>
          <w:szCs w:val="20"/>
          <w:lang w:val="sl-SI"/>
        </w:rPr>
        <w:t xml:space="preserve">upravljanje. Pomemben sestavni del analize je komunikacija tveganj, ki mora biti </w:t>
      </w:r>
      <w:r>
        <w:rPr>
          <w:rFonts w:eastAsiaTheme="minorHAnsi" w:cs="Arial"/>
          <w:szCs w:val="20"/>
          <w:lang w:val="sl-SI"/>
        </w:rPr>
        <w:t>v</w:t>
      </w:r>
      <w:r w:rsidRPr="005771BD">
        <w:rPr>
          <w:rFonts w:eastAsiaTheme="minorHAnsi" w:cs="Arial"/>
          <w:szCs w:val="20"/>
          <w:lang w:val="sl-SI"/>
        </w:rPr>
        <w:t xml:space="preserve"> celot</w:t>
      </w:r>
      <w:r>
        <w:rPr>
          <w:rFonts w:eastAsiaTheme="minorHAnsi" w:cs="Arial"/>
          <w:szCs w:val="20"/>
          <w:lang w:val="sl-SI"/>
        </w:rPr>
        <w:t>nem</w:t>
      </w:r>
      <w:r w:rsidRPr="005771BD">
        <w:rPr>
          <w:rFonts w:eastAsiaTheme="minorHAnsi" w:cs="Arial"/>
          <w:szCs w:val="20"/>
          <w:lang w:val="sl-SI"/>
        </w:rPr>
        <w:t xml:space="preserve"> postop</w:t>
      </w:r>
      <w:r>
        <w:rPr>
          <w:rFonts w:eastAsiaTheme="minorHAnsi" w:cs="Arial"/>
          <w:szCs w:val="20"/>
          <w:lang w:val="sl-SI"/>
        </w:rPr>
        <w:t>ku</w:t>
      </w:r>
      <w:r w:rsidRPr="005771BD">
        <w:rPr>
          <w:rFonts w:eastAsiaTheme="minorHAnsi" w:cs="Arial"/>
          <w:szCs w:val="20"/>
          <w:lang w:val="sl-SI"/>
        </w:rPr>
        <w:t xml:space="preserve"> odločanja </w:t>
      </w:r>
      <w:r>
        <w:rPr>
          <w:rFonts w:eastAsiaTheme="minorHAnsi" w:cs="Arial"/>
          <w:szCs w:val="20"/>
          <w:lang w:val="sl-SI"/>
        </w:rPr>
        <w:t>pregledna</w:t>
      </w:r>
      <w:r w:rsidRPr="005771BD">
        <w:rPr>
          <w:rFonts w:eastAsiaTheme="minorHAnsi" w:cs="Arial"/>
          <w:szCs w:val="20"/>
          <w:lang w:val="sl-SI"/>
        </w:rPr>
        <w:t xml:space="preserve"> in mora vključevati vse deležnike.</w:t>
      </w:r>
    </w:p>
    <w:p w:rsidR="003B2707" w:rsidRPr="005771BD" w:rsidRDefault="003B2707" w:rsidP="003B2707">
      <w:pPr>
        <w:autoSpaceDE w:val="0"/>
        <w:autoSpaceDN w:val="0"/>
        <w:adjustRightInd w:val="0"/>
        <w:spacing w:line="276" w:lineRule="auto"/>
        <w:jc w:val="both"/>
        <w:rPr>
          <w:rFonts w:eastAsiaTheme="minorHAnsi" w:cs="Arial"/>
          <w:szCs w:val="20"/>
          <w:lang w:val="sl-SI"/>
        </w:rPr>
      </w:pPr>
      <w:r w:rsidRPr="005771BD">
        <w:rPr>
          <w:rFonts w:eastAsiaTheme="minorHAnsi" w:cs="Arial"/>
          <w:szCs w:val="20"/>
          <w:lang w:val="sl-SI"/>
        </w:rPr>
        <w:t>V okviru znanstveno podprte ocene tveganja se presoja</w:t>
      </w:r>
      <w:r>
        <w:rPr>
          <w:rFonts w:eastAsiaTheme="minorHAnsi" w:cs="Arial"/>
          <w:szCs w:val="20"/>
          <w:lang w:val="sl-SI"/>
        </w:rPr>
        <w:t>jo možni</w:t>
      </w:r>
      <w:r w:rsidRPr="005771BD">
        <w:rPr>
          <w:rFonts w:eastAsiaTheme="minorHAnsi" w:cs="Arial"/>
          <w:szCs w:val="20"/>
          <w:lang w:val="sl-SI"/>
        </w:rPr>
        <w:t xml:space="preserve"> vpliv</w:t>
      </w:r>
      <w:r>
        <w:rPr>
          <w:rFonts w:eastAsiaTheme="minorHAnsi" w:cs="Arial"/>
          <w:szCs w:val="20"/>
          <w:lang w:val="sl-SI"/>
        </w:rPr>
        <w:t>i</w:t>
      </w:r>
      <w:r w:rsidRPr="005771BD">
        <w:rPr>
          <w:rFonts w:eastAsiaTheme="minorHAnsi" w:cs="Arial"/>
          <w:szCs w:val="20"/>
          <w:lang w:val="sl-SI"/>
        </w:rPr>
        <w:t xml:space="preserve"> GSO na zdravje človeka in okolje. Zahtevana je presoja predvsem naslednjih </w:t>
      </w:r>
      <w:r>
        <w:rPr>
          <w:rFonts w:eastAsiaTheme="minorHAnsi" w:cs="Arial"/>
          <w:szCs w:val="20"/>
          <w:lang w:val="sl-SI"/>
        </w:rPr>
        <w:t>možnih</w:t>
      </w:r>
      <w:r w:rsidRPr="005771BD">
        <w:rPr>
          <w:rFonts w:eastAsiaTheme="minorHAnsi" w:cs="Arial"/>
          <w:szCs w:val="20"/>
          <w:lang w:val="sl-SI"/>
        </w:rPr>
        <w:t xml:space="preserve"> vplivov GSO:</w:t>
      </w:r>
    </w:p>
    <w:p w:rsidR="003B2707" w:rsidRPr="005771BD" w:rsidRDefault="003B2707" w:rsidP="003B2707">
      <w:pPr>
        <w:numPr>
          <w:ilvl w:val="0"/>
          <w:numId w:val="2"/>
        </w:numPr>
        <w:autoSpaceDE w:val="0"/>
        <w:autoSpaceDN w:val="0"/>
        <w:adjustRightInd w:val="0"/>
        <w:spacing w:after="200" w:line="276" w:lineRule="auto"/>
        <w:contextualSpacing/>
        <w:jc w:val="both"/>
        <w:rPr>
          <w:rFonts w:eastAsiaTheme="minorHAnsi" w:cs="Arial"/>
          <w:szCs w:val="20"/>
          <w:lang w:val="sl-SI"/>
        </w:rPr>
      </w:pPr>
      <w:r w:rsidRPr="005771BD">
        <w:rPr>
          <w:rFonts w:eastAsiaTheme="minorHAnsi" w:cs="Arial"/>
          <w:szCs w:val="20"/>
          <w:lang w:val="sl-SI"/>
        </w:rPr>
        <w:t>možnost preživetja in invazivnost;</w:t>
      </w:r>
    </w:p>
    <w:p w:rsidR="003B2707" w:rsidRPr="005771BD" w:rsidRDefault="003B2707" w:rsidP="003B2707">
      <w:pPr>
        <w:numPr>
          <w:ilvl w:val="0"/>
          <w:numId w:val="2"/>
        </w:numPr>
        <w:autoSpaceDE w:val="0"/>
        <w:autoSpaceDN w:val="0"/>
        <w:adjustRightInd w:val="0"/>
        <w:spacing w:after="200" w:line="276" w:lineRule="auto"/>
        <w:contextualSpacing/>
        <w:jc w:val="both"/>
        <w:rPr>
          <w:rFonts w:eastAsiaTheme="minorHAnsi" w:cs="Arial"/>
          <w:szCs w:val="20"/>
          <w:lang w:val="sl-SI"/>
        </w:rPr>
      </w:pPr>
      <w:r w:rsidRPr="005771BD">
        <w:rPr>
          <w:rFonts w:eastAsiaTheme="minorHAnsi" w:cs="Arial"/>
          <w:szCs w:val="20"/>
          <w:lang w:val="sl-SI"/>
        </w:rPr>
        <w:t>razširjanje v okolju;</w:t>
      </w:r>
    </w:p>
    <w:p w:rsidR="003B2707" w:rsidRPr="005771BD" w:rsidRDefault="003B2707" w:rsidP="003B2707">
      <w:pPr>
        <w:numPr>
          <w:ilvl w:val="0"/>
          <w:numId w:val="2"/>
        </w:numPr>
        <w:autoSpaceDE w:val="0"/>
        <w:autoSpaceDN w:val="0"/>
        <w:adjustRightInd w:val="0"/>
        <w:spacing w:after="200" w:line="276" w:lineRule="auto"/>
        <w:contextualSpacing/>
        <w:jc w:val="both"/>
        <w:rPr>
          <w:rFonts w:eastAsiaTheme="minorHAnsi" w:cs="Arial"/>
          <w:szCs w:val="20"/>
          <w:lang w:val="sl-SI"/>
        </w:rPr>
      </w:pPr>
      <w:r w:rsidRPr="005771BD">
        <w:rPr>
          <w:rFonts w:eastAsiaTheme="minorHAnsi" w:cs="Arial"/>
          <w:szCs w:val="20"/>
          <w:lang w:val="sl-SI"/>
        </w:rPr>
        <w:t xml:space="preserve">prenos vključenega genskega materiala na </w:t>
      </w:r>
      <w:r>
        <w:rPr>
          <w:rFonts w:eastAsiaTheme="minorHAnsi" w:cs="Arial"/>
          <w:szCs w:val="20"/>
          <w:lang w:val="sl-SI"/>
        </w:rPr>
        <w:t>druge</w:t>
      </w:r>
      <w:r w:rsidRPr="005771BD">
        <w:rPr>
          <w:rFonts w:eastAsiaTheme="minorHAnsi" w:cs="Arial"/>
          <w:szCs w:val="20"/>
          <w:lang w:val="sl-SI"/>
        </w:rPr>
        <w:t xml:space="preserve"> organizme;</w:t>
      </w:r>
    </w:p>
    <w:p w:rsidR="003B2707" w:rsidRPr="005771BD" w:rsidRDefault="003B2707" w:rsidP="003B2707">
      <w:pPr>
        <w:numPr>
          <w:ilvl w:val="0"/>
          <w:numId w:val="2"/>
        </w:numPr>
        <w:autoSpaceDE w:val="0"/>
        <w:autoSpaceDN w:val="0"/>
        <w:adjustRightInd w:val="0"/>
        <w:spacing w:after="200" w:line="276" w:lineRule="auto"/>
        <w:contextualSpacing/>
        <w:jc w:val="both"/>
        <w:rPr>
          <w:rFonts w:eastAsiaTheme="minorHAnsi" w:cs="Arial"/>
          <w:szCs w:val="20"/>
          <w:lang w:val="sl-SI"/>
        </w:rPr>
      </w:pPr>
      <w:r w:rsidRPr="005771BD">
        <w:rPr>
          <w:rFonts w:eastAsiaTheme="minorHAnsi" w:cs="Arial"/>
          <w:szCs w:val="20"/>
          <w:lang w:val="sl-SI"/>
        </w:rPr>
        <w:t>fenotipska in genetska nestabilnost;</w:t>
      </w:r>
    </w:p>
    <w:p w:rsidR="003B2707" w:rsidRPr="005771BD" w:rsidRDefault="003B2707" w:rsidP="003B2707">
      <w:pPr>
        <w:numPr>
          <w:ilvl w:val="0"/>
          <w:numId w:val="2"/>
        </w:numPr>
        <w:autoSpaceDE w:val="0"/>
        <w:autoSpaceDN w:val="0"/>
        <w:adjustRightInd w:val="0"/>
        <w:spacing w:after="200" w:line="276" w:lineRule="auto"/>
        <w:contextualSpacing/>
        <w:jc w:val="both"/>
        <w:rPr>
          <w:rFonts w:eastAsiaTheme="minorHAnsi" w:cs="Arial"/>
          <w:szCs w:val="20"/>
          <w:lang w:val="sl-SI"/>
        </w:rPr>
      </w:pPr>
      <w:r w:rsidRPr="005771BD">
        <w:rPr>
          <w:rFonts w:eastAsiaTheme="minorHAnsi" w:cs="Arial"/>
          <w:szCs w:val="20"/>
          <w:lang w:val="sl-SI"/>
        </w:rPr>
        <w:t xml:space="preserve">interakcije z </w:t>
      </w:r>
      <w:r>
        <w:rPr>
          <w:rFonts w:eastAsiaTheme="minorHAnsi" w:cs="Arial"/>
          <w:szCs w:val="20"/>
          <w:lang w:val="sl-SI"/>
        </w:rPr>
        <w:t>drugimi</w:t>
      </w:r>
      <w:r w:rsidRPr="005771BD">
        <w:rPr>
          <w:rFonts w:eastAsiaTheme="minorHAnsi" w:cs="Arial"/>
          <w:szCs w:val="20"/>
          <w:lang w:val="sl-SI"/>
        </w:rPr>
        <w:t xml:space="preserve"> organizmi (tarčnimi ali netarčnimi organizmi);</w:t>
      </w:r>
    </w:p>
    <w:p w:rsidR="003B2707" w:rsidRPr="005771BD" w:rsidRDefault="003B2707" w:rsidP="003B2707">
      <w:pPr>
        <w:numPr>
          <w:ilvl w:val="0"/>
          <w:numId w:val="2"/>
        </w:numPr>
        <w:autoSpaceDE w:val="0"/>
        <w:autoSpaceDN w:val="0"/>
        <w:adjustRightInd w:val="0"/>
        <w:spacing w:after="200" w:line="276" w:lineRule="auto"/>
        <w:contextualSpacing/>
        <w:jc w:val="both"/>
        <w:rPr>
          <w:rFonts w:eastAsiaTheme="minorHAnsi" w:cs="Arial"/>
          <w:szCs w:val="20"/>
          <w:lang w:val="sl-SI"/>
        </w:rPr>
      </w:pPr>
      <w:r w:rsidRPr="005771BD">
        <w:rPr>
          <w:rFonts w:eastAsiaTheme="minorHAnsi" w:cs="Arial"/>
          <w:szCs w:val="20"/>
          <w:lang w:val="sl-SI"/>
        </w:rPr>
        <w:t>možna obolenja ljudi, živali in rastlin, vključno z alergenimi in toksičnimi učinki;</w:t>
      </w:r>
    </w:p>
    <w:p w:rsidR="003B2707" w:rsidRPr="005771BD" w:rsidRDefault="003B2707" w:rsidP="003B2707">
      <w:pPr>
        <w:numPr>
          <w:ilvl w:val="0"/>
          <w:numId w:val="2"/>
        </w:numPr>
        <w:autoSpaceDE w:val="0"/>
        <w:autoSpaceDN w:val="0"/>
        <w:adjustRightInd w:val="0"/>
        <w:spacing w:after="200" w:line="276" w:lineRule="auto"/>
        <w:contextualSpacing/>
        <w:jc w:val="both"/>
        <w:rPr>
          <w:rFonts w:eastAsiaTheme="minorHAnsi" w:cs="Arial"/>
          <w:szCs w:val="20"/>
          <w:lang w:val="sl-SI"/>
        </w:rPr>
      </w:pPr>
      <w:r w:rsidRPr="005771BD">
        <w:rPr>
          <w:rFonts w:eastAsiaTheme="minorHAnsi" w:cs="Arial"/>
          <w:szCs w:val="20"/>
          <w:lang w:val="sl-SI"/>
        </w:rPr>
        <w:t>učinki na populacijsko dinamiko prisotnih vrst v prejemnem okolju in učinki na gensko raznovrstnost za posamezno populacijo;</w:t>
      </w:r>
    </w:p>
    <w:p w:rsidR="003B2707" w:rsidRPr="005771BD" w:rsidRDefault="003B2707" w:rsidP="003B2707">
      <w:pPr>
        <w:numPr>
          <w:ilvl w:val="0"/>
          <w:numId w:val="2"/>
        </w:numPr>
        <w:autoSpaceDE w:val="0"/>
        <w:autoSpaceDN w:val="0"/>
        <w:adjustRightInd w:val="0"/>
        <w:spacing w:after="200" w:line="276" w:lineRule="auto"/>
        <w:contextualSpacing/>
        <w:jc w:val="both"/>
        <w:rPr>
          <w:rFonts w:eastAsiaTheme="minorHAnsi" w:cs="Arial"/>
          <w:szCs w:val="20"/>
          <w:lang w:val="sl-SI"/>
        </w:rPr>
      </w:pPr>
      <w:r w:rsidRPr="005771BD">
        <w:rPr>
          <w:rFonts w:eastAsiaTheme="minorHAnsi" w:cs="Arial"/>
          <w:szCs w:val="20"/>
          <w:lang w:val="sl-SI"/>
        </w:rPr>
        <w:t>spremenjena dovzetnost za patogene, kar bi lahko pospeševalo razširjanje infekcijskih bolezni ali ustvarjanje novih virov ali vektorjev;</w:t>
      </w:r>
    </w:p>
    <w:p w:rsidR="003B2707" w:rsidRPr="005771BD" w:rsidRDefault="003B2707" w:rsidP="003B2707">
      <w:pPr>
        <w:numPr>
          <w:ilvl w:val="0"/>
          <w:numId w:val="2"/>
        </w:numPr>
        <w:autoSpaceDE w:val="0"/>
        <w:autoSpaceDN w:val="0"/>
        <w:adjustRightInd w:val="0"/>
        <w:spacing w:after="200" w:line="276" w:lineRule="auto"/>
        <w:contextualSpacing/>
        <w:jc w:val="both"/>
        <w:rPr>
          <w:rFonts w:eastAsiaTheme="minorHAnsi" w:cs="Arial"/>
          <w:szCs w:val="20"/>
          <w:lang w:val="sl-SI"/>
        </w:rPr>
      </w:pPr>
      <w:r w:rsidRPr="005771BD">
        <w:rPr>
          <w:rFonts w:eastAsiaTheme="minorHAnsi" w:cs="Arial"/>
          <w:szCs w:val="20"/>
          <w:lang w:val="sl-SI"/>
        </w:rPr>
        <w:t>kompromitirana preventiva ali medicinski, veterinarski ali rastlinski postopki zdravljenja;</w:t>
      </w:r>
    </w:p>
    <w:p w:rsidR="003B2707" w:rsidRPr="005771BD" w:rsidRDefault="003B2707" w:rsidP="003B2707">
      <w:pPr>
        <w:numPr>
          <w:ilvl w:val="0"/>
          <w:numId w:val="2"/>
        </w:numPr>
        <w:autoSpaceDE w:val="0"/>
        <w:autoSpaceDN w:val="0"/>
        <w:adjustRightInd w:val="0"/>
        <w:spacing w:after="200" w:line="276" w:lineRule="auto"/>
        <w:contextualSpacing/>
        <w:jc w:val="both"/>
        <w:rPr>
          <w:rFonts w:eastAsiaTheme="minorHAnsi" w:cs="Arial"/>
          <w:szCs w:val="20"/>
          <w:lang w:val="sl-SI"/>
        </w:rPr>
      </w:pPr>
      <w:r w:rsidRPr="005771BD">
        <w:rPr>
          <w:rFonts w:eastAsiaTheme="minorHAnsi" w:cs="Arial"/>
          <w:szCs w:val="20"/>
          <w:lang w:val="sl-SI"/>
        </w:rPr>
        <w:t>učinki na biogeokemijsko kroženje snovi, predvsem vplivi na kroženje ogljika in dušika zaradi sprememb v organski sestavi zemlje;</w:t>
      </w:r>
    </w:p>
    <w:p w:rsidR="003B2707" w:rsidRPr="005771BD" w:rsidRDefault="003B2707" w:rsidP="003B2707">
      <w:pPr>
        <w:numPr>
          <w:ilvl w:val="0"/>
          <w:numId w:val="2"/>
        </w:numPr>
        <w:autoSpaceDE w:val="0"/>
        <w:autoSpaceDN w:val="0"/>
        <w:adjustRightInd w:val="0"/>
        <w:spacing w:after="200" w:line="276" w:lineRule="auto"/>
        <w:contextualSpacing/>
        <w:jc w:val="both"/>
        <w:rPr>
          <w:rFonts w:eastAsiaTheme="minorHAnsi" w:cs="Arial"/>
          <w:szCs w:val="20"/>
          <w:lang w:val="sl-SI"/>
        </w:rPr>
      </w:pPr>
      <w:r w:rsidRPr="005771BD">
        <w:rPr>
          <w:rFonts w:eastAsiaTheme="minorHAnsi" w:cs="Arial"/>
          <w:szCs w:val="20"/>
          <w:lang w:val="sl-SI"/>
        </w:rPr>
        <w:t>spremembe v upravljanju, vključno k</w:t>
      </w:r>
      <w:r>
        <w:rPr>
          <w:rFonts w:eastAsiaTheme="minorHAnsi" w:cs="Arial"/>
          <w:szCs w:val="20"/>
          <w:lang w:val="sl-SI"/>
        </w:rPr>
        <w:t>adar</w:t>
      </w:r>
      <w:r w:rsidRPr="005771BD">
        <w:rPr>
          <w:rFonts w:eastAsiaTheme="minorHAnsi" w:cs="Arial"/>
          <w:szCs w:val="20"/>
          <w:lang w:val="sl-SI"/>
        </w:rPr>
        <w:t xml:space="preserve"> je to pomembno v kmetijski praksi.</w:t>
      </w:r>
    </w:p>
    <w:p w:rsidR="003B2707" w:rsidRPr="005771BD" w:rsidRDefault="00DE3B10" w:rsidP="003B2707">
      <w:pPr>
        <w:autoSpaceDE w:val="0"/>
        <w:autoSpaceDN w:val="0"/>
        <w:adjustRightInd w:val="0"/>
        <w:spacing w:after="200" w:line="276" w:lineRule="auto"/>
        <w:contextualSpacing/>
        <w:jc w:val="both"/>
        <w:rPr>
          <w:rFonts w:eastAsiaTheme="minorHAnsi" w:cs="Arial"/>
          <w:szCs w:val="20"/>
          <w:lang w:val="sl-SI"/>
        </w:rPr>
      </w:pPr>
      <w:r w:rsidRPr="007F272F">
        <w:rPr>
          <w:rFonts w:eastAsiaTheme="minorHAnsi" w:cs="Arial"/>
          <w:noProof/>
          <w:szCs w:val="20"/>
          <w:lang w:val="sl-SI" w:eastAsia="sl-SI"/>
        </w:rPr>
        <mc:AlternateContent>
          <mc:Choice Requires="wpg">
            <w:drawing>
              <wp:anchor distT="0" distB="0" distL="114300" distR="114300" simplePos="0" relativeHeight="251719680" behindDoc="0" locked="0" layoutInCell="1" allowOverlap="1" wp14:anchorId="7F50D92E" wp14:editId="5BA8C287">
                <wp:simplePos x="0" y="0"/>
                <wp:positionH relativeFrom="column">
                  <wp:posOffset>1321871</wp:posOffset>
                </wp:positionH>
                <wp:positionV relativeFrom="paragraph">
                  <wp:posOffset>73821</wp:posOffset>
                </wp:positionV>
                <wp:extent cx="2483893" cy="2388443"/>
                <wp:effectExtent l="95250" t="95250" r="107315" b="107315"/>
                <wp:wrapNone/>
                <wp:docPr id="118" name="Skupina 118"/>
                <wp:cNvGraphicFramePr/>
                <a:graphic xmlns:a="http://schemas.openxmlformats.org/drawingml/2006/main">
                  <a:graphicData uri="http://schemas.microsoft.com/office/word/2010/wordprocessingGroup">
                    <wpg:wgp>
                      <wpg:cNvGrpSpPr/>
                      <wpg:grpSpPr>
                        <a:xfrm>
                          <a:off x="0" y="0"/>
                          <a:ext cx="2483893" cy="2388443"/>
                          <a:chOff x="0" y="0"/>
                          <a:chExt cx="3098801" cy="2403767"/>
                        </a:xfrm>
                      </wpg:grpSpPr>
                      <wpg:grpSp>
                        <wpg:cNvPr id="119" name="Skupina 119"/>
                        <wpg:cNvGrpSpPr/>
                        <wpg:grpSpPr>
                          <a:xfrm>
                            <a:off x="0" y="0"/>
                            <a:ext cx="3098801" cy="2403767"/>
                            <a:chOff x="0" y="0"/>
                            <a:chExt cx="3098801" cy="2403767"/>
                          </a:xfrm>
                          <a:effectLst>
                            <a:outerShdw blurRad="63500" sx="102000" sy="102000" algn="ctr" rotWithShape="0">
                              <a:prstClr val="black">
                                <a:alpha val="40000"/>
                              </a:prstClr>
                            </a:outerShdw>
                          </a:effectLst>
                        </wpg:grpSpPr>
                        <wps:wsp>
                          <wps:cNvPr id="120" name="Elipsa 120"/>
                          <wps:cNvSpPr/>
                          <wps:spPr>
                            <a:xfrm>
                              <a:off x="0" y="0"/>
                              <a:ext cx="3098801" cy="2403767"/>
                            </a:xfrm>
                            <a:prstGeom prst="ellipse">
                              <a:avLst/>
                            </a:prstGeom>
                            <a:solidFill>
                              <a:srgbClr val="4F81BD">
                                <a:lumMod val="20000"/>
                                <a:lumOff val="80000"/>
                              </a:srgbClr>
                            </a:solidFill>
                            <a:ln w="25400" cap="flat" cmpd="sng" algn="ctr">
                              <a:solidFill>
                                <a:srgbClr val="1F497D"/>
                              </a:solidFill>
                              <a:prstDash val="solid"/>
                            </a:ln>
                            <a:effectLst/>
                          </wps:spPr>
                          <wps:txbx>
                            <w:txbxContent>
                              <w:p w:rsidR="001323F1" w:rsidRPr="00F07F52" w:rsidRDefault="001323F1" w:rsidP="003B2707">
                                <w:pPr>
                                  <w:spacing w:line="240" w:lineRule="auto"/>
                                  <w:jc w:val="center"/>
                                  <w:rPr>
                                    <w:rFonts w:cs="Arial"/>
                                    <w:b/>
                                    <w:color w:val="0070C0"/>
                                    <w:sz w:val="12"/>
                                    <w:szCs w:val="1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Elipsa 121"/>
                          <wps:cNvSpPr/>
                          <wps:spPr>
                            <a:xfrm>
                              <a:off x="97186" y="357062"/>
                              <a:ext cx="1377951" cy="1065112"/>
                            </a:xfrm>
                            <a:prstGeom prst="ellipse">
                              <a:avLst/>
                            </a:prstGeom>
                            <a:solidFill>
                              <a:sysClr val="window" lastClr="FFFFFF"/>
                            </a:solidFill>
                            <a:ln w="25400" cap="flat" cmpd="sng" algn="ctr">
                              <a:solidFill>
                                <a:srgbClr val="1F497D"/>
                              </a:solidFill>
                              <a:prstDash val="solid"/>
                            </a:ln>
                            <a:effectLst/>
                          </wps:spPr>
                          <wps:txbx>
                            <w:txbxContent>
                              <w:p w:rsidR="001323F1" w:rsidRDefault="001323F1" w:rsidP="003B2707">
                                <w:pPr>
                                  <w:spacing w:line="240" w:lineRule="auto"/>
                                  <w:jc w:val="center"/>
                                  <w:rPr>
                                    <w:rFonts w:cs="Arial"/>
                                    <w:b/>
                                    <w:color w:val="0070C0"/>
                                    <w:sz w:val="16"/>
                                    <w:szCs w:val="16"/>
                                  </w:rPr>
                                </w:pPr>
                                <w:r w:rsidRPr="00F07F52">
                                  <w:rPr>
                                    <w:rFonts w:cs="Arial"/>
                                    <w:b/>
                                    <w:color w:val="0070C0"/>
                                    <w:sz w:val="16"/>
                                    <w:szCs w:val="16"/>
                                  </w:rPr>
                                  <w:t>OCENA TVEGANJA</w:t>
                                </w:r>
                              </w:p>
                              <w:p w:rsidR="001323F1" w:rsidRPr="00F07F52" w:rsidRDefault="001323F1" w:rsidP="003B2707">
                                <w:pPr>
                                  <w:spacing w:line="240" w:lineRule="auto"/>
                                  <w:jc w:val="center"/>
                                  <w:rPr>
                                    <w:rFonts w:cs="Arial"/>
                                    <w:b/>
                                    <w:color w:val="0070C0"/>
                                    <w:sz w:val="12"/>
                                    <w:szCs w:val="12"/>
                                  </w:rPr>
                                </w:pPr>
                                <w:r w:rsidRPr="00F07F52">
                                  <w:rPr>
                                    <w:rFonts w:cs="Arial"/>
                                    <w:b/>
                                    <w:color w:val="0070C0"/>
                                    <w:sz w:val="12"/>
                                    <w:szCs w:val="12"/>
                                  </w:rPr>
                                  <w:t xml:space="preserve">znanstveno </w:t>
                                </w:r>
                                <w:r>
                                  <w:rPr>
                                    <w:rFonts w:cs="Arial"/>
                                    <w:b/>
                                    <w:color w:val="0070C0"/>
                                    <w:sz w:val="12"/>
                                    <w:szCs w:val="12"/>
                                  </w:rPr>
                                  <w:t>podprto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Elipsa 122"/>
                          <wps:cNvSpPr/>
                          <wps:spPr>
                            <a:xfrm>
                              <a:off x="1028532" y="1269799"/>
                              <a:ext cx="1416050" cy="1051471"/>
                            </a:xfrm>
                            <a:prstGeom prst="ellipse">
                              <a:avLst/>
                            </a:prstGeom>
                            <a:solidFill>
                              <a:sysClr val="window" lastClr="FFFFFF"/>
                            </a:solidFill>
                            <a:ln w="25400" cap="flat" cmpd="sng" algn="ctr">
                              <a:solidFill>
                                <a:srgbClr val="1F497D"/>
                              </a:solidFill>
                              <a:prstDash val="solid"/>
                            </a:ln>
                            <a:effectLst/>
                          </wps:spPr>
                          <wps:txbx>
                            <w:txbxContent>
                              <w:p w:rsidR="001323F1" w:rsidRDefault="001323F1" w:rsidP="003B2707">
                                <w:pPr>
                                  <w:spacing w:line="240" w:lineRule="auto"/>
                                  <w:jc w:val="center"/>
                                  <w:rPr>
                                    <w:rFonts w:cs="Arial"/>
                                    <w:b/>
                                    <w:color w:val="0070C0"/>
                                    <w:sz w:val="16"/>
                                    <w:szCs w:val="16"/>
                                  </w:rPr>
                                </w:pPr>
                                <w:r>
                                  <w:rPr>
                                    <w:rFonts w:cs="Arial"/>
                                    <w:b/>
                                    <w:color w:val="0070C0"/>
                                    <w:sz w:val="16"/>
                                    <w:szCs w:val="16"/>
                                  </w:rPr>
                                  <w:t>KOMUNIKACIJA</w:t>
                                </w:r>
                                <w:r w:rsidRPr="00F07F52">
                                  <w:rPr>
                                    <w:rFonts w:cs="Arial"/>
                                    <w:b/>
                                    <w:color w:val="0070C0"/>
                                    <w:sz w:val="16"/>
                                    <w:szCs w:val="16"/>
                                  </w:rPr>
                                  <w:t xml:space="preserve"> TVEGANJA</w:t>
                                </w:r>
                              </w:p>
                              <w:p w:rsidR="001323F1" w:rsidRPr="00F07F52" w:rsidRDefault="001323F1" w:rsidP="003B2707">
                                <w:pPr>
                                  <w:spacing w:line="240" w:lineRule="auto"/>
                                  <w:jc w:val="center"/>
                                  <w:rPr>
                                    <w:rFonts w:cs="Arial"/>
                                    <w:b/>
                                    <w:color w:val="0070C0"/>
                                    <w:sz w:val="12"/>
                                    <w:szCs w:val="12"/>
                                  </w:rPr>
                                </w:pPr>
                                <w:r>
                                  <w:rPr>
                                    <w:rFonts w:cs="Arial"/>
                                    <w:b/>
                                    <w:color w:val="0070C0"/>
                                    <w:sz w:val="12"/>
                                    <w:szCs w:val="12"/>
                                  </w:rPr>
                                  <w:t>Interaktivna izmenjava informacij in mnenj o tveganjih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Elipsa 123"/>
                          <wps:cNvSpPr/>
                          <wps:spPr>
                            <a:xfrm>
                              <a:off x="1720567" y="357119"/>
                              <a:ext cx="1377950" cy="1065056"/>
                            </a:xfrm>
                            <a:prstGeom prst="ellipse">
                              <a:avLst/>
                            </a:prstGeom>
                            <a:solidFill>
                              <a:sysClr val="window" lastClr="FFFFFF"/>
                            </a:solidFill>
                            <a:ln w="25400" cap="flat" cmpd="sng" algn="ctr">
                              <a:solidFill>
                                <a:srgbClr val="1F497D"/>
                              </a:solidFill>
                              <a:prstDash val="solid"/>
                            </a:ln>
                            <a:effectLst/>
                          </wps:spPr>
                          <wps:txbx>
                            <w:txbxContent>
                              <w:p w:rsidR="001323F1" w:rsidRDefault="001323F1" w:rsidP="003B2707">
                                <w:pPr>
                                  <w:spacing w:line="240" w:lineRule="auto"/>
                                  <w:jc w:val="center"/>
                                  <w:rPr>
                                    <w:rFonts w:cs="Arial"/>
                                    <w:b/>
                                    <w:color w:val="0070C0"/>
                                    <w:sz w:val="16"/>
                                    <w:szCs w:val="16"/>
                                  </w:rPr>
                                </w:pPr>
                                <w:r>
                                  <w:rPr>
                                    <w:rFonts w:cs="Arial"/>
                                    <w:b/>
                                    <w:color w:val="0070C0"/>
                                    <w:sz w:val="16"/>
                                    <w:szCs w:val="16"/>
                                  </w:rPr>
                                  <w:t>UPRAVLJANJE S TVEGANJEM</w:t>
                                </w:r>
                              </w:p>
                              <w:p w:rsidR="001323F1" w:rsidRPr="00F07F52" w:rsidRDefault="001323F1" w:rsidP="003B2707">
                                <w:pPr>
                                  <w:spacing w:line="240" w:lineRule="auto"/>
                                  <w:jc w:val="center"/>
                                  <w:rPr>
                                    <w:rFonts w:cs="Arial"/>
                                    <w:b/>
                                    <w:color w:val="0070C0"/>
                                    <w:sz w:val="12"/>
                                    <w:szCs w:val="12"/>
                                  </w:rPr>
                                </w:pPr>
                                <w:r>
                                  <w:rPr>
                                    <w:rFonts w:cs="Arial"/>
                                    <w:b/>
                                    <w:color w:val="0070C0"/>
                                    <w:sz w:val="12"/>
                                    <w:szCs w:val="12"/>
                                  </w:rPr>
                                  <w:t>zakonodajno</w:t>
                                </w:r>
                                <w:r w:rsidRPr="00F07F52">
                                  <w:rPr>
                                    <w:rFonts w:cs="Arial"/>
                                    <w:b/>
                                    <w:color w:val="0070C0"/>
                                    <w:sz w:val="12"/>
                                    <w:szCs w:val="12"/>
                                  </w:rPr>
                                  <w:t xml:space="preserve"> </w:t>
                                </w:r>
                                <w:r>
                                  <w:rPr>
                                    <w:rFonts w:cs="Arial"/>
                                    <w:b/>
                                    <w:color w:val="0070C0"/>
                                    <w:sz w:val="12"/>
                                    <w:szCs w:val="12"/>
                                  </w:rPr>
                                  <w:t>podprto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4" name="Navzdol ukrivljena puščica 124"/>
                        <wps:cNvSpPr/>
                        <wps:spPr>
                          <a:xfrm rot="13308358">
                            <a:off x="1174750" y="1244600"/>
                            <a:ext cx="343535" cy="147320"/>
                          </a:xfrm>
                          <a:prstGeom prst="curved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Navzdol ukrivljena puščica 125"/>
                        <wps:cNvSpPr/>
                        <wps:spPr>
                          <a:xfrm rot="2726496">
                            <a:off x="1320800" y="1238250"/>
                            <a:ext cx="343535" cy="147320"/>
                          </a:xfrm>
                          <a:prstGeom prst="curved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 name="Navzdol ukrivljena puščica 126"/>
                        <wps:cNvSpPr/>
                        <wps:spPr>
                          <a:xfrm rot="19055517">
                            <a:off x="1866900" y="1282700"/>
                            <a:ext cx="343535" cy="147320"/>
                          </a:xfrm>
                          <a:prstGeom prst="curved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 name="Navzdol ukrivljena puščica 127"/>
                        <wps:cNvSpPr/>
                        <wps:spPr>
                          <a:xfrm rot="8077142">
                            <a:off x="1981200" y="1270000"/>
                            <a:ext cx="343535" cy="147320"/>
                          </a:xfrm>
                          <a:prstGeom prst="curved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 name="Navzdol ukrivljena puščica 128"/>
                        <wps:cNvSpPr/>
                        <wps:spPr>
                          <a:xfrm rot="10623784">
                            <a:off x="1479550" y="787400"/>
                            <a:ext cx="343535" cy="147320"/>
                          </a:xfrm>
                          <a:prstGeom prst="curved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 name="Navzdol ukrivljena puščica 129"/>
                        <wps:cNvSpPr/>
                        <wps:spPr>
                          <a:xfrm rot="21442046">
                            <a:off x="1593850" y="704850"/>
                            <a:ext cx="343535" cy="147320"/>
                          </a:xfrm>
                          <a:prstGeom prst="curved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 name="Vsota 130"/>
                        <wps:cNvSpPr/>
                        <wps:spPr>
                          <a:xfrm>
                            <a:off x="1619250" y="1085850"/>
                            <a:ext cx="208016" cy="177800"/>
                          </a:xfrm>
                          <a:prstGeom prst="flowChartSummingJunction">
                            <a:avLst/>
                          </a:prstGeom>
                          <a:solidFill>
                            <a:srgbClr val="FF0000"/>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50D92E" id="Skupina 118" o:spid="_x0000_s1047" style="position:absolute;left:0;text-align:left;margin-left:104.1pt;margin-top:5.8pt;width:195.6pt;height:188.05pt;z-index:251719680;mso-position-horizontal-relative:text;mso-position-vertical-relative:text;mso-width-relative:margin;mso-height-relative:margin" coordsize="30988,240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">
                <v:group id="Skupina 119" o:spid="_x0000_s1048" style="position:absolute;width:30988;height:24037" coordsize="30988,240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elHMQAAADcAAAADwAAAGRycy9kb3ducmV2LnhtbERPS2vCQBC+F/wPywi9&#10;NZsoLTVmFZFaegiFqiDehuyYBLOzIbvN4993C4Xe5uN7TrYdTSN66lxtWUESxSCIC6trLhWcT4en&#10;VxDOI2tsLJOCiRxsN7OHDFNtB/6i/uhLEULYpaig8r5NpXRFRQZdZFviwN1sZ9AH2JVSdziEcNPI&#10;RRy/SIM1h4YKW9pXVNyP30bB+4DDbpm89fn9tp+up+fPS56QUo/zcbcG4Wn0/+I/94cO85MV/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yelHMQAAADcAAAA&#10;DwAAAAAAAAAAAAAAAACqAgAAZHJzL2Rvd25yZXYueG1sUEsFBgAAAAAEAAQA+gAAAJsDAAAAAA==&#10;">
                  <v:oval id="Elipsa 120" o:spid="_x0000_s1049" style="position:absolute;width:30988;height:240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nC2cMA&#10;AADcAAAADwAAAGRycy9kb3ducmV2LnhtbESPQWvCQBCF7wX/wzJCb3VXKVJSVxFBkJyqNp6n2TEJ&#10;ZmdDdjXpv3cOhd5meG/e+2a1GX2rHtTHJrCF+cyAIi6Da7iy8H3ev32AignZYRuYLPxShM168rLC&#10;zIWBj/Q4pUpJCMcMLdQpdZnWsazJY5yFjli0a+g9Jln7SrseBwn3rV4Ys9QeG5aGGjva1VTeTndv&#10;YfD0fl4WefFjTDfk+eWr2G0ra1+n4/YTVKIx/Zv/rg9O8BeCL8/IBHr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FnC2cMAAADcAAAADwAAAAAAAAAAAAAAAACYAgAAZHJzL2Rv&#10;d25yZXYueG1sUEsFBgAAAAAEAAQA9QAAAIgDAAAAAA==&#10;" fillcolor="#dce6f2" strokecolor="#1f497d" strokeweight="2pt">
                    <v:textbox>
                      <w:txbxContent>
                        <w:p w:rsidR="001323F1" w:rsidRPr="00F07F52" w:rsidRDefault="001323F1" w:rsidP="003B2707">
                          <w:pPr>
                            <w:spacing w:line="240" w:lineRule="auto"/>
                            <w:jc w:val="center"/>
                            <w:rPr>
                              <w:rFonts w:cs="Arial"/>
                              <w:b/>
                              <w:color w:val="0070C0"/>
                              <w:sz w:val="12"/>
                              <w:szCs w:val="12"/>
                            </w:rPr>
                          </w:pPr>
                        </w:p>
                      </w:txbxContent>
                    </v:textbox>
                  </v:oval>
                  <v:oval id="Elipsa 121" o:spid="_x0000_s1050" style="position:absolute;left:971;top:3570;width:13780;height:106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AYAsIA&#10;AADcAAAADwAAAGRycy9kb3ducmV2LnhtbERPTWvCQBC9C/0PyxR6azYGWpvoKkXU9qbV9j7JjtnQ&#10;7GzIrhr/vVsoeJvH+5zZYrCtOFPvG8cKxkkKgrhyuuFawfdh/fwGwgdkja1jUnAlD4v5w2iGhXYX&#10;/qLzPtQihrAvUIEJoSuk9JUhiz5xHXHkjq63GCLsa6l7vMRw28osTV+lxYZjg8GOloaq3/3JKpCH&#10;3XrIy488y35WZms2E/PiS6WeHof3KYhAQ7iL/92fOs7PxvD3TLxAz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4BgCwgAAANwAAAAPAAAAAAAAAAAAAAAAAJgCAABkcnMvZG93&#10;bnJldi54bWxQSwUGAAAAAAQABAD1AAAAhwMAAAAA&#10;" fillcolor="window" strokecolor="#1f497d" strokeweight="2pt">
                    <v:textbox>
                      <w:txbxContent>
                        <w:p w:rsidR="001323F1" w:rsidRDefault="001323F1" w:rsidP="003B2707">
                          <w:pPr>
                            <w:spacing w:line="240" w:lineRule="auto"/>
                            <w:jc w:val="center"/>
                            <w:rPr>
                              <w:rFonts w:cs="Arial"/>
                              <w:b/>
                              <w:color w:val="0070C0"/>
                              <w:sz w:val="16"/>
                              <w:szCs w:val="16"/>
                            </w:rPr>
                          </w:pPr>
                          <w:r w:rsidRPr="00F07F52">
                            <w:rPr>
                              <w:rFonts w:cs="Arial"/>
                              <w:b/>
                              <w:color w:val="0070C0"/>
                              <w:sz w:val="16"/>
                              <w:szCs w:val="16"/>
                            </w:rPr>
                            <w:t>OCENA TVEGANJA</w:t>
                          </w:r>
                        </w:p>
                        <w:p w:rsidR="001323F1" w:rsidRPr="00F07F52" w:rsidRDefault="001323F1" w:rsidP="003B2707">
                          <w:pPr>
                            <w:spacing w:line="240" w:lineRule="auto"/>
                            <w:jc w:val="center"/>
                            <w:rPr>
                              <w:rFonts w:cs="Arial"/>
                              <w:b/>
                              <w:color w:val="0070C0"/>
                              <w:sz w:val="12"/>
                              <w:szCs w:val="12"/>
                            </w:rPr>
                          </w:pPr>
                          <w:r w:rsidRPr="00F07F52">
                            <w:rPr>
                              <w:rFonts w:cs="Arial"/>
                              <w:b/>
                              <w:color w:val="0070C0"/>
                              <w:sz w:val="12"/>
                              <w:szCs w:val="12"/>
                            </w:rPr>
                            <w:t xml:space="preserve">znanstveno </w:t>
                          </w:r>
                          <w:r>
                            <w:rPr>
                              <w:rFonts w:cs="Arial"/>
                              <w:b/>
                              <w:color w:val="0070C0"/>
                              <w:sz w:val="12"/>
                              <w:szCs w:val="12"/>
                            </w:rPr>
                            <w:t>podprto</w:t>
                          </w:r>
                        </w:p>
                      </w:txbxContent>
                    </v:textbox>
                  </v:oval>
                  <v:oval id="Elipsa 122" o:spid="_x0000_s1051" style="position:absolute;left:10285;top:12697;width:14160;height:105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KGdcEA&#10;AADcAAAADwAAAGRycy9kb3ducmV2LnhtbERPS2sCMRC+F/ofwhS81WwD2roapYivW1ut93EzbhY3&#10;k2UTdf33Rij0Nh/fcyazztXiQm2oPGt462cgiAtvKi41/O6Wrx8gQkQ2WHsmDTcKMJs+P00wN/7K&#10;P3TZxlKkEA45arAxNrmUobDkMPR9Q5y4o28dxgTbUpoWrync1VJl2VA6rDg1WGxobqk4bc9Og9x9&#10;L7vRYT1Sar+wX3b1bgfhoHXvpfscg4jUxX/xn3tj0nyl4PFMukBO7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yhnXBAAAA3AAAAA8AAAAAAAAAAAAAAAAAmAIAAGRycy9kb3du&#10;cmV2LnhtbFBLBQYAAAAABAAEAPUAAACGAwAAAAA=&#10;" fillcolor="window" strokecolor="#1f497d" strokeweight="2pt">
                    <v:textbox>
                      <w:txbxContent>
                        <w:p w:rsidR="001323F1" w:rsidRDefault="001323F1" w:rsidP="003B2707">
                          <w:pPr>
                            <w:spacing w:line="240" w:lineRule="auto"/>
                            <w:jc w:val="center"/>
                            <w:rPr>
                              <w:rFonts w:cs="Arial"/>
                              <w:b/>
                              <w:color w:val="0070C0"/>
                              <w:sz w:val="16"/>
                              <w:szCs w:val="16"/>
                            </w:rPr>
                          </w:pPr>
                          <w:r>
                            <w:rPr>
                              <w:rFonts w:cs="Arial"/>
                              <w:b/>
                              <w:color w:val="0070C0"/>
                              <w:sz w:val="16"/>
                              <w:szCs w:val="16"/>
                            </w:rPr>
                            <w:t>KOMUNIKACIJA</w:t>
                          </w:r>
                          <w:r w:rsidRPr="00F07F52">
                            <w:rPr>
                              <w:rFonts w:cs="Arial"/>
                              <w:b/>
                              <w:color w:val="0070C0"/>
                              <w:sz w:val="16"/>
                              <w:szCs w:val="16"/>
                            </w:rPr>
                            <w:t xml:space="preserve"> TVEGANJA</w:t>
                          </w:r>
                        </w:p>
                        <w:p w:rsidR="001323F1" w:rsidRPr="00F07F52" w:rsidRDefault="001323F1" w:rsidP="003B2707">
                          <w:pPr>
                            <w:spacing w:line="240" w:lineRule="auto"/>
                            <w:jc w:val="center"/>
                            <w:rPr>
                              <w:rFonts w:cs="Arial"/>
                              <w:b/>
                              <w:color w:val="0070C0"/>
                              <w:sz w:val="12"/>
                              <w:szCs w:val="12"/>
                            </w:rPr>
                          </w:pPr>
                          <w:r>
                            <w:rPr>
                              <w:rFonts w:cs="Arial"/>
                              <w:b/>
                              <w:color w:val="0070C0"/>
                              <w:sz w:val="12"/>
                              <w:szCs w:val="12"/>
                            </w:rPr>
                            <w:t>Interaktivna izmenjava informacij in mnenj o tveganjih</w:t>
                          </w:r>
                        </w:p>
                      </w:txbxContent>
                    </v:textbox>
                  </v:oval>
                  <v:oval id="Elipsa 123" o:spid="_x0000_s1052" style="position:absolute;left:17205;top:3571;width:13780;height:106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4j7sIA&#10;AADcAAAADwAAAGRycy9kb3ducmV2LnhtbERPyW7CMBC9I/UfrKnUW3EaVCgpTlRVULhBWe5DPI2j&#10;xuModiH8PUaqxG2e3jqzoreNOFHna8cKXoYJCOLS6ZorBfvd4vkNhA/IGhvHpOBCHor8YTDDTLsz&#10;f9NpGyoRQ9hnqMCE0GZS+tKQRT90LXHkflxnMUTYVVJ3eI7htpFpkoylxZpjg8GWPg2Vv9s/q0Du&#10;Not+elxO0/QwN2vzNTGv/qjU02P/8Q4iUB/u4n/3Ssf56Qhuz8QLZH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fiPuwgAAANwAAAAPAAAAAAAAAAAAAAAAAJgCAABkcnMvZG93&#10;bnJldi54bWxQSwUGAAAAAAQABAD1AAAAhwMAAAAA&#10;" fillcolor="window" strokecolor="#1f497d" strokeweight="2pt">
                    <v:textbox>
                      <w:txbxContent>
                        <w:p w:rsidR="001323F1" w:rsidRDefault="001323F1" w:rsidP="003B2707">
                          <w:pPr>
                            <w:spacing w:line="240" w:lineRule="auto"/>
                            <w:jc w:val="center"/>
                            <w:rPr>
                              <w:rFonts w:cs="Arial"/>
                              <w:b/>
                              <w:color w:val="0070C0"/>
                              <w:sz w:val="16"/>
                              <w:szCs w:val="16"/>
                            </w:rPr>
                          </w:pPr>
                          <w:r>
                            <w:rPr>
                              <w:rFonts w:cs="Arial"/>
                              <w:b/>
                              <w:color w:val="0070C0"/>
                              <w:sz w:val="16"/>
                              <w:szCs w:val="16"/>
                            </w:rPr>
                            <w:t>UPRAVLJANJE S TVEGANJEM</w:t>
                          </w:r>
                        </w:p>
                        <w:p w:rsidR="001323F1" w:rsidRPr="00F07F52" w:rsidRDefault="001323F1" w:rsidP="003B2707">
                          <w:pPr>
                            <w:spacing w:line="240" w:lineRule="auto"/>
                            <w:jc w:val="center"/>
                            <w:rPr>
                              <w:rFonts w:cs="Arial"/>
                              <w:b/>
                              <w:color w:val="0070C0"/>
                              <w:sz w:val="12"/>
                              <w:szCs w:val="12"/>
                            </w:rPr>
                          </w:pPr>
                          <w:r>
                            <w:rPr>
                              <w:rFonts w:cs="Arial"/>
                              <w:b/>
                              <w:color w:val="0070C0"/>
                              <w:sz w:val="12"/>
                              <w:szCs w:val="12"/>
                            </w:rPr>
                            <w:t>zakonodajno</w:t>
                          </w:r>
                          <w:r w:rsidRPr="00F07F52">
                            <w:rPr>
                              <w:rFonts w:cs="Arial"/>
                              <w:b/>
                              <w:color w:val="0070C0"/>
                              <w:sz w:val="12"/>
                              <w:szCs w:val="12"/>
                            </w:rPr>
                            <w:t xml:space="preserve"> </w:t>
                          </w:r>
                          <w:r>
                            <w:rPr>
                              <w:rFonts w:cs="Arial"/>
                              <w:b/>
                              <w:color w:val="0070C0"/>
                              <w:sz w:val="12"/>
                              <w:szCs w:val="12"/>
                            </w:rPr>
                            <w:t>podprto</w:t>
                          </w:r>
                        </w:p>
                      </w:txbxContent>
                    </v:textbox>
                  </v:oval>
                </v:group>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Navzdol ukrivljena puščica 124" o:spid="_x0000_s1053" type="#_x0000_t105" style="position:absolute;left:11747;top:12446;width:3435;height:1473;rotation:-905668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ak6cIA&#10;AADcAAAADwAAAGRycy9kb3ducmV2LnhtbERPTWvCQBC9F/oflin01mwqpUiaVVqp4EUwUdoch+wk&#10;G5qdDdlV47/vCoK3ebzPyZeT7cWJRt85VvCapCCIa6c7bhUc9uuXOQgfkDX2jknBhTwsF48POWba&#10;nbmgUxlaEUPYZ6jAhDBkUvrakEWfuIE4co0bLYYIx1bqEc8x3PZylqbv0mLHscHgQCtD9V95tApW&#10;1vL2VzbratfufoKvTPX9VSj1/DR9foAINIW7+Obe6Dh/9gbXZ+IF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dqTpwgAAANwAAAAPAAAAAAAAAAAAAAAAAJgCAABkcnMvZG93&#10;bnJldi54bWxQSwUGAAAAAAQABAD1AAAAhwMAAAAA&#10;" adj="16969,20442,16200" fillcolor="#4f81bd" strokecolor="#385d8a" strokeweight="2pt"/>
                <v:shape id="Navzdol ukrivljena puščica 125" o:spid="_x0000_s1054" type="#_x0000_t105" style="position:absolute;left:13208;top:12382;width:3435;height:1473;rotation:297806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OTLr4A&#10;AADcAAAADwAAAGRycy9kb3ducmV2LnhtbERPTWvCQBC9F/wPywi91U0CLRJdRQTBa9L2PmTHJJqd&#10;jdnRxH/vCoXe5vE+Z72dXKfuNITWs4F0kYAirrxtuTbw8334WIIKgmyx80wGHhRgu5m9rTG3fuSC&#10;7qXUKoZwyNFAI9LnWoeqIYdh4XviyJ384FAiHGptBxxjuOt0liRf2mHLsaHBnvYNVZfy5gxcL5lM&#10;1W/GJ53i+VzIoRjL1Jj3+bRbgRKa5F/85z7aOD/7hNcz8QK9e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ijky6+AAAA3AAAAA8AAAAAAAAAAAAAAAAAmAIAAGRycy9kb3ducmV2&#10;LnhtbFBLBQYAAAAABAAEAPUAAACDAwAAAAA=&#10;" adj="16969,20442,16200" fillcolor="#4f81bd" strokecolor="#385d8a" strokeweight="2pt"/>
                <v:shape id="Navzdol ukrivljena puščica 126" o:spid="_x0000_s1055" type="#_x0000_t105" style="position:absolute;left:18669;top:12827;width:3435;height:1473;rotation:-277925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OsmcMA&#10;AADcAAAADwAAAGRycy9kb3ducmV2LnhtbERPTWvCQBC9C/0PyxR6001DCSF1lWCp5CBC0156G7Jj&#10;Es3Oprurxn/vFgq9zeN9znI9mUFcyPnesoLnRQKCuLG651bB1+f7PAfhA7LGwTIpuJGH9ephtsRC&#10;2yt/0KUOrYgh7AtU0IUwFlL6piODfmFH4sgdrDMYInSt1A6vMdwMMk2STBrsOTZ0ONKmo+ZUn42C&#10;aZ/66nAqzbh7+R5+8jd/3LpcqafHqXwFEWgK/+I/d6Xj/DSD32fiBX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OsmcMAAADcAAAADwAAAAAAAAAAAAAAAACYAgAAZHJzL2Rv&#10;d25yZXYueG1sUEsFBgAAAAAEAAQA9QAAAIgDAAAAAA==&#10;" adj="16969,20442,16200" fillcolor="#4f81bd" strokecolor="#385d8a" strokeweight="2pt"/>
                <v:shape id="Navzdol ukrivljena puščica 127" o:spid="_x0000_s1056" type="#_x0000_t105" style="position:absolute;left:19812;top:12699;width:3436;height:1473;rotation:882239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oFJMIA&#10;AADcAAAADwAAAGRycy9kb3ducmV2LnhtbERP32vCMBB+F/wfwgm+zdSCunVGEXUoCOJ0sNdbc2uL&#10;zaU0mcb/3ggD3+7j+3nTeTC1uFDrKssKhoMEBHFudcWFgq/Tx8srCOeRNdaWScGNHMxn3c4UM22v&#10;/EmXoy9EDGGXoYLS+yaT0uUlGXQD2xBH7te2Bn2EbSF1i9cYbmqZJslYGqw4NpTY0LKk/Hz8MwpO&#10;Zr1fBZ0u3ffb5jAK5meUVjul+r2weAfhKfin+N+91XF+OoHHM/ECOb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KgUkwgAAANwAAAAPAAAAAAAAAAAAAAAAAJgCAABkcnMvZG93&#10;bnJldi54bWxQSwUGAAAAAAQABAD1AAAAhwMAAAAA&#10;" adj="16969,20442,16200" fillcolor="#4f81bd" strokecolor="#385d8a" strokeweight="2pt"/>
                <v:shape id="Navzdol ukrivljena puščica 128" o:spid="_x0000_s1057" type="#_x0000_t105" style="position:absolute;left:14795;top:7874;width:3435;height:1473;rotation:1160400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xtwscA&#10;AADcAAAADwAAAGRycy9kb3ducmV2LnhtbESPQWvCQBCF74L/YRmhN90oRTR1FVEK0ovUWEpv0+w0&#10;SZudDdlVo7++cxC8zfDevPfNYtW5Wp2pDZVnA+NRAoo497biwsAxex3OQIWIbLH2TAauFGC17PcW&#10;mFp/4Xc6H2KhJIRDigbKGJtU65CX5DCMfEMs2o9vHUZZ20LbFi8S7mo9SZKpdlixNJTY0Kak/O9w&#10;cgbe9vPfXbY+br+/nrfXrPj82J9utTFPg279AipSFx/m+/XOCv5EaOUZmUA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5sbcLHAAAA3AAAAA8AAAAAAAAAAAAAAAAAmAIAAGRy&#10;cy9kb3ducmV2LnhtbFBLBQYAAAAABAAEAPUAAACMAwAAAAA=&#10;" adj="16969,20442,16200" fillcolor="#4f81bd" strokecolor="#385d8a" strokeweight="2pt"/>
                <v:shape id="Navzdol ukrivljena puščica 129" o:spid="_x0000_s1058" type="#_x0000_t105" style="position:absolute;left:15938;top:7048;width:3435;height:1473;rotation:-17252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lV0cIA&#10;AADcAAAADwAAAGRycy9kb3ducmV2LnhtbERPTWvCQBC9C/6HZQq96aYeiqauUiqCRS/VSK9jdkyC&#10;2dmwuyapv94tCN7m8T5nvuxNLVpyvrKs4G2cgCDOra64UJAd1qMpCB+QNdaWScEfeVguhoM5ptp2&#10;/EPtPhQihrBPUUEZQpNK6fOSDPqxbYgjd7bOYIjQFVI77GK4qeUkSd6lwYpjQ4kNfZWUX/ZXo2D9&#10;LVe3Y+11ttu1t23mtr/d+aTU60v/+QEiUB+e4od7o+P8yQz+n4kX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SVXRwgAAANwAAAAPAAAAAAAAAAAAAAAAAJgCAABkcnMvZG93&#10;bnJldi54bWxQSwUGAAAAAAQABAD1AAAAhwMAAAAA&#10;" adj="16969,20442,16200" fillcolor="#4f81bd" strokecolor="#385d8a" strokeweight="2pt"/>
                <v:shapetype id="_x0000_t123" coordsize="21600,21600" o:spt="123" path="m10800,qx,10800,10800,21600,21600,10800,10800,xem3163,3163nfl18437,18437em3163,18437nfl18437,3163e">
                  <v:path o:extrusionok="f" gradientshapeok="t" o:connecttype="custom" o:connectlocs="10800,0;3163,3163;0,10800;3163,18437;10800,21600;18437,18437;21600,10800;18437,3163" textboxrect="3163,3163,18437,18437"/>
                </v:shapetype>
                <v:shape id="Vsota 130" o:spid="_x0000_s1059" type="#_x0000_t123" style="position:absolute;left:16192;top:10858;width:2080;height:17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1qkMEA&#10;AADcAAAADwAAAGRycy9kb3ducmV2LnhtbESPT2vDMAzF74N9B6PBbovTDsqWxS1lMOg1/XsVsZaE&#10;xXKw3STdp58Ohd300Ps9PZWb2fVqpBA7zwYWWQ6KuPa248bA8fD18gYqJmSLvWcycKMIm/XjQ4mF&#10;9RNXNO5ToySEY4EG2pSGQutYt+QwZn4glt23Dw6TyNBoG3CScNfrZZ6vtMOO5UKLA322VP/sr05q&#10;XA+nLTL/8nDuL1O1fA+Lxhrz/DRvP0AlmtO/+U7vrHCvUl+ekQn0+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adapDBAAAA3AAAAA8AAAAAAAAAAAAAAAAAmAIAAGRycy9kb3du&#10;cmV2LnhtbFBLBQYAAAAABAAEAPUAAACGAwAAAAA=&#10;" fillcolor="red" strokecolor="window" strokeweight="2pt"/>
              </v:group>
            </w:pict>
          </mc:Fallback>
        </mc:AlternateContent>
      </w:r>
    </w:p>
    <w:p w:rsidR="003B2707" w:rsidRDefault="003B2707" w:rsidP="003B2707">
      <w:pPr>
        <w:autoSpaceDE w:val="0"/>
        <w:autoSpaceDN w:val="0"/>
        <w:adjustRightInd w:val="0"/>
        <w:spacing w:after="200" w:line="276" w:lineRule="auto"/>
        <w:jc w:val="both"/>
        <w:rPr>
          <w:rFonts w:eastAsiaTheme="minorHAnsi" w:cs="Arial"/>
          <w:szCs w:val="20"/>
          <w:lang w:val="sl-SI"/>
        </w:rPr>
      </w:pPr>
    </w:p>
    <w:p w:rsidR="003B2707" w:rsidRDefault="003B2707" w:rsidP="003B2707">
      <w:pPr>
        <w:autoSpaceDE w:val="0"/>
        <w:autoSpaceDN w:val="0"/>
        <w:adjustRightInd w:val="0"/>
        <w:spacing w:after="200" w:line="276" w:lineRule="auto"/>
        <w:jc w:val="both"/>
        <w:rPr>
          <w:rFonts w:eastAsiaTheme="minorHAnsi" w:cs="Arial"/>
          <w:szCs w:val="20"/>
          <w:lang w:val="sl-SI"/>
        </w:rPr>
      </w:pPr>
    </w:p>
    <w:p w:rsidR="003B2707" w:rsidRDefault="003B2707" w:rsidP="003B2707">
      <w:pPr>
        <w:autoSpaceDE w:val="0"/>
        <w:autoSpaceDN w:val="0"/>
        <w:adjustRightInd w:val="0"/>
        <w:spacing w:after="200" w:line="276" w:lineRule="auto"/>
        <w:jc w:val="both"/>
        <w:rPr>
          <w:rFonts w:eastAsiaTheme="minorHAnsi" w:cs="Arial"/>
          <w:szCs w:val="20"/>
          <w:lang w:val="sl-SI"/>
        </w:rPr>
      </w:pPr>
    </w:p>
    <w:p w:rsidR="003B2707" w:rsidRPr="005771BD" w:rsidRDefault="003B2707" w:rsidP="003B2707">
      <w:pPr>
        <w:autoSpaceDE w:val="0"/>
        <w:autoSpaceDN w:val="0"/>
        <w:adjustRightInd w:val="0"/>
        <w:spacing w:after="200" w:line="276" w:lineRule="auto"/>
        <w:jc w:val="both"/>
        <w:rPr>
          <w:rFonts w:eastAsiaTheme="minorHAnsi" w:cs="Arial"/>
          <w:szCs w:val="20"/>
          <w:lang w:val="sl-SI"/>
        </w:rPr>
      </w:pPr>
    </w:p>
    <w:p w:rsidR="003B2707" w:rsidRPr="005771BD" w:rsidRDefault="003B2707" w:rsidP="003B2707">
      <w:pPr>
        <w:spacing w:after="200" w:line="276" w:lineRule="auto"/>
        <w:jc w:val="both"/>
        <w:rPr>
          <w:rFonts w:eastAsiaTheme="minorHAnsi" w:cs="Arial"/>
          <w:szCs w:val="20"/>
          <w:lang w:val="sl-SI"/>
        </w:rPr>
      </w:pPr>
    </w:p>
    <w:p w:rsidR="003B2707" w:rsidRPr="005771BD" w:rsidRDefault="003B2707" w:rsidP="003B2707">
      <w:pPr>
        <w:autoSpaceDE w:val="0"/>
        <w:autoSpaceDN w:val="0"/>
        <w:adjustRightInd w:val="0"/>
        <w:spacing w:after="200" w:line="276" w:lineRule="auto"/>
        <w:jc w:val="both"/>
        <w:rPr>
          <w:rFonts w:eastAsiaTheme="minorHAnsi" w:cs="Arial"/>
          <w:szCs w:val="20"/>
          <w:lang w:val="sl-SI"/>
        </w:rPr>
      </w:pPr>
    </w:p>
    <w:p w:rsidR="003B2707" w:rsidRPr="005771BD" w:rsidRDefault="003B2707" w:rsidP="003B2707">
      <w:pPr>
        <w:autoSpaceDE w:val="0"/>
        <w:autoSpaceDN w:val="0"/>
        <w:adjustRightInd w:val="0"/>
        <w:spacing w:after="200" w:line="276" w:lineRule="auto"/>
        <w:jc w:val="both"/>
        <w:rPr>
          <w:rFonts w:eastAsiaTheme="minorHAnsi" w:cs="Arial"/>
          <w:color w:val="FF0000"/>
          <w:szCs w:val="20"/>
          <w:lang w:val="sl-SI"/>
        </w:rPr>
      </w:pPr>
    </w:p>
    <w:p w:rsidR="003B2707" w:rsidRPr="005771BD" w:rsidRDefault="003B2707" w:rsidP="003B2707">
      <w:pPr>
        <w:autoSpaceDE w:val="0"/>
        <w:autoSpaceDN w:val="0"/>
        <w:adjustRightInd w:val="0"/>
        <w:spacing w:after="200" w:line="276" w:lineRule="auto"/>
        <w:jc w:val="both"/>
        <w:rPr>
          <w:rFonts w:eastAsiaTheme="minorHAnsi" w:cs="Arial"/>
          <w:color w:val="FF0000"/>
          <w:szCs w:val="20"/>
          <w:lang w:val="sl-SI"/>
        </w:rPr>
      </w:pPr>
    </w:p>
    <w:p w:rsidR="003B2707" w:rsidRPr="005771BD" w:rsidRDefault="003B2707" w:rsidP="003B2707">
      <w:pPr>
        <w:autoSpaceDE w:val="0"/>
        <w:autoSpaceDN w:val="0"/>
        <w:adjustRightInd w:val="0"/>
        <w:spacing w:after="200" w:line="276" w:lineRule="auto"/>
        <w:jc w:val="both"/>
        <w:rPr>
          <w:rFonts w:eastAsiaTheme="minorHAnsi" w:cs="Arial"/>
          <w:i/>
          <w:szCs w:val="20"/>
          <w:lang w:val="sl-SI"/>
        </w:rPr>
      </w:pPr>
      <w:r w:rsidRPr="005771BD">
        <w:rPr>
          <w:rFonts w:eastAsiaTheme="minorHAnsi" w:cs="Arial"/>
          <w:i/>
          <w:szCs w:val="20"/>
          <w:lang w:val="sl-SI"/>
        </w:rPr>
        <w:t>Slika 1</w:t>
      </w:r>
      <w:r w:rsidR="00DE3B10">
        <w:rPr>
          <w:rFonts w:eastAsiaTheme="minorHAnsi" w:cs="Arial"/>
          <w:i/>
          <w:szCs w:val="20"/>
          <w:lang w:val="sl-SI"/>
        </w:rPr>
        <w:t>3</w:t>
      </w:r>
      <w:r w:rsidRPr="005771BD">
        <w:rPr>
          <w:rFonts w:eastAsiaTheme="minorHAnsi" w:cs="Arial"/>
          <w:i/>
          <w:szCs w:val="20"/>
          <w:lang w:val="sl-SI"/>
        </w:rPr>
        <w:t>.6: Okvir analize tveganj GSO</w:t>
      </w:r>
    </w:p>
    <w:p w:rsidR="003B2707" w:rsidRPr="005771BD" w:rsidRDefault="003B2707" w:rsidP="003B2707">
      <w:pPr>
        <w:autoSpaceDE w:val="0"/>
        <w:autoSpaceDN w:val="0"/>
        <w:adjustRightInd w:val="0"/>
        <w:spacing w:line="276" w:lineRule="auto"/>
        <w:rPr>
          <w:rFonts w:eastAsiaTheme="minorHAnsi" w:cs="Arial"/>
          <w:szCs w:val="20"/>
          <w:lang w:val="sl-SI"/>
        </w:rPr>
      </w:pPr>
    </w:p>
    <w:p w:rsidR="00DE3B10" w:rsidRPr="005771BD" w:rsidRDefault="00DE3B10" w:rsidP="00DE3B10">
      <w:pPr>
        <w:autoSpaceDE w:val="0"/>
        <w:autoSpaceDN w:val="0"/>
        <w:adjustRightInd w:val="0"/>
        <w:spacing w:after="200" w:line="276" w:lineRule="auto"/>
        <w:jc w:val="both"/>
        <w:rPr>
          <w:rFonts w:eastAsiaTheme="minorHAnsi" w:cs="Arial"/>
          <w:szCs w:val="20"/>
          <w:lang w:val="sl-SI"/>
        </w:rPr>
      </w:pPr>
      <w:r w:rsidRPr="005771BD">
        <w:rPr>
          <w:rFonts w:eastAsiaTheme="minorHAnsi" w:cs="Arial"/>
          <w:szCs w:val="20"/>
          <w:lang w:val="sl-SI"/>
        </w:rPr>
        <w:t xml:space="preserve">Na </w:t>
      </w:r>
      <w:r>
        <w:rPr>
          <w:rFonts w:eastAsiaTheme="minorHAnsi" w:cs="Arial"/>
          <w:szCs w:val="20"/>
          <w:lang w:val="sl-SI"/>
        </w:rPr>
        <w:t>podlagi</w:t>
      </w:r>
      <w:r w:rsidRPr="005771BD">
        <w:rPr>
          <w:rFonts w:eastAsiaTheme="minorHAnsi" w:cs="Arial"/>
          <w:szCs w:val="20"/>
          <w:lang w:val="sl-SI"/>
        </w:rPr>
        <w:t xml:space="preserve"> presoje tveganja omenjenih možnih vplivov in tveganj je treba v EU in Sloveniji za vsak posamez</w:t>
      </w:r>
      <w:r>
        <w:rPr>
          <w:rFonts w:eastAsiaTheme="minorHAnsi" w:cs="Arial"/>
          <w:szCs w:val="20"/>
          <w:lang w:val="sl-SI"/>
        </w:rPr>
        <w:t>ni</w:t>
      </w:r>
      <w:r w:rsidRPr="005771BD">
        <w:rPr>
          <w:rFonts w:eastAsiaTheme="minorHAnsi" w:cs="Arial"/>
          <w:szCs w:val="20"/>
          <w:lang w:val="sl-SI"/>
        </w:rPr>
        <w:t xml:space="preserve"> GSO</w:t>
      </w:r>
      <w:r>
        <w:rPr>
          <w:rFonts w:eastAsiaTheme="minorHAnsi" w:cs="Arial"/>
          <w:szCs w:val="20"/>
          <w:lang w:val="sl-SI"/>
        </w:rPr>
        <w:t>-</w:t>
      </w:r>
      <w:r w:rsidRPr="005771BD">
        <w:rPr>
          <w:rFonts w:eastAsiaTheme="minorHAnsi" w:cs="Arial"/>
          <w:szCs w:val="20"/>
          <w:lang w:val="sl-SI"/>
        </w:rPr>
        <w:t>izdelek, ki se namerava dati na trg EU, dokazati, da je njegova uporaba v nameravanih pogojih varna za zdravje ljudi, živali, rastline in okolje, v nasprotnem primeru tak GSO ne dobi dovoljenja za trženje.</w:t>
      </w:r>
    </w:p>
    <w:p w:rsidR="00DE3B10" w:rsidRPr="005771BD" w:rsidRDefault="00DE3B10" w:rsidP="006331C1">
      <w:pPr>
        <w:autoSpaceDE w:val="0"/>
        <w:autoSpaceDN w:val="0"/>
        <w:adjustRightInd w:val="0"/>
        <w:spacing w:after="360" w:line="276" w:lineRule="auto"/>
        <w:jc w:val="both"/>
        <w:rPr>
          <w:rFonts w:eastAsiaTheme="minorHAnsi" w:cs="Arial"/>
          <w:szCs w:val="20"/>
          <w:lang w:val="sl-SI"/>
        </w:rPr>
      </w:pPr>
      <w:r w:rsidRPr="005771BD">
        <w:rPr>
          <w:rFonts w:eastAsiaTheme="minorHAnsi" w:cs="Arial"/>
          <w:szCs w:val="20"/>
          <w:lang w:val="sl-SI"/>
        </w:rPr>
        <w:t>Uporaba sodobne biotehnologije in njenih izdelkov na različnih področjih (varovanje okolja, kmetijstv</w:t>
      </w:r>
      <w:r>
        <w:rPr>
          <w:rFonts w:eastAsiaTheme="minorHAnsi" w:cs="Arial"/>
          <w:szCs w:val="20"/>
          <w:lang w:val="sl-SI"/>
        </w:rPr>
        <w:t>o</w:t>
      </w:r>
      <w:r w:rsidRPr="005771BD">
        <w:rPr>
          <w:rFonts w:eastAsiaTheme="minorHAnsi" w:cs="Arial"/>
          <w:szCs w:val="20"/>
          <w:lang w:val="sl-SI"/>
        </w:rPr>
        <w:t>, farmacij</w:t>
      </w:r>
      <w:r>
        <w:rPr>
          <w:rFonts w:eastAsiaTheme="minorHAnsi" w:cs="Arial"/>
          <w:szCs w:val="20"/>
          <w:lang w:val="sl-SI"/>
        </w:rPr>
        <w:t>a</w:t>
      </w:r>
      <w:r w:rsidRPr="005771BD">
        <w:rPr>
          <w:rFonts w:eastAsiaTheme="minorHAnsi" w:cs="Arial"/>
          <w:szCs w:val="20"/>
          <w:lang w:val="sl-SI"/>
        </w:rPr>
        <w:t>, medicin</w:t>
      </w:r>
      <w:r>
        <w:rPr>
          <w:rFonts w:eastAsiaTheme="minorHAnsi" w:cs="Arial"/>
          <w:szCs w:val="20"/>
          <w:lang w:val="sl-SI"/>
        </w:rPr>
        <w:t>a</w:t>
      </w:r>
      <w:r w:rsidRPr="005771BD">
        <w:rPr>
          <w:rFonts w:eastAsiaTheme="minorHAnsi" w:cs="Arial"/>
          <w:szCs w:val="20"/>
          <w:lang w:val="sl-SI"/>
        </w:rPr>
        <w:t>, veterin</w:t>
      </w:r>
      <w:r>
        <w:rPr>
          <w:rFonts w:eastAsiaTheme="minorHAnsi" w:cs="Arial"/>
          <w:szCs w:val="20"/>
          <w:lang w:val="sl-SI"/>
        </w:rPr>
        <w:t>a</w:t>
      </w:r>
      <w:r w:rsidRPr="005771BD">
        <w:rPr>
          <w:rFonts w:eastAsiaTheme="minorHAnsi" w:cs="Arial"/>
          <w:szCs w:val="20"/>
          <w:lang w:val="sl-SI"/>
        </w:rPr>
        <w:t>, kemijsk</w:t>
      </w:r>
      <w:r>
        <w:rPr>
          <w:rFonts w:eastAsiaTheme="minorHAnsi" w:cs="Arial"/>
          <w:szCs w:val="20"/>
          <w:lang w:val="sl-SI"/>
        </w:rPr>
        <w:t>a</w:t>
      </w:r>
      <w:r w:rsidRPr="005771BD">
        <w:rPr>
          <w:rFonts w:eastAsiaTheme="minorHAnsi" w:cs="Arial"/>
          <w:szCs w:val="20"/>
          <w:lang w:val="sl-SI"/>
        </w:rPr>
        <w:t xml:space="preserve"> industrij</w:t>
      </w:r>
      <w:r>
        <w:rPr>
          <w:rFonts w:eastAsiaTheme="minorHAnsi" w:cs="Arial"/>
          <w:szCs w:val="20"/>
          <w:lang w:val="sl-SI"/>
        </w:rPr>
        <w:t>a</w:t>
      </w:r>
      <w:r w:rsidRPr="005771BD">
        <w:rPr>
          <w:rFonts w:eastAsiaTheme="minorHAnsi" w:cs="Arial"/>
          <w:szCs w:val="20"/>
          <w:lang w:val="sl-SI"/>
        </w:rPr>
        <w:t xml:space="preserve"> itd.) zagotovo daje Sloveniji nove razvojne možnosti, vendar tudi izzive, ki so vezani med drugimi na presoje tveganj za zdravje ljudi in okolje. Delujoč in učinkovit sistem biološke varnosti lahko v tem okviru zagotavlja varno uporabo </w:t>
      </w:r>
      <w:r>
        <w:rPr>
          <w:rFonts w:eastAsiaTheme="minorHAnsi" w:cs="Arial"/>
          <w:szCs w:val="20"/>
          <w:lang w:val="sl-SI"/>
        </w:rPr>
        <w:t>ter</w:t>
      </w:r>
      <w:r w:rsidRPr="005771BD">
        <w:rPr>
          <w:rFonts w:eastAsiaTheme="minorHAnsi" w:cs="Arial"/>
          <w:szCs w:val="20"/>
          <w:lang w:val="sl-SI"/>
        </w:rPr>
        <w:t xml:space="preserve"> preprečuje in zmanjšuje možne škodljive vplive na okolje, biotsko raznovrstnost in zdravje ljudi. </w:t>
      </w:r>
    </w:p>
    <w:p w:rsidR="003B2707" w:rsidRPr="005771BD" w:rsidRDefault="003B2707" w:rsidP="003B2707">
      <w:pPr>
        <w:spacing w:after="200" w:line="276" w:lineRule="auto"/>
        <w:jc w:val="both"/>
        <w:rPr>
          <w:rFonts w:eastAsiaTheme="minorHAnsi" w:cs="Arial"/>
          <w:b/>
          <w:szCs w:val="20"/>
          <w:u w:val="single"/>
          <w:lang w:val="sl-SI"/>
        </w:rPr>
      </w:pPr>
      <w:r w:rsidRPr="005771BD">
        <w:rPr>
          <w:rFonts w:eastAsiaTheme="minorHAnsi" w:cs="Arial"/>
          <w:b/>
          <w:szCs w:val="20"/>
          <w:u w:val="single"/>
          <w:lang w:val="sl-SI"/>
        </w:rPr>
        <w:t>1</w:t>
      </w:r>
      <w:r w:rsidR="00DE3B10">
        <w:rPr>
          <w:rFonts w:eastAsiaTheme="minorHAnsi" w:cs="Arial"/>
          <w:b/>
          <w:szCs w:val="20"/>
          <w:u w:val="single"/>
          <w:lang w:val="sl-SI"/>
        </w:rPr>
        <w:t>3</w:t>
      </w:r>
      <w:r w:rsidRPr="005771BD">
        <w:rPr>
          <w:rFonts w:eastAsiaTheme="minorHAnsi" w:cs="Arial"/>
          <w:b/>
          <w:szCs w:val="20"/>
          <w:u w:val="single"/>
          <w:lang w:val="sl-SI"/>
        </w:rPr>
        <w:t xml:space="preserve">.5 Obvladovanje tveganj </w:t>
      </w:r>
    </w:p>
    <w:p w:rsidR="003B2707" w:rsidRPr="005771BD" w:rsidRDefault="003B2707" w:rsidP="003B2707">
      <w:pPr>
        <w:spacing w:after="200" w:line="276" w:lineRule="auto"/>
        <w:jc w:val="both"/>
        <w:rPr>
          <w:rFonts w:eastAsiaTheme="minorHAnsi" w:cs="Arial"/>
          <w:szCs w:val="20"/>
          <w:lang w:val="sl-SI"/>
        </w:rPr>
      </w:pPr>
      <w:r w:rsidRPr="005771BD">
        <w:rPr>
          <w:rFonts w:eastAsiaTheme="minorHAnsi" w:cs="Arial"/>
          <w:szCs w:val="20"/>
          <w:lang w:val="sl-SI"/>
        </w:rPr>
        <w:t xml:space="preserve">Slovenija </w:t>
      </w:r>
      <w:r>
        <w:rPr>
          <w:rFonts w:eastAsiaTheme="minorHAnsi" w:cs="Arial"/>
          <w:szCs w:val="20"/>
          <w:lang w:val="sl-SI"/>
        </w:rPr>
        <w:t>v skladu z</w:t>
      </w:r>
      <w:r w:rsidRPr="005771BD">
        <w:rPr>
          <w:rFonts w:eastAsiaTheme="minorHAnsi" w:cs="Arial"/>
          <w:szCs w:val="20"/>
          <w:lang w:val="sl-SI"/>
        </w:rPr>
        <w:t xml:space="preserve"> zakonodaj</w:t>
      </w:r>
      <w:r>
        <w:rPr>
          <w:rFonts w:eastAsiaTheme="minorHAnsi" w:cs="Arial"/>
          <w:szCs w:val="20"/>
          <w:lang w:val="sl-SI"/>
        </w:rPr>
        <w:t>o</w:t>
      </w:r>
      <w:r w:rsidRPr="005771BD">
        <w:rPr>
          <w:rFonts w:eastAsiaTheme="minorHAnsi" w:cs="Arial"/>
          <w:szCs w:val="20"/>
          <w:lang w:val="sl-SI"/>
        </w:rPr>
        <w:t xml:space="preserve"> spremlja prisotnost GSO </w:t>
      </w:r>
      <w:r>
        <w:rPr>
          <w:rFonts w:eastAsiaTheme="minorHAnsi" w:cs="Arial"/>
          <w:szCs w:val="20"/>
          <w:lang w:val="sl-SI"/>
        </w:rPr>
        <w:t>in</w:t>
      </w:r>
      <w:r w:rsidRPr="005771BD">
        <w:rPr>
          <w:rFonts w:eastAsiaTheme="minorHAnsi" w:cs="Arial"/>
          <w:szCs w:val="20"/>
          <w:lang w:val="sl-SI"/>
        </w:rPr>
        <w:t xml:space="preserve"> na tej </w:t>
      </w:r>
      <w:r>
        <w:rPr>
          <w:rFonts w:eastAsiaTheme="minorHAnsi" w:cs="Arial"/>
          <w:szCs w:val="20"/>
          <w:lang w:val="sl-SI"/>
        </w:rPr>
        <w:t>podlagi</w:t>
      </w:r>
      <w:r w:rsidRPr="005771BD">
        <w:rPr>
          <w:rFonts w:eastAsiaTheme="minorHAnsi" w:cs="Arial"/>
          <w:szCs w:val="20"/>
          <w:lang w:val="sl-SI"/>
        </w:rPr>
        <w:t xml:space="preserve"> izvaja njen monitoring. Nacionalni inštitut za biologijo (NIB) kot akreditiran</w:t>
      </w:r>
      <w:r>
        <w:rPr>
          <w:rFonts w:eastAsiaTheme="minorHAnsi" w:cs="Arial"/>
          <w:szCs w:val="20"/>
          <w:lang w:val="sl-SI"/>
        </w:rPr>
        <w:t>i</w:t>
      </w:r>
      <w:r w:rsidRPr="005771BD">
        <w:rPr>
          <w:rFonts w:eastAsiaTheme="minorHAnsi" w:cs="Arial"/>
          <w:szCs w:val="20"/>
          <w:lang w:val="sl-SI"/>
        </w:rPr>
        <w:t xml:space="preserve"> laboratorij izvaja analize prisotnosti GSO v vzorcih </w:t>
      </w:r>
      <w:r>
        <w:rPr>
          <w:rFonts w:eastAsiaTheme="minorHAnsi" w:cs="Arial"/>
          <w:szCs w:val="20"/>
          <w:lang w:val="sl-SI"/>
        </w:rPr>
        <w:t>in</w:t>
      </w:r>
      <w:r w:rsidRPr="005771BD">
        <w:rPr>
          <w:rFonts w:eastAsiaTheme="minorHAnsi" w:cs="Arial"/>
          <w:szCs w:val="20"/>
          <w:lang w:val="sl-SI"/>
        </w:rPr>
        <w:t xml:space="preserve"> kot pooblaščen</w:t>
      </w:r>
      <w:r>
        <w:rPr>
          <w:rFonts w:eastAsiaTheme="minorHAnsi" w:cs="Arial"/>
          <w:szCs w:val="20"/>
          <w:lang w:val="sl-SI"/>
        </w:rPr>
        <w:t>i n</w:t>
      </w:r>
      <w:r w:rsidRPr="005771BD">
        <w:rPr>
          <w:rFonts w:eastAsiaTheme="minorHAnsi" w:cs="Arial"/>
          <w:szCs w:val="20"/>
          <w:lang w:val="sl-SI"/>
        </w:rPr>
        <w:t xml:space="preserve">acionalni referenčni laboratorij (NRL) </w:t>
      </w:r>
      <w:r>
        <w:rPr>
          <w:rFonts w:eastAsiaTheme="minorHAnsi" w:cs="Arial"/>
          <w:szCs w:val="20"/>
          <w:lang w:val="sl-SI"/>
        </w:rPr>
        <w:t xml:space="preserve">daje </w:t>
      </w:r>
      <w:r w:rsidRPr="005771BD">
        <w:rPr>
          <w:rFonts w:eastAsiaTheme="minorHAnsi" w:cs="Arial"/>
          <w:szCs w:val="20"/>
          <w:lang w:val="sl-SI"/>
        </w:rPr>
        <w:t xml:space="preserve">strokovno podporo pristojnim ministrstvom in inšpekcijskim službam na tem področju. Na </w:t>
      </w:r>
      <w:r>
        <w:rPr>
          <w:rFonts w:eastAsiaTheme="minorHAnsi" w:cs="Arial"/>
          <w:szCs w:val="20"/>
          <w:lang w:val="sl-SI"/>
        </w:rPr>
        <w:t>podlagi</w:t>
      </w:r>
      <w:r w:rsidRPr="005771BD">
        <w:rPr>
          <w:rFonts w:eastAsiaTheme="minorHAnsi" w:cs="Arial"/>
          <w:szCs w:val="20"/>
          <w:lang w:val="sl-SI"/>
        </w:rPr>
        <w:t xml:space="preserve"> pooblastil </w:t>
      </w:r>
      <w:r>
        <w:rPr>
          <w:rFonts w:eastAsiaTheme="minorHAnsi" w:cs="Arial"/>
          <w:szCs w:val="20"/>
          <w:lang w:val="sl-SI"/>
        </w:rPr>
        <w:t>in</w:t>
      </w:r>
      <w:r w:rsidRPr="005771BD">
        <w:rPr>
          <w:rFonts w:eastAsiaTheme="minorHAnsi" w:cs="Arial"/>
          <w:szCs w:val="20"/>
          <w:lang w:val="sl-SI"/>
        </w:rPr>
        <w:t xml:space="preserve"> ustreznega sistema kakovosti NIB analizira vzorce na prisotnost GSO.</w:t>
      </w:r>
    </w:p>
    <w:p w:rsidR="003B2707" w:rsidRPr="005771BD" w:rsidRDefault="003B2707" w:rsidP="003B2707">
      <w:pPr>
        <w:spacing w:after="200" w:line="276" w:lineRule="auto"/>
        <w:jc w:val="both"/>
        <w:rPr>
          <w:rFonts w:eastAsiaTheme="minorHAnsi" w:cs="Arial"/>
          <w:szCs w:val="20"/>
          <w:lang w:val="sl-SI"/>
        </w:rPr>
      </w:pPr>
      <w:r w:rsidRPr="005771BD">
        <w:rPr>
          <w:rFonts w:cs="Arial"/>
          <w:szCs w:val="20"/>
          <w:lang w:val="sl-SI" w:eastAsia="sl-SI"/>
        </w:rPr>
        <w:t>Nadzor nad GSO in s tem nad izvajanjem določb in predpisov ZRGSO in na njegovi podlagi izdanih potrdil in dovoljenj ter nad izvajanjem določb Uredbe 1830/2003 v delu, ki se nanaša na izdelke, ki so dani na trg v skladu z ZRGSO, izvajajo inšpektorji, pristojni za okolje, medtem ko nadzor nad semenskim materialom kmetijskih rastlin in gozdnim reprodukcijskim materialom, ki se daje na trg, ter prisotnost GSO v živilih in krmi izvaja Uprava za varno hrano, veterinarstvo in varstvo rastlin.</w:t>
      </w:r>
    </w:p>
    <w:p w:rsidR="003B2707" w:rsidRPr="005771BD" w:rsidRDefault="003B2707" w:rsidP="006331C1">
      <w:pPr>
        <w:spacing w:after="360" w:line="276" w:lineRule="auto"/>
        <w:jc w:val="both"/>
        <w:rPr>
          <w:rFonts w:eastAsiaTheme="minorHAnsi" w:cs="Arial"/>
          <w:szCs w:val="20"/>
          <w:lang w:val="sl-SI"/>
        </w:rPr>
      </w:pPr>
      <w:r w:rsidRPr="005771BD">
        <w:rPr>
          <w:rFonts w:eastAsiaTheme="minorHAnsi" w:cs="Arial"/>
          <w:szCs w:val="20"/>
          <w:lang w:val="sl-SI"/>
        </w:rPr>
        <w:t>Zakonodaja tudi zahteva jasno označevanje vseh GSO</w:t>
      </w:r>
      <w:r>
        <w:rPr>
          <w:rFonts w:eastAsiaTheme="minorHAnsi" w:cs="Arial"/>
          <w:szCs w:val="20"/>
          <w:lang w:val="sl-SI"/>
        </w:rPr>
        <w:t xml:space="preserve"> in izdelkov, ki</w:t>
      </w:r>
      <w:r w:rsidRPr="005771BD">
        <w:rPr>
          <w:rFonts w:eastAsiaTheme="minorHAnsi" w:cs="Arial"/>
          <w:szCs w:val="20"/>
          <w:lang w:val="sl-SI"/>
        </w:rPr>
        <w:t xml:space="preserve"> vsebujejo ali so proizvedeni iz GSO. Izdelki</w:t>
      </w:r>
      <w:r>
        <w:rPr>
          <w:rFonts w:eastAsiaTheme="minorHAnsi" w:cs="Arial"/>
          <w:szCs w:val="20"/>
          <w:lang w:val="sl-SI"/>
        </w:rPr>
        <w:t xml:space="preserve"> </w:t>
      </w:r>
      <w:r w:rsidRPr="005771BD">
        <w:rPr>
          <w:rFonts w:eastAsiaTheme="minorHAnsi" w:cs="Arial"/>
          <w:szCs w:val="20"/>
          <w:lang w:val="sl-SI"/>
        </w:rPr>
        <w:t>na trgu</w:t>
      </w:r>
      <w:r>
        <w:rPr>
          <w:rFonts w:eastAsiaTheme="minorHAnsi" w:cs="Arial"/>
          <w:szCs w:val="20"/>
          <w:lang w:val="sl-SI"/>
        </w:rPr>
        <w:t>, ki</w:t>
      </w:r>
      <w:r w:rsidRPr="005771BD">
        <w:rPr>
          <w:rFonts w:eastAsiaTheme="minorHAnsi" w:cs="Arial"/>
          <w:szCs w:val="20"/>
          <w:lang w:val="sl-SI"/>
        </w:rPr>
        <w:t xml:space="preserve"> so proizvedeni iz GSO, morajo biti označeni z besedami »gensko spremenjen« oziroma »proizveden iz gensko spremenjenega (ime organizma)«, da se omogoča informirana izbira potrošnikom in poklicnim uporabnikom ter zagotavlja sledljivost vseh GSO, ki so dobili dovoljenje za trženje.</w:t>
      </w:r>
    </w:p>
    <w:p w:rsidR="003B2707" w:rsidRPr="005771BD" w:rsidRDefault="003B2707" w:rsidP="003B2707">
      <w:pPr>
        <w:spacing w:after="200" w:line="276" w:lineRule="auto"/>
        <w:jc w:val="both"/>
        <w:rPr>
          <w:rFonts w:eastAsiaTheme="minorHAnsi" w:cs="Arial"/>
          <w:b/>
          <w:szCs w:val="20"/>
          <w:u w:val="single"/>
          <w:lang w:val="sl-SI"/>
        </w:rPr>
      </w:pPr>
      <w:r w:rsidRPr="005771BD">
        <w:rPr>
          <w:rFonts w:eastAsiaTheme="minorHAnsi" w:cs="Arial"/>
          <w:b/>
          <w:szCs w:val="20"/>
          <w:u w:val="single"/>
          <w:lang w:val="sl-SI"/>
        </w:rPr>
        <w:t>1</w:t>
      </w:r>
      <w:r w:rsidR="00DE3B10">
        <w:rPr>
          <w:rFonts w:eastAsiaTheme="minorHAnsi" w:cs="Arial"/>
          <w:b/>
          <w:szCs w:val="20"/>
          <w:u w:val="single"/>
          <w:lang w:val="sl-SI"/>
        </w:rPr>
        <w:t>3</w:t>
      </w:r>
      <w:r w:rsidRPr="005771BD">
        <w:rPr>
          <w:rFonts w:eastAsiaTheme="minorHAnsi" w:cs="Arial"/>
          <w:b/>
          <w:szCs w:val="20"/>
          <w:u w:val="single"/>
          <w:lang w:val="sl-SI"/>
        </w:rPr>
        <w:t>.6 Napotki za prihodnja ravnanja</w:t>
      </w:r>
    </w:p>
    <w:p w:rsidR="003B2707" w:rsidRPr="005771BD" w:rsidRDefault="003B2707" w:rsidP="006331C1">
      <w:pPr>
        <w:spacing w:after="360" w:line="276" w:lineRule="auto"/>
        <w:jc w:val="both"/>
        <w:rPr>
          <w:rFonts w:eastAsiaTheme="minorHAnsi" w:cs="Arial"/>
          <w:szCs w:val="20"/>
          <w:lang w:val="sl-SI"/>
        </w:rPr>
      </w:pPr>
      <w:r w:rsidRPr="005771BD">
        <w:rPr>
          <w:rFonts w:cs="Arial"/>
          <w:szCs w:val="20"/>
          <w:lang w:val="sl-SI" w:eastAsia="sl-SI"/>
        </w:rPr>
        <w:t>Hiter razvoj na področju sodobne biotehnologije in njihovih izdelkov GSO zahteva stalne  premisleke in presoje</w:t>
      </w:r>
      <w:r>
        <w:rPr>
          <w:rFonts w:cs="Arial"/>
          <w:szCs w:val="20"/>
          <w:lang w:val="sl-SI" w:eastAsia="sl-SI"/>
        </w:rPr>
        <w:t>,</w:t>
      </w:r>
      <w:r w:rsidRPr="005771BD">
        <w:rPr>
          <w:rFonts w:cs="Arial"/>
          <w:szCs w:val="20"/>
          <w:lang w:val="sl-SI" w:eastAsia="sl-SI"/>
        </w:rPr>
        <w:t xml:space="preserve"> ali </w:t>
      </w:r>
      <w:r>
        <w:rPr>
          <w:rFonts w:cs="Arial"/>
          <w:szCs w:val="20"/>
          <w:lang w:val="sl-SI" w:eastAsia="sl-SI"/>
        </w:rPr>
        <w:t xml:space="preserve">veljavni </w:t>
      </w:r>
      <w:r w:rsidRPr="005771BD">
        <w:rPr>
          <w:rFonts w:cs="Arial"/>
          <w:szCs w:val="20"/>
          <w:lang w:val="sl-SI" w:eastAsia="sl-SI"/>
        </w:rPr>
        <w:t>sistem biološke varnosti in njen zakonodajno</w:t>
      </w:r>
      <w:r>
        <w:rPr>
          <w:rFonts w:cs="Arial"/>
          <w:szCs w:val="20"/>
          <w:lang w:val="sl-SI" w:eastAsia="sl-SI"/>
        </w:rPr>
        <w:t>-upravni</w:t>
      </w:r>
      <w:r w:rsidRPr="005771BD">
        <w:rPr>
          <w:rFonts w:cs="Arial"/>
          <w:szCs w:val="20"/>
          <w:lang w:val="sl-SI" w:eastAsia="sl-SI"/>
        </w:rPr>
        <w:t xml:space="preserve"> okvir </w:t>
      </w:r>
      <w:r>
        <w:rPr>
          <w:rFonts w:cs="Arial"/>
          <w:szCs w:val="20"/>
          <w:lang w:val="sl-SI" w:eastAsia="sl-SI"/>
        </w:rPr>
        <w:t>upošteva</w:t>
      </w:r>
      <w:r w:rsidRPr="005771BD">
        <w:rPr>
          <w:rFonts w:cs="Arial"/>
          <w:szCs w:val="20"/>
          <w:lang w:val="sl-SI" w:eastAsia="sl-SI"/>
        </w:rPr>
        <w:t xml:space="preserve"> razvoj na področju GSO in </w:t>
      </w:r>
      <w:r w:rsidRPr="005771BD">
        <w:rPr>
          <w:rFonts w:eastAsiaTheme="minorHAnsi" w:cs="Arial"/>
          <w:szCs w:val="20"/>
          <w:lang w:val="sl-SI"/>
        </w:rPr>
        <w:t xml:space="preserve">zagotavlja njihovo varno uporabo ter preprečuje in zmanjšuje možne škodljive vplive na okolje, biotsko raznovrstnost in zdravje ljudi. V zadnjem </w:t>
      </w:r>
      <w:r>
        <w:rPr>
          <w:rFonts w:eastAsiaTheme="minorHAnsi" w:cs="Arial"/>
          <w:szCs w:val="20"/>
          <w:lang w:val="sl-SI"/>
        </w:rPr>
        <w:t>času</w:t>
      </w:r>
      <w:r w:rsidRPr="005771BD">
        <w:rPr>
          <w:rFonts w:eastAsiaTheme="minorHAnsi" w:cs="Arial"/>
          <w:szCs w:val="20"/>
          <w:lang w:val="sl-SI"/>
        </w:rPr>
        <w:t xml:space="preserve"> je ta premislek nujen p</w:t>
      </w:r>
      <w:r w:rsidRPr="005771BD">
        <w:rPr>
          <w:rFonts w:cs="Arial"/>
          <w:szCs w:val="20"/>
          <w:lang w:val="sl-SI" w:eastAsia="sl-SI"/>
        </w:rPr>
        <w:t xml:space="preserve">redvsem zaradi hitrega razvoja na področju novih tehnik žlahtnjenja rastlin. </w:t>
      </w:r>
    </w:p>
    <w:p w:rsidR="003B2707" w:rsidRPr="005771BD" w:rsidRDefault="003B2707" w:rsidP="003B2707">
      <w:pPr>
        <w:spacing w:after="200" w:line="276" w:lineRule="auto"/>
        <w:jc w:val="both"/>
        <w:rPr>
          <w:rFonts w:eastAsiaTheme="minorHAnsi" w:cs="Arial"/>
          <w:b/>
          <w:szCs w:val="20"/>
          <w:u w:val="single"/>
          <w:lang w:val="sl-SI"/>
        </w:rPr>
      </w:pPr>
      <w:r w:rsidRPr="005771BD">
        <w:rPr>
          <w:rFonts w:eastAsiaTheme="minorHAnsi" w:cs="Arial"/>
          <w:b/>
          <w:szCs w:val="20"/>
          <w:u w:val="single"/>
          <w:lang w:val="sl-SI"/>
        </w:rPr>
        <w:t>1</w:t>
      </w:r>
      <w:r w:rsidR="006331C1">
        <w:rPr>
          <w:rFonts w:eastAsiaTheme="minorHAnsi" w:cs="Arial"/>
          <w:b/>
          <w:szCs w:val="20"/>
          <w:u w:val="single"/>
          <w:lang w:val="sl-SI"/>
        </w:rPr>
        <w:t>3</w:t>
      </w:r>
      <w:r w:rsidRPr="005771BD">
        <w:rPr>
          <w:rFonts w:eastAsiaTheme="minorHAnsi" w:cs="Arial"/>
          <w:b/>
          <w:szCs w:val="20"/>
          <w:u w:val="single"/>
          <w:lang w:val="sl-SI"/>
        </w:rPr>
        <w:t xml:space="preserve">.7 Viri in literatura </w:t>
      </w:r>
    </w:p>
    <w:p w:rsidR="003B2707" w:rsidRPr="005771BD" w:rsidRDefault="003B2707" w:rsidP="003B2707">
      <w:pPr>
        <w:spacing w:before="120" w:line="276" w:lineRule="auto"/>
        <w:ind w:right="-574"/>
        <w:jc w:val="both"/>
        <w:rPr>
          <w:rFonts w:eastAsiaTheme="minorHAnsi" w:cs="Arial"/>
          <w:szCs w:val="20"/>
          <w:lang w:val="sl-SI"/>
        </w:rPr>
      </w:pPr>
      <w:r w:rsidRPr="005771BD">
        <w:rPr>
          <w:rFonts w:eastAsiaTheme="minorHAnsi" w:cs="Arial"/>
          <w:szCs w:val="20"/>
          <w:lang w:val="sl-SI"/>
        </w:rPr>
        <w:t>Ministrstvo za okolje in prostor in Ministrstvo za zdravje. Slovenski portal biološke varnosti. Dostopno na: http://www.biotechnology-gmo.gov.si/slovenija/gso_v_sloveniji/registri/%20register_gso/</w:t>
      </w:r>
    </w:p>
    <w:p w:rsidR="003B2707" w:rsidRPr="005771BD" w:rsidRDefault="003B2707" w:rsidP="003B2707">
      <w:pPr>
        <w:spacing w:before="120" w:line="276" w:lineRule="auto"/>
        <w:jc w:val="both"/>
        <w:rPr>
          <w:rFonts w:eastAsiaTheme="minorHAnsi" w:cs="Arial"/>
          <w:szCs w:val="20"/>
          <w:lang w:val="sl-SI"/>
        </w:rPr>
      </w:pPr>
      <w:r w:rsidRPr="005771BD">
        <w:rPr>
          <w:rFonts w:eastAsiaTheme="minorHAnsi" w:cs="Arial"/>
          <w:szCs w:val="20"/>
          <w:lang w:val="sl-SI"/>
        </w:rPr>
        <w:t xml:space="preserve">European Commission, Joint Research Centre. </w:t>
      </w:r>
      <w:r w:rsidRPr="001F7BFB">
        <w:rPr>
          <w:rFonts w:eastAsiaTheme="minorHAnsi" w:cs="Arial"/>
          <w:i/>
          <w:szCs w:val="20"/>
          <w:lang w:val="sl-SI"/>
        </w:rPr>
        <w:t>Deliberate Release and Placing on the EU Market of GMOs - GMO Register</w:t>
      </w:r>
      <w:r w:rsidRPr="005771BD">
        <w:rPr>
          <w:rFonts w:eastAsiaTheme="minorHAnsi" w:cs="Arial"/>
          <w:szCs w:val="20"/>
          <w:lang w:val="sl-SI"/>
        </w:rPr>
        <w:t xml:space="preserve">. Dostopno na: </w:t>
      </w:r>
      <w:hyperlink r:id="rId224" w:history="1">
        <w:r w:rsidRPr="005771BD">
          <w:rPr>
            <w:rFonts w:cs="Arial"/>
            <w:color w:val="5F5F5F" w:themeColor="hyperlink"/>
            <w:szCs w:val="20"/>
            <w:u w:val="single"/>
            <w:lang w:val="sl-SI" w:eastAsia="sl-SI"/>
          </w:rPr>
          <w:t>http://gmoinfo.jrc.ec.europa.eu/</w:t>
        </w:r>
      </w:hyperlink>
    </w:p>
    <w:p w:rsidR="003B2707" w:rsidRPr="005771BD" w:rsidRDefault="003B2707" w:rsidP="003B2707">
      <w:pPr>
        <w:spacing w:before="120" w:line="276" w:lineRule="auto"/>
        <w:jc w:val="both"/>
        <w:rPr>
          <w:rFonts w:eastAsiaTheme="minorHAnsi" w:cs="Arial"/>
          <w:szCs w:val="20"/>
          <w:lang w:val="sl-SI"/>
        </w:rPr>
      </w:pPr>
      <w:r w:rsidRPr="005771BD">
        <w:rPr>
          <w:rFonts w:eastAsiaTheme="minorHAnsi" w:cs="Arial"/>
          <w:szCs w:val="20"/>
          <w:lang w:val="sl-SI"/>
        </w:rPr>
        <w:t xml:space="preserve">European Commission. </w:t>
      </w:r>
      <w:r w:rsidRPr="001F7BFB">
        <w:rPr>
          <w:rFonts w:eastAsiaTheme="minorHAnsi" w:cs="Arial"/>
          <w:i/>
          <w:szCs w:val="20"/>
          <w:lang w:val="sl-SI"/>
        </w:rPr>
        <w:t xml:space="preserve">Genetically Modified Organisms. </w:t>
      </w:r>
      <w:r w:rsidRPr="001F7BFB">
        <w:rPr>
          <w:rFonts w:eastAsiaTheme="minorHAnsi" w:cs="Arial"/>
          <w:szCs w:val="20"/>
          <w:lang w:val="sl-SI"/>
        </w:rPr>
        <w:t>Dostopno na:</w:t>
      </w:r>
      <w:r w:rsidRPr="001F7BFB">
        <w:rPr>
          <w:rFonts w:eastAsiaTheme="minorHAnsi" w:cs="Arial"/>
          <w:i/>
          <w:szCs w:val="20"/>
          <w:lang w:val="sl-SI"/>
        </w:rPr>
        <w:t xml:space="preserve"> </w:t>
      </w:r>
      <w:hyperlink r:id="rId225" w:history="1">
        <w:r w:rsidRPr="005771BD">
          <w:rPr>
            <w:rFonts w:eastAsiaTheme="minorHAnsi" w:cs="Arial"/>
            <w:color w:val="5F5F5F" w:themeColor="hyperlink"/>
            <w:szCs w:val="20"/>
            <w:u w:val="single"/>
            <w:lang w:val="sl-SI"/>
          </w:rPr>
          <w:t>http://ec.europa.eu/food/dyna/gm_register/index_en.cfm</w:t>
        </w:r>
      </w:hyperlink>
      <w:r w:rsidRPr="005771BD">
        <w:rPr>
          <w:rFonts w:eastAsiaTheme="minorHAnsi" w:cs="Arial"/>
          <w:szCs w:val="20"/>
          <w:lang w:val="sl-SI"/>
        </w:rPr>
        <w:t xml:space="preserve"> </w:t>
      </w:r>
    </w:p>
    <w:p w:rsidR="003B2707" w:rsidRPr="005771BD" w:rsidRDefault="003B2707" w:rsidP="003B2707">
      <w:pPr>
        <w:spacing w:before="120" w:line="276" w:lineRule="auto"/>
        <w:ind w:right="-433"/>
        <w:jc w:val="both"/>
        <w:rPr>
          <w:rFonts w:eastAsiaTheme="minorHAnsi" w:cs="Arial"/>
          <w:szCs w:val="20"/>
          <w:lang w:val="sl-SI"/>
        </w:rPr>
      </w:pPr>
      <w:r w:rsidRPr="005771BD">
        <w:rPr>
          <w:rFonts w:eastAsiaTheme="minorHAnsi" w:cs="Arial"/>
          <w:szCs w:val="20"/>
          <w:lang w:val="sl-SI"/>
        </w:rPr>
        <w:t xml:space="preserve">Convention on Biological Diversity. Bio-safety Clearing House. Dostopno na: </w:t>
      </w:r>
      <w:hyperlink r:id="rId226" w:history="1">
        <w:r w:rsidRPr="005771BD">
          <w:rPr>
            <w:rFonts w:eastAsiaTheme="minorHAnsi" w:cs="Arial"/>
            <w:color w:val="5F5F5F" w:themeColor="hyperlink"/>
            <w:szCs w:val="20"/>
            <w:u w:val="single"/>
            <w:lang w:val="sl-SI"/>
          </w:rPr>
          <w:t>https://bch.cbd.int/database/organisms/</w:t>
        </w:r>
      </w:hyperlink>
    </w:p>
    <w:p w:rsidR="003B2707" w:rsidRPr="005771BD" w:rsidRDefault="003B2707" w:rsidP="003B2707">
      <w:pPr>
        <w:tabs>
          <w:tab w:val="left" w:pos="567"/>
        </w:tabs>
        <w:spacing w:before="120" w:line="276" w:lineRule="auto"/>
        <w:jc w:val="both"/>
        <w:rPr>
          <w:rFonts w:cs="Arial"/>
          <w:szCs w:val="20"/>
          <w:lang w:val="sl-SI" w:eastAsia="sl-SI"/>
        </w:rPr>
      </w:pPr>
      <w:r w:rsidRPr="005771BD">
        <w:rPr>
          <w:rFonts w:eastAsiaTheme="minorHAnsi" w:cs="Arial"/>
          <w:szCs w:val="20"/>
          <w:lang w:val="sl-SI"/>
        </w:rPr>
        <w:t xml:space="preserve">Ministrstvo za okolje in prostor. </w:t>
      </w:r>
      <w:hyperlink r:id="rId227" w:history="1">
        <w:r w:rsidRPr="005771BD">
          <w:rPr>
            <w:rFonts w:cs="Arial"/>
            <w:color w:val="5F5F5F" w:themeColor="hyperlink"/>
            <w:szCs w:val="20"/>
            <w:u w:val="single"/>
            <w:lang w:val="sl-SI" w:eastAsia="sl-SI"/>
          </w:rPr>
          <w:t>http://www.mop.gov.si/si/delovna_podrocja/biotehnologija/</w:t>
        </w:r>
      </w:hyperlink>
      <w:r w:rsidRPr="005771BD">
        <w:rPr>
          <w:rFonts w:cs="Arial"/>
          <w:szCs w:val="20"/>
          <w:lang w:val="sl-SI" w:eastAsia="sl-SI"/>
        </w:rPr>
        <w:t>.</w:t>
      </w:r>
    </w:p>
    <w:p w:rsidR="003B2707" w:rsidRPr="005771BD" w:rsidRDefault="003B2707" w:rsidP="003B2707">
      <w:pPr>
        <w:tabs>
          <w:tab w:val="left" w:pos="567"/>
        </w:tabs>
        <w:spacing w:before="120" w:line="276" w:lineRule="auto"/>
        <w:jc w:val="both"/>
        <w:rPr>
          <w:rFonts w:cs="Arial"/>
          <w:szCs w:val="20"/>
          <w:lang w:val="sl-SI" w:eastAsia="sl-SI"/>
        </w:rPr>
      </w:pPr>
      <w:r w:rsidRPr="005771BD">
        <w:rPr>
          <w:rFonts w:cs="Arial"/>
          <w:szCs w:val="20"/>
          <w:lang w:val="sl-SI" w:eastAsia="sl-SI"/>
        </w:rPr>
        <w:t xml:space="preserve">Ministrstvo za kmetijstvo, gozdarstvo in prehrano. </w:t>
      </w:r>
      <w:hyperlink r:id="rId228" w:history="1">
        <w:r w:rsidRPr="005771BD">
          <w:rPr>
            <w:rFonts w:cs="Arial"/>
            <w:color w:val="5F5F5F" w:themeColor="hyperlink"/>
            <w:szCs w:val="20"/>
            <w:u w:val="single"/>
            <w:lang w:val="sl-SI" w:eastAsia="sl-SI"/>
          </w:rPr>
          <w:t>http://www.mkgp.gov.si/si/</w:t>
        </w:r>
      </w:hyperlink>
    </w:p>
    <w:p w:rsidR="003B2707" w:rsidRPr="005771BD" w:rsidRDefault="003B2707" w:rsidP="003B2707">
      <w:pPr>
        <w:tabs>
          <w:tab w:val="left" w:pos="567"/>
        </w:tabs>
        <w:spacing w:before="120" w:line="276" w:lineRule="auto"/>
        <w:jc w:val="both"/>
        <w:rPr>
          <w:rFonts w:cs="Arial"/>
          <w:szCs w:val="20"/>
          <w:lang w:val="sl-SI" w:eastAsia="sl-SI"/>
        </w:rPr>
      </w:pPr>
      <w:r w:rsidRPr="005771BD">
        <w:rPr>
          <w:rFonts w:eastAsiaTheme="minorHAnsi" w:cs="Arial"/>
          <w:szCs w:val="20"/>
          <w:lang w:val="sl-SI"/>
        </w:rPr>
        <w:t xml:space="preserve">Uprava za varno hrano, veterinarstvo in varstvo rastlin. </w:t>
      </w:r>
      <w:hyperlink r:id="rId229" w:history="1">
        <w:r w:rsidRPr="005771BD">
          <w:rPr>
            <w:rFonts w:cs="Arial"/>
            <w:color w:val="5F5F5F" w:themeColor="hyperlink"/>
            <w:szCs w:val="20"/>
            <w:u w:val="single"/>
            <w:lang w:val="sl-SI" w:eastAsia="sl-SI"/>
          </w:rPr>
          <w:t>http://www.uvhvvr.gov.si/si/</w:t>
        </w:r>
      </w:hyperlink>
      <w:r w:rsidRPr="005771BD">
        <w:rPr>
          <w:rFonts w:cs="Arial"/>
          <w:szCs w:val="20"/>
          <w:lang w:val="sl-SI" w:eastAsia="sl-SI"/>
        </w:rPr>
        <w:t xml:space="preserve">. </w:t>
      </w:r>
    </w:p>
    <w:p w:rsidR="003B2707" w:rsidRPr="005771BD" w:rsidRDefault="003B2707" w:rsidP="003B2707">
      <w:pPr>
        <w:tabs>
          <w:tab w:val="left" w:pos="567"/>
        </w:tabs>
        <w:spacing w:before="120" w:line="276" w:lineRule="auto"/>
        <w:jc w:val="both"/>
        <w:rPr>
          <w:rFonts w:eastAsiaTheme="minorHAnsi" w:cs="Arial"/>
          <w:szCs w:val="20"/>
          <w:lang w:val="sl-SI"/>
        </w:rPr>
      </w:pPr>
      <w:r w:rsidRPr="005771BD">
        <w:rPr>
          <w:rFonts w:eastAsiaTheme="minorHAnsi" w:cs="Arial"/>
          <w:szCs w:val="20"/>
          <w:lang w:val="sl-SI"/>
        </w:rPr>
        <w:t xml:space="preserve">Evropska komisija. </w:t>
      </w:r>
      <w:hyperlink r:id="rId230" w:history="1">
        <w:r w:rsidRPr="005771BD">
          <w:rPr>
            <w:rFonts w:eastAsiaTheme="minorHAnsi" w:cs="Arial"/>
            <w:color w:val="5F5F5F" w:themeColor="hyperlink"/>
            <w:szCs w:val="20"/>
            <w:u w:val="single"/>
            <w:lang w:val="sl-SI"/>
          </w:rPr>
          <w:t>http://ec.europa.eu/food/plant/gmo/index_en.htm</w:t>
        </w:r>
      </w:hyperlink>
      <w:r w:rsidRPr="005771BD">
        <w:rPr>
          <w:rFonts w:eastAsiaTheme="minorHAnsi" w:cs="Arial"/>
          <w:szCs w:val="20"/>
          <w:lang w:val="sl-SI"/>
        </w:rPr>
        <w:t xml:space="preserve">; </w:t>
      </w:r>
    </w:p>
    <w:p w:rsidR="003B2707" w:rsidRPr="005771BD" w:rsidRDefault="003B2707" w:rsidP="003B2707">
      <w:pPr>
        <w:tabs>
          <w:tab w:val="left" w:pos="567"/>
        </w:tabs>
        <w:spacing w:before="120" w:line="276" w:lineRule="auto"/>
        <w:jc w:val="both"/>
        <w:rPr>
          <w:rFonts w:eastAsiaTheme="minorHAnsi" w:cs="Arial"/>
          <w:szCs w:val="20"/>
          <w:lang w:val="sl-SI"/>
        </w:rPr>
      </w:pPr>
      <w:r w:rsidRPr="005771BD">
        <w:rPr>
          <w:rFonts w:eastAsiaTheme="minorHAnsi" w:cs="Arial"/>
          <w:szCs w:val="20"/>
          <w:lang w:val="sl-SI"/>
        </w:rPr>
        <w:t xml:space="preserve">European Food Safety Authority (EFSA). Genetically Modified Organismsm. Dostopno na: </w:t>
      </w:r>
      <w:hyperlink r:id="rId231" w:history="1">
        <w:r w:rsidRPr="005771BD">
          <w:rPr>
            <w:rFonts w:eastAsiaTheme="minorHAnsi" w:cs="Arial"/>
            <w:color w:val="5F5F5F" w:themeColor="hyperlink"/>
            <w:szCs w:val="20"/>
            <w:u w:val="single"/>
            <w:lang w:val="sl-SI"/>
          </w:rPr>
          <w:t>https://www.efsa.europa.eu/en/topics/topic/gmo</w:t>
        </w:r>
      </w:hyperlink>
      <w:r w:rsidRPr="005771BD">
        <w:rPr>
          <w:rFonts w:eastAsiaTheme="minorHAnsi" w:cs="Arial"/>
          <w:szCs w:val="20"/>
          <w:lang w:val="sl-SI"/>
        </w:rPr>
        <w:t xml:space="preserve">; </w:t>
      </w:r>
    </w:p>
    <w:p w:rsidR="003B2707" w:rsidRPr="005771BD" w:rsidRDefault="003B2707" w:rsidP="003B2707">
      <w:pPr>
        <w:tabs>
          <w:tab w:val="left" w:pos="567"/>
        </w:tabs>
        <w:spacing w:before="120" w:line="276" w:lineRule="auto"/>
        <w:jc w:val="both"/>
        <w:rPr>
          <w:rFonts w:eastAsiaTheme="minorHAnsi" w:cs="Arial"/>
          <w:szCs w:val="20"/>
          <w:lang w:val="sl-SI"/>
        </w:rPr>
      </w:pPr>
      <w:r w:rsidRPr="005771BD">
        <w:rPr>
          <w:rFonts w:eastAsiaTheme="minorHAnsi" w:cs="Arial"/>
          <w:szCs w:val="20"/>
          <w:lang w:val="sl-SI"/>
        </w:rPr>
        <w:t>Euro</w:t>
      </w:r>
      <w:r>
        <w:rPr>
          <w:rFonts w:eastAsiaTheme="minorHAnsi" w:cs="Arial"/>
          <w:szCs w:val="20"/>
          <w:lang w:val="sl-SI"/>
        </w:rPr>
        <w:t>p</w:t>
      </w:r>
      <w:r w:rsidRPr="005771BD">
        <w:rPr>
          <w:rFonts w:eastAsiaTheme="minorHAnsi" w:cs="Arial"/>
          <w:szCs w:val="20"/>
          <w:lang w:val="sl-SI"/>
        </w:rPr>
        <w:t xml:space="preserve">ean Commission. Joint Research Centre. EU Reference Laboratory for GM Food and Feed. Dostopno na: </w:t>
      </w:r>
      <w:hyperlink r:id="rId232" w:history="1">
        <w:r w:rsidRPr="005771BD">
          <w:rPr>
            <w:rFonts w:eastAsiaTheme="minorHAnsi" w:cs="Arial"/>
            <w:color w:val="5F5F5F" w:themeColor="hyperlink"/>
            <w:szCs w:val="20"/>
            <w:u w:val="single"/>
            <w:lang w:val="sl-SI"/>
          </w:rPr>
          <w:t>http://gmo-crl.jrc.ec.europa.eu/default.htm</w:t>
        </w:r>
      </w:hyperlink>
      <w:r w:rsidRPr="005771BD">
        <w:rPr>
          <w:rFonts w:eastAsiaTheme="minorHAnsi" w:cs="Arial"/>
          <w:szCs w:val="20"/>
          <w:lang w:val="sl-SI"/>
        </w:rPr>
        <w:t xml:space="preserve">. </w:t>
      </w:r>
    </w:p>
    <w:p w:rsidR="003B2707" w:rsidRPr="005771BD" w:rsidRDefault="003B2707" w:rsidP="003B2707">
      <w:pPr>
        <w:tabs>
          <w:tab w:val="left" w:pos="567"/>
        </w:tabs>
        <w:spacing w:before="120" w:line="276" w:lineRule="auto"/>
        <w:jc w:val="both"/>
        <w:rPr>
          <w:rFonts w:eastAsiaTheme="minorHAnsi" w:cs="Arial"/>
          <w:szCs w:val="20"/>
          <w:lang w:val="sl-SI"/>
        </w:rPr>
      </w:pPr>
      <w:r w:rsidRPr="005771BD">
        <w:rPr>
          <w:rFonts w:eastAsiaTheme="minorHAnsi" w:cs="Arial"/>
          <w:szCs w:val="20"/>
          <w:lang w:val="sl-SI"/>
        </w:rPr>
        <w:t xml:space="preserve">Nacionalni inštitut za biologijo. Gensko spremenjeni organizmi. Dostopno na: </w:t>
      </w:r>
      <w:hyperlink r:id="rId233" w:history="1">
        <w:r w:rsidRPr="005771BD">
          <w:rPr>
            <w:rFonts w:eastAsiaTheme="minorHAnsi" w:cs="Arial"/>
            <w:color w:val="5F5F5F" w:themeColor="hyperlink"/>
            <w:szCs w:val="20"/>
            <w:u w:val="single"/>
            <w:lang w:val="sl-SI"/>
          </w:rPr>
          <w:t>http://www.nib.si/gensko-spremenjeni-organizmi</w:t>
        </w:r>
      </w:hyperlink>
      <w:r w:rsidRPr="005771BD">
        <w:rPr>
          <w:rFonts w:eastAsiaTheme="minorHAnsi" w:cs="Arial"/>
          <w:szCs w:val="20"/>
          <w:lang w:val="sl-SI"/>
        </w:rPr>
        <w:t xml:space="preserve">. </w:t>
      </w:r>
    </w:p>
    <w:p w:rsidR="003B2707" w:rsidRPr="005771BD" w:rsidRDefault="003B2707" w:rsidP="003B2707">
      <w:pPr>
        <w:spacing w:before="120" w:line="276" w:lineRule="auto"/>
        <w:jc w:val="both"/>
        <w:rPr>
          <w:rFonts w:eastAsiaTheme="minorHAnsi" w:cs="Arial"/>
          <w:szCs w:val="20"/>
          <w:lang w:val="sl-SI"/>
        </w:rPr>
      </w:pPr>
      <w:r w:rsidRPr="005771BD">
        <w:rPr>
          <w:rFonts w:cs="Arial"/>
          <w:szCs w:val="20"/>
          <w:lang w:val="sl-SI" w:eastAsia="sl-SI"/>
        </w:rPr>
        <w:t xml:space="preserve">Dolinar, M. in Bohanec, B. (2010). </w:t>
      </w:r>
      <w:r w:rsidRPr="005771BD">
        <w:rPr>
          <w:rFonts w:cs="Arial"/>
          <w:i/>
          <w:szCs w:val="20"/>
          <w:lang w:val="sl-SI" w:eastAsia="sl-SI"/>
        </w:rPr>
        <w:t>Poročilo o delu d</w:t>
      </w:r>
      <w:r w:rsidRPr="005771BD">
        <w:rPr>
          <w:rFonts w:eastAsiaTheme="minorHAnsi" w:cs="Arial"/>
          <w:i/>
          <w:szCs w:val="20"/>
          <w:lang w:val="sl-SI"/>
        </w:rPr>
        <w:t>elovne skupine za nove tehnike s področja genske tehnologije pri Generalnem direktoratu za okolje Evropske komisije</w:t>
      </w:r>
      <w:r w:rsidRPr="005771BD">
        <w:rPr>
          <w:rFonts w:eastAsiaTheme="minorHAnsi" w:cs="Arial"/>
          <w:szCs w:val="20"/>
          <w:lang w:val="sl-SI"/>
        </w:rPr>
        <w:t>.</w:t>
      </w:r>
    </w:p>
    <w:p w:rsidR="003B2707" w:rsidRPr="005771BD" w:rsidRDefault="003B2707" w:rsidP="003B2707">
      <w:pPr>
        <w:spacing w:before="120" w:line="276" w:lineRule="auto"/>
        <w:jc w:val="both"/>
        <w:rPr>
          <w:rFonts w:eastAsiaTheme="minorHAnsi" w:cs="Arial"/>
          <w:szCs w:val="20"/>
          <w:lang w:val="sl-SI"/>
        </w:rPr>
      </w:pPr>
      <w:r w:rsidRPr="005771BD">
        <w:rPr>
          <w:rFonts w:eastAsiaTheme="minorHAnsi" w:cs="Arial"/>
          <w:szCs w:val="20"/>
          <w:lang w:val="sl-SI"/>
        </w:rPr>
        <w:t xml:space="preserve">Evropska Komisija. Vprašanja in odgovori o politikah EU o pridelavi in uvozu GSO. Dostopno na: </w:t>
      </w:r>
      <w:hyperlink r:id="rId234" w:history="1">
        <w:r w:rsidRPr="005771BD">
          <w:rPr>
            <w:rFonts w:cs="Arial"/>
            <w:color w:val="5F5F5F" w:themeColor="hyperlink"/>
            <w:szCs w:val="20"/>
            <w:u w:val="single"/>
            <w:lang w:val="sl-SI" w:eastAsia="sl-SI"/>
          </w:rPr>
          <w:t>http://europa.eu/rapid/press-release_MEMO-13-952_sl.htm</w:t>
        </w:r>
      </w:hyperlink>
      <w:r w:rsidRPr="005771BD">
        <w:rPr>
          <w:rFonts w:cs="Arial"/>
          <w:color w:val="5F5F5F" w:themeColor="hyperlink"/>
          <w:szCs w:val="20"/>
          <w:u w:val="single"/>
          <w:lang w:val="sl-SI" w:eastAsia="sl-SI"/>
        </w:rPr>
        <w:t xml:space="preserve"> </w:t>
      </w:r>
    </w:p>
    <w:p w:rsidR="003B2707" w:rsidRPr="005771BD" w:rsidRDefault="003B2707" w:rsidP="003B2707">
      <w:pPr>
        <w:spacing w:before="120" w:line="276" w:lineRule="auto"/>
        <w:jc w:val="both"/>
        <w:rPr>
          <w:rFonts w:eastAsiaTheme="minorHAnsi" w:cs="Arial"/>
          <w:szCs w:val="20"/>
          <w:lang w:val="sl-SI"/>
        </w:rPr>
      </w:pPr>
      <w:r w:rsidRPr="005771BD">
        <w:rPr>
          <w:rFonts w:eastAsiaTheme="minorHAnsi" w:cs="Arial"/>
          <w:i/>
          <w:szCs w:val="20"/>
          <w:lang w:val="sl-SI"/>
        </w:rPr>
        <w:t>Končno poročilo: Analiziranje in testiranje odvzetih vzorcev, razvoj analitičnih in testnih metod ter druge naloge, povezane s kontrolo določanja gensko spremenjenih organizmov za leto 2015.</w:t>
      </w:r>
      <w:r w:rsidRPr="005771BD">
        <w:rPr>
          <w:rFonts w:eastAsiaTheme="minorHAnsi" w:cs="Arial"/>
          <w:szCs w:val="20"/>
          <w:lang w:val="sl-SI"/>
        </w:rPr>
        <w:t xml:space="preserve"> NIB, 2015.</w:t>
      </w:r>
    </w:p>
    <w:p w:rsidR="003B2707" w:rsidRPr="005771BD" w:rsidRDefault="003B2707" w:rsidP="003B2707">
      <w:pPr>
        <w:autoSpaceDE w:val="0"/>
        <w:autoSpaceDN w:val="0"/>
        <w:adjustRightInd w:val="0"/>
        <w:spacing w:before="120" w:line="276" w:lineRule="auto"/>
        <w:jc w:val="both"/>
        <w:rPr>
          <w:rFonts w:eastAsiaTheme="minorHAnsi" w:cs="Arial"/>
          <w:szCs w:val="20"/>
          <w:lang w:val="sl-SI"/>
        </w:rPr>
      </w:pPr>
      <w:r w:rsidRPr="005771BD">
        <w:rPr>
          <w:rFonts w:eastAsiaTheme="minorHAnsi" w:cs="Arial"/>
          <w:szCs w:val="20"/>
          <w:lang w:val="sl-SI"/>
        </w:rPr>
        <w:t xml:space="preserve">Guidance on the environmental risk assessment of genetically modified plants. EFSA Journal 2010;8(11):1879. [111 pp.]. doi:10.2903/j.efsa.2010.1879. </w:t>
      </w:r>
    </w:p>
    <w:p w:rsidR="003B2707" w:rsidRPr="005771BD" w:rsidRDefault="003B2707" w:rsidP="003B2707">
      <w:pPr>
        <w:autoSpaceDE w:val="0"/>
        <w:autoSpaceDN w:val="0"/>
        <w:adjustRightInd w:val="0"/>
        <w:spacing w:before="120" w:line="276" w:lineRule="auto"/>
        <w:jc w:val="both"/>
        <w:rPr>
          <w:rFonts w:eastAsiaTheme="minorHAnsi" w:cs="Arial"/>
          <w:i/>
          <w:szCs w:val="20"/>
          <w:lang w:val="sl-SI"/>
        </w:rPr>
      </w:pPr>
      <w:r w:rsidRPr="005771BD">
        <w:rPr>
          <w:rFonts w:eastAsia="FrutigerLTStd-Roman" w:cs="Arial"/>
          <w:szCs w:val="20"/>
          <w:lang w:val="sl-SI"/>
        </w:rPr>
        <w:t xml:space="preserve">The Netherlands Commission on Genetic Modification (COGEM), 2013. Synthetic Biology – Update 2013. </w:t>
      </w:r>
      <w:r w:rsidRPr="005771BD">
        <w:rPr>
          <w:rFonts w:eastAsia="FrutigerLTStd-Roman" w:cs="Arial"/>
          <w:i/>
          <w:szCs w:val="20"/>
          <w:lang w:val="sl-SI"/>
        </w:rPr>
        <w:t>Anticipating developments In synthetic biology. COGEM Topic Report CGM/130117-01</w:t>
      </w:r>
    </w:p>
    <w:p w:rsidR="003B2707" w:rsidRPr="005771BD" w:rsidRDefault="003B2707" w:rsidP="003B2707">
      <w:pPr>
        <w:autoSpaceDE w:val="0"/>
        <w:autoSpaceDN w:val="0"/>
        <w:adjustRightInd w:val="0"/>
        <w:spacing w:before="120" w:line="276" w:lineRule="auto"/>
        <w:jc w:val="both"/>
        <w:rPr>
          <w:rFonts w:eastAsiaTheme="minorHAnsi" w:cs="Arial"/>
          <w:szCs w:val="20"/>
          <w:lang w:val="sl-SI"/>
        </w:rPr>
      </w:pPr>
      <w:r w:rsidRPr="005771BD">
        <w:rPr>
          <w:rFonts w:eastAsiaTheme="minorHAnsi" w:cs="Arial"/>
          <w:szCs w:val="20"/>
          <w:lang w:val="sl-SI"/>
        </w:rPr>
        <w:t xml:space="preserve">Secretariat of the Convention on Biological Diversity. 2015. </w:t>
      </w:r>
      <w:r w:rsidRPr="005771BD">
        <w:rPr>
          <w:rFonts w:eastAsiaTheme="minorHAnsi" w:cs="Arial"/>
          <w:i/>
          <w:iCs/>
          <w:szCs w:val="20"/>
          <w:lang w:val="sl-SI"/>
        </w:rPr>
        <w:t>Synthetic biology</w:t>
      </w:r>
      <w:r w:rsidRPr="005771BD">
        <w:rPr>
          <w:rFonts w:eastAsiaTheme="minorHAnsi" w:cs="Arial"/>
          <w:szCs w:val="20"/>
          <w:lang w:val="sl-SI"/>
        </w:rPr>
        <w:t>. Montreal, Technical Series, No. 82, 118s.</w:t>
      </w:r>
    </w:p>
    <w:p w:rsidR="003B2707" w:rsidRPr="005771BD" w:rsidRDefault="003B2707" w:rsidP="003B2707">
      <w:pPr>
        <w:autoSpaceDE w:val="0"/>
        <w:autoSpaceDN w:val="0"/>
        <w:adjustRightInd w:val="0"/>
        <w:spacing w:before="120" w:line="276" w:lineRule="auto"/>
        <w:jc w:val="both"/>
        <w:rPr>
          <w:rFonts w:eastAsiaTheme="minorHAnsi" w:cs="Arial"/>
          <w:szCs w:val="20"/>
          <w:lang w:val="sl-SI"/>
        </w:rPr>
      </w:pPr>
      <w:r w:rsidRPr="005771BD">
        <w:rPr>
          <w:rFonts w:eastAsiaTheme="minorHAnsi" w:cs="Arial"/>
          <w:szCs w:val="20"/>
          <w:lang w:val="sl-SI"/>
        </w:rPr>
        <w:t xml:space="preserve">European Environment Agency (2006). </w:t>
      </w:r>
      <w:r w:rsidRPr="005771BD">
        <w:rPr>
          <w:rFonts w:eastAsiaTheme="minorHAnsi" w:cs="Arial"/>
          <w:bCs/>
          <w:i/>
          <w:szCs w:val="20"/>
          <w:lang w:val="sl-SI"/>
        </w:rPr>
        <w:t>Progress towards halting the loss of biodiversity by 2010</w:t>
      </w:r>
      <w:r w:rsidRPr="005771BD">
        <w:rPr>
          <w:rFonts w:eastAsiaTheme="minorHAnsi" w:cs="Arial"/>
          <w:bCs/>
          <w:szCs w:val="20"/>
          <w:lang w:val="sl-SI"/>
        </w:rPr>
        <w:t xml:space="preserve">, </w:t>
      </w:r>
      <w:r w:rsidRPr="005771BD">
        <w:rPr>
          <w:rFonts w:eastAsiaTheme="minorHAnsi" w:cs="Arial"/>
          <w:szCs w:val="20"/>
          <w:lang w:val="sl-SI"/>
        </w:rPr>
        <w:t>ISBN 92-9167-846-5, 100 s.</w:t>
      </w:r>
    </w:p>
    <w:p w:rsidR="003B2707" w:rsidRPr="005771BD" w:rsidRDefault="003B2707" w:rsidP="003B2707">
      <w:pPr>
        <w:spacing w:before="120" w:line="276" w:lineRule="auto"/>
        <w:jc w:val="both"/>
        <w:rPr>
          <w:rFonts w:eastAsiaTheme="minorHAnsi" w:cs="Arial"/>
          <w:szCs w:val="20"/>
          <w:lang w:val="sl-SI"/>
        </w:rPr>
      </w:pPr>
      <w:r w:rsidRPr="005771BD">
        <w:rPr>
          <w:rFonts w:eastAsiaTheme="minorHAnsi" w:cs="Arial"/>
          <w:szCs w:val="20"/>
          <w:lang w:val="sl-SI"/>
        </w:rPr>
        <w:t>Kemijski inštitut. Novice, dostopno na:</w:t>
      </w:r>
      <w:hyperlink r:id="rId235" w:history="1">
        <w:r w:rsidRPr="005771BD">
          <w:rPr>
            <w:rFonts w:eastAsiaTheme="minorHAnsi" w:cs="Arial"/>
            <w:color w:val="5F5F5F" w:themeColor="hyperlink"/>
            <w:szCs w:val="20"/>
            <w:u w:val="single"/>
            <w:lang w:val="sl-SI"/>
          </w:rPr>
          <w:t>http://www.ki.si/novice/</w:t>
        </w:r>
      </w:hyperlink>
      <w:r w:rsidRPr="005771BD">
        <w:rPr>
          <w:rFonts w:eastAsiaTheme="minorHAnsi" w:cs="Arial"/>
          <w:szCs w:val="20"/>
          <w:lang w:val="sl-SI"/>
        </w:rPr>
        <w:t xml:space="preserve"> </w:t>
      </w:r>
    </w:p>
    <w:p w:rsidR="003B2707" w:rsidRPr="005771BD" w:rsidRDefault="003B2707" w:rsidP="003B2707">
      <w:pPr>
        <w:spacing w:after="200" w:line="276" w:lineRule="auto"/>
        <w:rPr>
          <w:rFonts w:cs="Arial"/>
          <w:szCs w:val="20"/>
          <w:lang w:val="sl-SI" w:eastAsia="sl-SI"/>
        </w:rPr>
      </w:pPr>
    </w:p>
    <w:p w:rsidR="00993FB7" w:rsidRPr="00993FB7" w:rsidRDefault="003B2707" w:rsidP="006331C1">
      <w:pPr>
        <w:spacing w:after="360" w:line="276" w:lineRule="auto"/>
        <w:rPr>
          <w:rFonts w:eastAsia="Calibri" w:cs="Arial"/>
          <w:b/>
          <w:sz w:val="22"/>
          <w:szCs w:val="22"/>
          <w:lang w:val="sl-SI"/>
        </w:rPr>
      </w:pPr>
      <w:r>
        <w:rPr>
          <w:rFonts w:eastAsiaTheme="minorHAnsi" w:cs="Arial"/>
          <w:szCs w:val="20"/>
          <w:lang w:val="sl-SI"/>
        </w:rPr>
        <w:br w:type="column"/>
      </w:r>
      <w:r w:rsidR="00993FB7" w:rsidRPr="00993FB7">
        <w:rPr>
          <w:rFonts w:eastAsia="Calibri" w:cs="Arial"/>
          <w:b/>
          <w:sz w:val="22"/>
          <w:szCs w:val="22"/>
          <w:lang w:val="sl-SI"/>
        </w:rPr>
        <w:t>1</w:t>
      </w:r>
      <w:r w:rsidR="006331C1">
        <w:rPr>
          <w:rFonts w:eastAsia="Calibri" w:cs="Arial"/>
          <w:b/>
          <w:sz w:val="22"/>
          <w:szCs w:val="22"/>
          <w:lang w:val="sl-SI"/>
        </w:rPr>
        <w:t>4</w:t>
      </w:r>
      <w:r w:rsidR="00993FB7" w:rsidRPr="00993FB7">
        <w:rPr>
          <w:rFonts w:eastAsia="Calibri" w:cs="Arial"/>
          <w:b/>
          <w:sz w:val="22"/>
          <w:szCs w:val="22"/>
          <w:lang w:val="sl-SI"/>
        </w:rPr>
        <w:t xml:space="preserve"> NARAVNI POJAVI IN NESREČE</w:t>
      </w:r>
    </w:p>
    <w:p w:rsidR="003C1B05" w:rsidRPr="005771BD" w:rsidRDefault="003C1B05" w:rsidP="006331C1">
      <w:pPr>
        <w:spacing w:after="360" w:line="276" w:lineRule="auto"/>
        <w:rPr>
          <w:rFonts w:eastAsia="Calibri" w:cs="Arial"/>
          <w:b/>
          <w:szCs w:val="20"/>
          <w:u w:val="single"/>
          <w:lang w:val="sl-SI"/>
        </w:rPr>
      </w:pPr>
      <w:r w:rsidRPr="005771BD">
        <w:rPr>
          <w:rFonts w:eastAsia="Calibri" w:cs="Arial"/>
          <w:b/>
          <w:szCs w:val="20"/>
          <w:u w:val="single"/>
          <w:lang w:val="sl-SI"/>
        </w:rPr>
        <w:t>1</w:t>
      </w:r>
      <w:r w:rsidR="006331C1">
        <w:rPr>
          <w:rFonts w:eastAsia="Calibri" w:cs="Arial"/>
          <w:b/>
          <w:szCs w:val="20"/>
          <w:u w:val="single"/>
          <w:lang w:val="sl-SI"/>
        </w:rPr>
        <w:t>4</w:t>
      </w:r>
      <w:r w:rsidRPr="005771BD">
        <w:rPr>
          <w:rFonts w:eastAsia="Calibri" w:cs="Arial"/>
          <w:b/>
          <w:szCs w:val="20"/>
          <w:u w:val="single"/>
          <w:lang w:val="sl-SI"/>
        </w:rPr>
        <w:t xml:space="preserve">.1 Potresi  </w:t>
      </w:r>
    </w:p>
    <w:p w:rsidR="003C1B05" w:rsidRPr="005771BD" w:rsidRDefault="003C1B05" w:rsidP="003C1B05">
      <w:pPr>
        <w:spacing w:after="200" w:line="276" w:lineRule="auto"/>
        <w:rPr>
          <w:rFonts w:eastAsia="Calibri" w:cs="Arial"/>
          <w:b/>
          <w:szCs w:val="20"/>
          <w:lang w:val="sl-SI"/>
        </w:rPr>
      </w:pPr>
      <w:r w:rsidRPr="005771BD">
        <w:rPr>
          <w:rFonts w:eastAsia="Calibri" w:cs="Arial"/>
          <w:b/>
          <w:szCs w:val="20"/>
          <w:lang w:val="sl-SI"/>
        </w:rPr>
        <w:t>1</w:t>
      </w:r>
      <w:r w:rsidR="006331C1">
        <w:rPr>
          <w:rFonts w:eastAsia="Calibri" w:cs="Arial"/>
          <w:b/>
          <w:szCs w:val="20"/>
          <w:lang w:val="sl-SI"/>
        </w:rPr>
        <w:t>4</w:t>
      </w:r>
      <w:r w:rsidRPr="005771BD">
        <w:rPr>
          <w:rFonts w:eastAsia="Calibri" w:cs="Arial"/>
          <w:b/>
          <w:szCs w:val="20"/>
          <w:lang w:val="sl-SI"/>
        </w:rPr>
        <w:t>.1.1 Značilnosti potresov v Sloveniji</w:t>
      </w:r>
    </w:p>
    <w:p w:rsidR="003C1B05" w:rsidRPr="005771BD" w:rsidRDefault="003C1B05" w:rsidP="006331C1">
      <w:pPr>
        <w:spacing w:after="360" w:line="276" w:lineRule="auto"/>
        <w:jc w:val="both"/>
        <w:rPr>
          <w:rFonts w:cs="Arial"/>
          <w:szCs w:val="20"/>
          <w:lang w:val="sl-SI" w:eastAsia="sl-SI"/>
        </w:rPr>
      </w:pPr>
      <w:r w:rsidRPr="005771BD">
        <w:rPr>
          <w:rFonts w:cs="Arial"/>
          <w:szCs w:val="20"/>
          <w:lang w:val="sl-SI" w:eastAsia="sl-SI"/>
        </w:rPr>
        <w:t xml:space="preserve">Ozemlje Slovenije spada po številu in moči potresov med dejavnejša območja, saj </w:t>
      </w:r>
      <w:r>
        <w:rPr>
          <w:rFonts w:cs="Arial"/>
          <w:szCs w:val="20"/>
          <w:lang w:val="sl-SI" w:eastAsia="sl-SI"/>
        </w:rPr>
        <w:t>je</w:t>
      </w:r>
      <w:r w:rsidRPr="005771BD">
        <w:rPr>
          <w:rFonts w:cs="Arial"/>
          <w:szCs w:val="20"/>
          <w:lang w:val="sl-SI" w:eastAsia="sl-SI"/>
        </w:rPr>
        <w:t xml:space="preserve"> na stiku </w:t>
      </w:r>
      <w:r>
        <w:rPr>
          <w:rFonts w:cs="Arial"/>
          <w:szCs w:val="20"/>
          <w:lang w:val="sl-SI" w:eastAsia="sl-SI"/>
        </w:rPr>
        <w:t>e</w:t>
      </w:r>
      <w:r w:rsidRPr="005771BD">
        <w:rPr>
          <w:rFonts w:cs="Arial"/>
          <w:szCs w:val="20"/>
          <w:lang w:val="sl-SI" w:eastAsia="sl-SI"/>
        </w:rPr>
        <w:t xml:space="preserve">vrazijske in </w:t>
      </w:r>
      <w:r>
        <w:rPr>
          <w:rFonts w:cs="Arial"/>
          <w:szCs w:val="20"/>
          <w:lang w:val="sl-SI" w:eastAsia="sl-SI"/>
        </w:rPr>
        <w:t>j</w:t>
      </w:r>
      <w:r w:rsidRPr="005771BD">
        <w:rPr>
          <w:rFonts w:cs="Arial"/>
          <w:szCs w:val="20"/>
          <w:lang w:val="sl-SI" w:eastAsia="sl-SI"/>
        </w:rPr>
        <w:t xml:space="preserve">adranske tektonske plošče. Premikanja plošč povzročajo na ozemlju Slovenije napetosti v smeri sever-jug, ki se sproščajo v potresih ob prelomih severozahod-jugovzhod (dinarska smer) in severovzhod-jugozahod (prečnodinarska smer), ter ob narivnih strukturah, ki potekajo v smeri vzhod-zahod. Pas največje potresne nevarnosti z intenziteto VIII EMS-98 poteka po osrednjem delu Slovenije od severozahoda proti jugu in jugovzhodu države ter pokriva več kot polovico ozemlja. Na tem območju živi več kot polovica prebivalcev Slovenije. Z oddaljevanjem od tega pasu proti severovzhodu in jugozahodu se potresna nevarnost manjša. Pričakovani potresi ne presegajo magnitude 7,0, </w:t>
      </w:r>
      <w:r>
        <w:rPr>
          <w:rFonts w:cs="Arial"/>
          <w:szCs w:val="20"/>
          <w:lang w:val="sl-SI" w:eastAsia="sl-SI"/>
        </w:rPr>
        <w:t>vendar</w:t>
      </w:r>
      <w:r w:rsidRPr="005771BD">
        <w:rPr>
          <w:rFonts w:cs="Arial"/>
          <w:szCs w:val="20"/>
          <w:lang w:val="sl-SI" w:eastAsia="sl-SI"/>
        </w:rPr>
        <w:t xml:space="preserve"> imajo zaradi razmeroma plitvih žarišč lahko velike učinke.</w:t>
      </w:r>
    </w:p>
    <w:p w:rsidR="003C1B05" w:rsidRPr="005771BD" w:rsidRDefault="003C1B05" w:rsidP="003C1B05">
      <w:pPr>
        <w:spacing w:after="200" w:line="276" w:lineRule="auto"/>
        <w:rPr>
          <w:rFonts w:eastAsia="Calibri" w:cs="Arial"/>
          <w:b/>
          <w:szCs w:val="20"/>
          <w:lang w:val="sl-SI"/>
        </w:rPr>
      </w:pPr>
      <w:r w:rsidRPr="005771BD">
        <w:rPr>
          <w:rFonts w:eastAsia="Calibri" w:cs="Arial"/>
          <w:b/>
          <w:szCs w:val="20"/>
          <w:lang w:val="sl-SI"/>
        </w:rPr>
        <w:t>1</w:t>
      </w:r>
      <w:r w:rsidR="006331C1">
        <w:rPr>
          <w:rFonts w:eastAsia="Calibri" w:cs="Arial"/>
          <w:b/>
          <w:szCs w:val="20"/>
          <w:lang w:val="sl-SI"/>
        </w:rPr>
        <w:t>4</w:t>
      </w:r>
      <w:r w:rsidRPr="005771BD">
        <w:rPr>
          <w:rFonts w:eastAsia="Calibri" w:cs="Arial"/>
          <w:b/>
          <w:szCs w:val="20"/>
          <w:lang w:val="sl-SI"/>
        </w:rPr>
        <w:t>.1.2 Opis močnejših potresov v obdobju 2009</w:t>
      </w:r>
      <w:r>
        <w:rPr>
          <w:rFonts w:eastAsia="Calibri" w:cs="Arial"/>
          <w:b/>
          <w:szCs w:val="20"/>
          <w:lang w:val="sl-SI"/>
        </w:rPr>
        <w:t>–</w:t>
      </w:r>
      <w:r w:rsidRPr="005771BD">
        <w:rPr>
          <w:rFonts w:eastAsia="Calibri" w:cs="Arial"/>
          <w:b/>
          <w:szCs w:val="20"/>
          <w:lang w:val="sl-SI"/>
        </w:rPr>
        <w:t>2015</w:t>
      </w:r>
    </w:p>
    <w:p w:rsidR="003C1B05" w:rsidRPr="005771BD" w:rsidRDefault="003C1B05" w:rsidP="003C1B05">
      <w:pPr>
        <w:spacing w:after="200" w:line="276" w:lineRule="auto"/>
        <w:jc w:val="both"/>
        <w:rPr>
          <w:rFonts w:eastAsia="Calibri" w:cs="Arial"/>
          <w:szCs w:val="20"/>
          <w:lang w:val="sl-SI"/>
        </w:rPr>
      </w:pPr>
      <w:r w:rsidRPr="005771BD">
        <w:rPr>
          <w:rFonts w:eastAsia="Calibri" w:cs="Arial"/>
          <w:szCs w:val="20"/>
          <w:lang w:val="sl-SI"/>
        </w:rPr>
        <w:t>Učinke potresov ocenjujemo po evropski potresni lestvici EMS-98 (Grünthal, 1998). Potresi, ki povzročijo poškodbe objektov, imajo intenziteto VI EMS-98 in več, zanemarljive poškodbe pa lahko nasta</w:t>
      </w:r>
      <w:r>
        <w:rPr>
          <w:rFonts w:eastAsia="Calibri" w:cs="Arial"/>
          <w:szCs w:val="20"/>
          <w:lang w:val="sl-SI"/>
        </w:rPr>
        <w:t>nejo</w:t>
      </w:r>
      <w:r w:rsidRPr="005771BD">
        <w:rPr>
          <w:rFonts w:eastAsia="Calibri" w:cs="Arial"/>
          <w:szCs w:val="20"/>
          <w:lang w:val="sl-SI"/>
        </w:rPr>
        <w:t xml:space="preserve"> tudi pri stopnji V EMS-98. Navedeni so le potres</w:t>
      </w:r>
      <w:r>
        <w:rPr>
          <w:rFonts w:eastAsia="Calibri" w:cs="Arial"/>
          <w:szCs w:val="20"/>
          <w:lang w:val="sl-SI"/>
        </w:rPr>
        <w:t>i</w:t>
      </w:r>
      <w:r w:rsidRPr="005771BD">
        <w:rPr>
          <w:rFonts w:eastAsia="Calibri" w:cs="Arial"/>
          <w:szCs w:val="20"/>
          <w:lang w:val="sl-SI"/>
        </w:rPr>
        <w:t xml:space="preserve"> z intenziteto nad V EMS-98 (preglednica 1</w:t>
      </w:r>
      <w:r w:rsidR="00CB5442">
        <w:rPr>
          <w:rFonts w:eastAsia="Calibri" w:cs="Arial"/>
          <w:szCs w:val="20"/>
          <w:lang w:val="sl-SI"/>
        </w:rPr>
        <w:t>4</w:t>
      </w:r>
      <w:r w:rsidRPr="005771BD">
        <w:rPr>
          <w:rFonts w:eastAsia="Calibri" w:cs="Arial"/>
          <w:szCs w:val="20"/>
          <w:lang w:val="sl-SI"/>
        </w:rPr>
        <w:t>.1), podrobneje pa opisujemo dva potresa z največjimi učinki.</w:t>
      </w:r>
    </w:p>
    <w:p w:rsidR="003C1B05" w:rsidRPr="005771BD" w:rsidRDefault="003C1B05" w:rsidP="006331C1">
      <w:pPr>
        <w:spacing w:after="120" w:line="276" w:lineRule="auto"/>
        <w:jc w:val="both"/>
        <w:rPr>
          <w:rFonts w:eastAsia="Calibri" w:cs="Arial"/>
          <w:i/>
          <w:szCs w:val="20"/>
          <w:lang w:val="sl-SI"/>
        </w:rPr>
      </w:pPr>
      <w:r w:rsidRPr="005771BD">
        <w:rPr>
          <w:rFonts w:eastAsia="Calibri" w:cs="Arial"/>
          <w:i/>
          <w:szCs w:val="20"/>
          <w:lang w:val="sl-SI"/>
        </w:rPr>
        <w:t>Preglednica 1</w:t>
      </w:r>
      <w:r w:rsidR="006331C1">
        <w:rPr>
          <w:rFonts w:eastAsia="Calibri" w:cs="Arial"/>
          <w:i/>
          <w:szCs w:val="20"/>
          <w:lang w:val="sl-SI"/>
        </w:rPr>
        <w:t>4</w:t>
      </w:r>
      <w:r w:rsidRPr="005771BD">
        <w:rPr>
          <w:rFonts w:eastAsia="Calibri" w:cs="Arial"/>
          <w:i/>
          <w:szCs w:val="20"/>
          <w:lang w:val="sl-SI"/>
        </w:rPr>
        <w:t>.1: Potresi z intenziteto nad V EMS-98 v obdobju 2009</w:t>
      </w:r>
      <w:r>
        <w:rPr>
          <w:rFonts w:eastAsia="Calibri" w:cs="Arial"/>
          <w:i/>
          <w:szCs w:val="20"/>
          <w:lang w:val="sl-SI"/>
        </w:rPr>
        <w:t>–</w:t>
      </w:r>
      <w:r w:rsidRPr="005771BD">
        <w:rPr>
          <w:rFonts w:eastAsia="Calibri" w:cs="Arial"/>
          <w:i/>
          <w:szCs w:val="20"/>
          <w:lang w:val="sl-SI"/>
        </w:rPr>
        <w:t>2015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7"/>
        <w:gridCol w:w="1216"/>
        <w:gridCol w:w="1205"/>
        <w:gridCol w:w="717"/>
        <w:gridCol w:w="717"/>
        <w:gridCol w:w="1113"/>
        <w:gridCol w:w="2110"/>
      </w:tblGrid>
      <w:tr w:rsidR="003C1B05" w:rsidRPr="005771BD" w:rsidTr="003C1B05">
        <w:tc>
          <w:tcPr>
            <w:tcW w:w="0" w:type="auto"/>
            <w:shd w:val="clear" w:color="auto" w:fill="auto"/>
          </w:tcPr>
          <w:p w:rsidR="003C1B05" w:rsidRPr="005771BD" w:rsidRDefault="003C1B05" w:rsidP="003C1B05">
            <w:pPr>
              <w:spacing w:before="60" w:line="276" w:lineRule="auto"/>
              <w:jc w:val="center"/>
              <w:rPr>
                <w:rFonts w:eastAsia="Calibri" w:cs="Arial"/>
                <w:b/>
                <w:szCs w:val="20"/>
                <w:lang w:val="sl-SI"/>
              </w:rPr>
            </w:pPr>
            <w:r w:rsidRPr="005771BD">
              <w:rPr>
                <w:rFonts w:eastAsia="Calibri" w:cs="Arial"/>
                <w:b/>
                <w:szCs w:val="20"/>
                <w:lang w:val="sl-SI"/>
              </w:rPr>
              <w:t>Čas potresa (UTC)</w:t>
            </w:r>
          </w:p>
        </w:tc>
        <w:tc>
          <w:tcPr>
            <w:tcW w:w="0" w:type="auto"/>
            <w:shd w:val="clear" w:color="auto" w:fill="auto"/>
          </w:tcPr>
          <w:p w:rsidR="003C1B05" w:rsidRPr="005771BD" w:rsidRDefault="003C1B05" w:rsidP="003C1B05">
            <w:pPr>
              <w:spacing w:before="60" w:line="276" w:lineRule="auto"/>
              <w:jc w:val="center"/>
              <w:rPr>
                <w:rFonts w:eastAsia="Calibri" w:cs="Arial"/>
                <w:b/>
                <w:szCs w:val="20"/>
                <w:lang w:val="sl-SI"/>
              </w:rPr>
            </w:pPr>
            <w:r w:rsidRPr="005771BD">
              <w:rPr>
                <w:rFonts w:eastAsia="Calibri" w:cs="Arial"/>
                <w:b/>
                <w:szCs w:val="20"/>
                <w:lang w:val="sl-SI"/>
              </w:rPr>
              <w:t>Magnituda</w:t>
            </w:r>
          </w:p>
        </w:tc>
        <w:tc>
          <w:tcPr>
            <w:tcW w:w="0" w:type="auto"/>
            <w:shd w:val="clear" w:color="auto" w:fill="auto"/>
          </w:tcPr>
          <w:p w:rsidR="003C1B05" w:rsidRPr="005771BD" w:rsidRDefault="003C1B05" w:rsidP="003C1B05">
            <w:pPr>
              <w:spacing w:before="60" w:line="276" w:lineRule="auto"/>
              <w:jc w:val="center"/>
              <w:rPr>
                <w:rFonts w:eastAsia="Calibri" w:cs="Arial"/>
                <w:b/>
                <w:szCs w:val="20"/>
                <w:lang w:val="sl-SI"/>
              </w:rPr>
            </w:pPr>
            <w:r w:rsidRPr="005771BD">
              <w:rPr>
                <w:rFonts w:eastAsia="Calibri" w:cs="Arial"/>
                <w:b/>
                <w:szCs w:val="20"/>
                <w:lang w:val="sl-SI"/>
              </w:rPr>
              <w:t>Intenziteta</w:t>
            </w:r>
          </w:p>
          <w:p w:rsidR="003C1B05" w:rsidRPr="005771BD" w:rsidRDefault="003C1B05" w:rsidP="003C1B05">
            <w:pPr>
              <w:spacing w:before="60" w:line="276" w:lineRule="auto"/>
              <w:jc w:val="center"/>
              <w:rPr>
                <w:rFonts w:eastAsia="Calibri" w:cs="Arial"/>
                <w:b/>
                <w:szCs w:val="20"/>
                <w:lang w:val="sl-SI"/>
              </w:rPr>
            </w:pPr>
            <w:r w:rsidRPr="005771BD">
              <w:rPr>
                <w:rFonts w:eastAsia="Calibri" w:cs="Arial"/>
                <w:b/>
                <w:szCs w:val="20"/>
                <w:lang w:val="sl-SI"/>
              </w:rPr>
              <w:t>EMS-98</w:t>
            </w:r>
          </w:p>
        </w:tc>
        <w:tc>
          <w:tcPr>
            <w:tcW w:w="0" w:type="auto"/>
            <w:shd w:val="clear" w:color="auto" w:fill="auto"/>
          </w:tcPr>
          <w:p w:rsidR="003C1B05" w:rsidRPr="005771BD" w:rsidRDefault="003C1B05" w:rsidP="003C1B05">
            <w:pPr>
              <w:spacing w:before="60" w:line="276" w:lineRule="auto"/>
              <w:jc w:val="center"/>
              <w:rPr>
                <w:rFonts w:eastAsia="Calibri" w:cs="Arial"/>
                <w:b/>
                <w:szCs w:val="20"/>
                <w:lang w:val="sl-SI"/>
              </w:rPr>
            </w:pPr>
            <w:r w:rsidRPr="005771BD">
              <w:rPr>
                <w:rFonts w:eastAsia="Calibri" w:cs="Arial"/>
                <w:szCs w:val="20"/>
                <w:lang w:val="sl-SI"/>
              </w:rPr>
              <w:t>° N</w:t>
            </w:r>
          </w:p>
        </w:tc>
        <w:tc>
          <w:tcPr>
            <w:tcW w:w="0" w:type="auto"/>
            <w:shd w:val="clear" w:color="auto" w:fill="auto"/>
          </w:tcPr>
          <w:p w:rsidR="003C1B05" w:rsidRPr="005771BD" w:rsidRDefault="003C1B05" w:rsidP="003C1B05">
            <w:pPr>
              <w:spacing w:before="60" w:line="276" w:lineRule="auto"/>
              <w:jc w:val="center"/>
              <w:rPr>
                <w:rFonts w:eastAsia="Calibri" w:cs="Arial"/>
                <w:b/>
                <w:szCs w:val="20"/>
                <w:lang w:val="sl-SI"/>
              </w:rPr>
            </w:pPr>
            <w:r w:rsidRPr="005771BD">
              <w:rPr>
                <w:rFonts w:eastAsia="Calibri" w:cs="Arial"/>
                <w:szCs w:val="20"/>
                <w:lang w:val="sl-SI"/>
              </w:rPr>
              <w:t xml:space="preserve">° </w:t>
            </w:r>
            <w:r w:rsidRPr="005771BD">
              <w:rPr>
                <w:rFonts w:eastAsia="Calibri" w:cs="Arial"/>
                <w:b/>
                <w:szCs w:val="20"/>
                <w:lang w:val="sl-SI"/>
              </w:rPr>
              <w:t>E</w:t>
            </w:r>
          </w:p>
        </w:tc>
        <w:tc>
          <w:tcPr>
            <w:tcW w:w="1113" w:type="dxa"/>
            <w:shd w:val="clear" w:color="auto" w:fill="auto"/>
          </w:tcPr>
          <w:p w:rsidR="003C1B05" w:rsidRPr="005771BD" w:rsidRDefault="003C1B05" w:rsidP="003C1B05">
            <w:pPr>
              <w:spacing w:before="60" w:line="276" w:lineRule="auto"/>
              <w:jc w:val="center"/>
              <w:rPr>
                <w:rFonts w:eastAsia="Calibri" w:cs="Arial"/>
                <w:b/>
                <w:szCs w:val="20"/>
                <w:lang w:val="sl-SI"/>
              </w:rPr>
            </w:pPr>
            <w:r w:rsidRPr="005771BD">
              <w:rPr>
                <w:rFonts w:eastAsia="Calibri" w:cs="Arial"/>
                <w:b/>
                <w:szCs w:val="20"/>
                <w:lang w:val="sl-SI"/>
              </w:rPr>
              <w:t>globina (km)</w:t>
            </w:r>
          </w:p>
        </w:tc>
        <w:tc>
          <w:tcPr>
            <w:tcW w:w="2110" w:type="dxa"/>
            <w:shd w:val="clear" w:color="auto" w:fill="auto"/>
          </w:tcPr>
          <w:p w:rsidR="003C1B05" w:rsidRPr="005771BD" w:rsidRDefault="003C1B05" w:rsidP="003C1B05">
            <w:pPr>
              <w:spacing w:before="60" w:line="276" w:lineRule="auto"/>
              <w:jc w:val="center"/>
              <w:rPr>
                <w:rFonts w:eastAsia="Calibri" w:cs="Arial"/>
                <w:b/>
                <w:szCs w:val="20"/>
                <w:lang w:val="sl-SI"/>
              </w:rPr>
            </w:pPr>
            <w:r w:rsidRPr="005771BD">
              <w:rPr>
                <w:rFonts w:eastAsia="Calibri" w:cs="Arial"/>
                <w:b/>
                <w:szCs w:val="20"/>
                <w:lang w:val="sl-SI"/>
              </w:rPr>
              <w:t>nadžarišče</w:t>
            </w:r>
          </w:p>
        </w:tc>
      </w:tr>
      <w:tr w:rsidR="003C1B05" w:rsidRPr="005771BD" w:rsidTr="003C1B05">
        <w:tc>
          <w:tcPr>
            <w:tcW w:w="0" w:type="auto"/>
            <w:shd w:val="clear" w:color="auto" w:fill="auto"/>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16. 6. 2013 20:04</w:t>
            </w:r>
          </w:p>
        </w:tc>
        <w:tc>
          <w:tcPr>
            <w:tcW w:w="0" w:type="auto"/>
            <w:shd w:val="clear" w:color="auto" w:fill="auto"/>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3,6</w:t>
            </w:r>
          </w:p>
        </w:tc>
        <w:tc>
          <w:tcPr>
            <w:tcW w:w="0" w:type="auto"/>
            <w:shd w:val="clear" w:color="auto" w:fill="auto"/>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V-VI</w:t>
            </w:r>
          </w:p>
        </w:tc>
        <w:tc>
          <w:tcPr>
            <w:tcW w:w="0" w:type="auto"/>
            <w:shd w:val="clear" w:color="auto" w:fill="auto"/>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45,75</w:t>
            </w:r>
          </w:p>
        </w:tc>
        <w:tc>
          <w:tcPr>
            <w:tcW w:w="0" w:type="auto"/>
            <w:shd w:val="clear" w:color="auto" w:fill="auto"/>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14,86</w:t>
            </w:r>
          </w:p>
        </w:tc>
        <w:tc>
          <w:tcPr>
            <w:tcW w:w="1113" w:type="dxa"/>
            <w:shd w:val="clear" w:color="auto" w:fill="auto"/>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3</w:t>
            </w:r>
          </w:p>
        </w:tc>
        <w:tc>
          <w:tcPr>
            <w:tcW w:w="2110" w:type="dxa"/>
            <w:shd w:val="clear" w:color="auto" w:fill="auto"/>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8 km V od Ribnice</w:t>
            </w:r>
          </w:p>
        </w:tc>
      </w:tr>
      <w:tr w:rsidR="003C1B05" w:rsidRPr="005771BD" w:rsidTr="003C1B05">
        <w:tc>
          <w:tcPr>
            <w:tcW w:w="0" w:type="auto"/>
            <w:shd w:val="clear" w:color="auto" w:fill="auto"/>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13. 3. 2014 17:31</w:t>
            </w:r>
          </w:p>
        </w:tc>
        <w:tc>
          <w:tcPr>
            <w:tcW w:w="0" w:type="auto"/>
            <w:shd w:val="clear" w:color="auto" w:fill="auto"/>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3,7</w:t>
            </w:r>
          </w:p>
        </w:tc>
        <w:tc>
          <w:tcPr>
            <w:tcW w:w="0" w:type="auto"/>
            <w:shd w:val="clear" w:color="auto" w:fill="auto"/>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VI</w:t>
            </w:r>
          </w:p>
        </w:tc>
        <w:tc>
          <w:tcPr>
            <w:tcW w:w="0" w:type="auto"/>
            <w:shd w:val="clear" w:color="auto" w:fill="auto"/>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45,75</w:t>
            </w:r>
          </w:p>
        </w:tc>
        <w:tc>
          <w:tcPr>
            <w:tcW w:w="0" w:type="auto"/>
            <w:shd w:val="clear" w:color="auto" w:fill="auto"/>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14,85</w:t>
            </w:r>
          </w:p>
        </w:tc>
        <w:tc>
          <w:tcPr>
            <w:tcW w:w="1113" w:type="dxa"/>
            <w:shd w:val="clear" w:color="auto" w:fill="auto"/>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4</w:t>
            </w:r>
          </w:p>
        </w:tc>
        <w:tc>
          <w:tcPr>
            <w:tcW w:w="2110" w:type="dxa"/>
            <w:shd w:val="clear" w:color="auto" w:fill="auto"/>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9 km V od Ribnice</w:t>
            </w:r>
          </w:p>
        </w:tc>
      </w:tr>
      <w:tr w:rsidR="003C1B05" w:rsidRPr="005771BD" w:rsidTr="003C1B05">
        <w:tc>
          <w:tcPr>
            <w:tcW w:w="0" w:type="auto"/>
            <w:shd w:val="clear" w:color="auto" w:fill="auto"/>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22. 4. 2014 08:58</w:t>
            </w:r>
          </w:p>
        </w:tc>
        <w:tc>
          <w:tcPr>
            <w:tcW w:w="0" w:type="auto"/>
            <w:shd w:val="clear" w:color="auto" w:fill="auto"/>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4,3</w:t>
            </w:r>
          </w:p>
        </w:tc>
        <w:tc>
          <w:tcPr>
            <w:tcW w:w="0" w:type="auto"/>
            <w:shd w:val="clear" w:color="auto" w:fill="auto"/>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V-VI</w:t>
            </w:r>
          </w:p>
        </w:tc>
        <w:tc>
          <w:tcPr>
            <w:tcW w:w="0" w:type="auto"/>
            <w:shd w:val="clear" w:color="auto" w:fill="auto"/>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45,66</w:t>
            </w:r>
          </w:p>
        </w:tc>
        <w:tc>
          <w:tcPr>
            <w:tcW w:w="0" w:type="auto"/>
            <w:shd w:val="clear" w:color="auto" w:fill="auto"/>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14,25</w:t>
            </w:r>
          </w:p>
        </w:tc>
        <w:tc>
          <w:tcPr>
            <w:tcW w:w="1113" w:type="dxa"/>
            <w:shd w:val="clear" w:color="auto" w:fill="auto"/>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15</w:t>
            </w:r>
          </w:p>
        </w:tc>
        <w:tc>
          <w:tcPr>
            <w:tcW w:w="2110" w:type="dxa"/>
            <w:shd w:val="clear" w:color="auto" w:fill="auto"/>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4 km JV od Pivke</w:t>
            </w:r>
          </w:p>
        </w:tc>
      </w:tr>
      <w:tr w:rsidR="003C1B05" w:rsidRPr="005771BD" w:rsidTr="003C1B05">
        <w:tc>
          <w:tcPr>
            <w:tcW w:w="0" w:type="auto"/>
            <w:shd w:val="clear" w:color="auto" w:fill="auto"/>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1. 11. 2015 07:52</w:t>
            </w:r>
          </w:p>
        </w:tc>
        <w:tc>
          <w:tcPr>
            <w:tcW w:w="0" w:type="auto"/>
            <w:shd w:val="clear" w:color="auto" w:fill="auto"/>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4,2</w:t>
            </w:r>
          </w:p>
        </w:tc>
        <w:tc>
          <w:tcPr>
            <w:tcW w:w="0" w:type="auto"/>
            <w:shd w:val="clear" w:color="auto" w:fill="auto"/>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VII</w:t>
            </w:r>
          </w:p>
        </w:tc>
        <w:tc>
          <w:tcPr>
            <w:tcW w:w="0" w:type="auto"/>
            <w:shd w:val="clear" w:color="auto" w:fill="auto"/>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45,86</w:t>
            </w:r>
          </w:p>
        </w:tc>
        <w:tc>
          <w:tcPr>
            <w:tcW w:w="0" w:type="auto"/>
            <w:shd w:val="clear" w:color="auto" w:fill="auto"/>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15,54</w:t>
            </w:r>
          </w:p>
        </w:tc>
        <w:tc>
          <w:tcPr>
            <w:tcW w:w="1113" w:type="dxa"/>
            <w:shd w:val="clear" w:color="auto" w:fill="auto"/>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6</w:t>
            </w:r>
          </w:p>
        </w:tc>
        <w:tc>
          <w:tcPr>
            <w:tcW w:w="2110" w:type="dxa"/>
            <w:shd w:val="clear" w:color="auto" w:fill="auto"/>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7 km JZ od Brežic</w:t>
            </w:r>
          </w:p>
        </w:tc>
      </w:tr>
    </w:tbl>
    <w:p w:rsidR="003C1B05" w:rsidRPr="005771BD" w:rsidRDefault="003C1B05" w:rsidP="003C1B05">
      <w:pPr>
        <w:spacing w:after="200" w:line="276" w:lineRule="auto"/>
        <w:rPr>
          <w:rFonts w:eastAsia="Calibri" w:cs="Arial"/>
          <w:i/>
          <w:szCs w:val="20"/>
          <w:u w:val="single"/>
          <w:lang w:val="sl-SI"/>
        </w:rPr>
      </w:pPr>
    </w:p>
    <w:p w:rsidR="003C1B05" w:rsidRPr="005771BD" w:rsidRDefault="003C1B05" w:rsidP="003C1B05">
      <w:pPr>
        <w:spacing w:after="200" w:line="276" w:lineRule="auto"/>
        <w:rPr>
          <w:rFonts w:eastAsia="Calibri" w:cs="Arial"/>
          <w:i/>
          <w:szCs w:val="20"/>
          <w:u w:val="single"/>
          <w:lang w:val="sl-SI"/>
        </w:rPr>
      </w:pPr>
      <w:r w:rsidRPr="005771BD">
        <w:rPr>
          <w:rFonts w:eastAsia="Calibri" w:cs="Arial"/>
          <w:i/>
          <w:szCs w:val="20"/>
          <w:u w:val="single"/>
          <w:lang w:val="sl-SI"/>
        </w:rPr>
        <w:t>Potres na Gorjancih 1. 11. 2015 ob 7.52 UTC z magnitudo 4,2</w:t>
      </w:r>
    </w:p>
    <w:p w:rsidR="003C1B05" w:rsidRPr="005771BD" w:rsidRDefault="003C1B05" w:rsidP="003C1B05">
      <w:pPr>
        <w:spacing w:after="200" w:line="276" w:lineRule="auto"/>
        <w:jc w:val="both"/>
        <w:rPr>
          <w:rFonts w:eastAsia="Calibri" w:cs="Arial"/>
          <w:szCs w:val="20"/>
          <w:lang w:val="sl-SI"/>
        </w:rPr>
      </w:pPr>
      <w:r w:rsidRPr="005771BD">
        <w:rPr>
          <w:rFonts w:eastAsia="Calibri" w:cs="Arial"/>
          <w:szCs w:val="20"/>
          <w:lang w:val="sl-SI"/>
        </w:rPr>
        <w:t>V obdobju 2009</w:t>
      </w:r>
      <w:r>
        <w:rPr>
          <w:rFonts w:eastAsia="Calibri" w:cs="Arial"/>
          <w:szCs w:val="20"/>
          <w:lang w:val="sl-SI"/>
        </w:rPr>
        <w:t>–</w:t>
      </w:r>
      <w:r w:rsidRPr="005771BD">
        <w:rPr>
          <w:rFonts w:eastAsia="Calibri" w:cs="Arial"/>
          <w:szCs w:val="20"/>
          <w:lang w:val="sl-SI"/>
        </w:rPr>
        <w:t>2015 se je v Sloveniji zgodil najmočnejši potres 1. novembra 2015 ob 8.52 po lokalnem času na Gorjancih, približno 3 kilometre jugovzhodno od Cerkelj ob Krki (Šket Motnikar in sod., 2016a). Imel je magnitudo 4,2, žarišče potresa pa je bilo 6 kilometrov globoko. Potres so čutili skoraj po vsej Sloveniji. Na podlagi več kot 3700 poročil o učinkih potresa in terenskega ogleda nadžariščnega območja je bila ocenjena intenziteta po naseljih. Največja ocenjena intenziteta je bila VII EMS-98</w:t>
      </w:r>
      <w:r>
        <w:rPr>
          <w:rFonts w:eastAsia="Calibri" w:cs="Arial"/>
          <w:szCs w:val="20"/>
          <w:lang w:val="sl-SI"/>
        </w:rPr>
        <w:t>,</w:t>
      </w:r>
      <w:r w:rsidRPr="005771BD">
        <w:rPr>
          <w:rFonts w:eastAsia="Calibri" w:cs="Arial"/>
          <w:szCs w:val="20"/>
          <w:lang w:val="sl-SI"/>
        </w:rPr>
        <w:t xml:space="preserve"> in sicer na Stojanskem Vrhu in Vinjem Vrhu. V preglednici 1</w:t>
      </w:r>
      <w:r>
        <w:rPr>
          <w:rFonts w:eastAsia="Calibri" w:cs="Arial"/>
          <w:szCs w:val="20"/>
          <w:lang w:val="sl-SI"/>
        </w:rPr>
        <w:t>3</w:t>
      </w:r>
      <w:r w:rsidRPr="005771BD">
        <w:rPr>
          <w:rFonts w:eastAsia="Calibri" w:cs="Arial"/>
          <w:szCs w:val="20"/>
          <w:lang w:val="sl-SI"/>
        </w:rPr>
        <w:t>.2 so navedena naselja z učinki nad V EMS-98, karta učinkov po naseljih pa je prikazana na sliki 1</w:t>
      </w:r>
      <w:r w:rsidR="00CB5442">
        <w:rPr>
          <w:rFonts w:eastAsia="Calibri" w:cs="Arial"/>
          <w:szCs w:val="20"/>
          <w:lang w:val="sl-SI"/>
        </w:rPr>
        <w:t>4</w:t>
      </w:r>
      <w:r w:rsidRPr="005771BD">
        <w:rPr>
          <w:rFonts w:eastAsia="Calibri" w:cs="Arial"/>
          <w:szCs w:val="20"/>
          <w:lang w:val="sl-SI"/>
        </w:rPr>
        <w:t>.1. V bližini nadžarišča so na nekaterih stavbah nastale široke in globoke razpoke v nosilnih zidovih, s streh so zdrsnili strešniki, poškodovani so bili mnogi dimniki.</w:t>
      </w:r>
    </w:p>
    <w:p w:rsidR="008F2957" w:rsidRDefault="008F2957" w:rsidP="003C1B05">
      <w:pPr>
        <w:spacing w:before="60" w:after="200" w:line="276" w:lineRule="auto"/>
        <w:rPr>
          <w:rFonts w:eastAsia="Calibri" w:cs="Arial"/>
          <w:i/>
          <w:szCs w:val="20"/>
          <w:lang w:val="sl-SI"/>
        </w:rPr>
      </w:pPr>
    </w:p>
    <w:p w:rsidR="008F2957" w:rsidRDefault="008F2957" w:rsidP="003C1B05">
      <w:pPr>
        <w:spacing w:before="60" w:after="200" w:line="276" w:lineRule="auto"/>
        <w:rPr>
          <w:rFonts w:eastAsia="Calibri" w:cs="Arial"/>
          <w:i/>
          <w:szCs w:val="20"/>
          <w:lang w:val="sl-SI"/>
        </w:rPr>
      </w:pPr>
    </w:p>
    <w:p w:rsidR="008F2957" w:rsidRDefault="008F2957" w:rsidP="003C1B05">
      <w:pPr>
        <w:spacing w:before="60" w:after="200" w:line="276" w:lineRule="auto"/>
        <w:rPr>
          <w:rFonts w:eastAsia="Calibri" w:cs="Arial"/>
          <w:i/>
          <w:szCs w:val="20"/>
          <w:lang w:val="sl-SI"/>
        </w:rPr>
      </w:pPr>
    </w:p>
    <w:p w:rsidR="003C1B05" w:rsidRPr="005771BD" w:rsidRDefault="003C1B05" w:rsidP="003C1B05">
      <w:pPr>
        <w:spacing w:before="60" w:after="200" w:line="276" w:lineRule="auto"/>
        <w:rPr>
          <w:rFonts w:eastAsia="Calibri" w:cs="Arial"/>
          <w:i/>
          <w:szCs w:val="20"/>
          <w:lang w:val="sl-SI"/>
        </w:rPr>
      </w:pPr>
      <w:r w:rsidRPr="005771BD">
        <w:rPr>
          <w:rFonts w:eastAsia="Calibri" w:cs="Arial"/>
          <w:i/>
          <w:szCs w:val="20"/>
          <w:lang w:val="sl-SI"/>
        </w:rPr>
        <w:t>Preglednica 1</w:t>
      </w:r>
      <w:r w:rsidR="006331C1">
        <w:rPr>
          <w:rFonts w:eastAsia="Calibri" w:cs="Arial"/>
          <w:i/>
          <w:szCs w:val="20"/>
          <w:lang w:val="sl-SI"/>
        </w:rPr>
        <w:t>4</w:t>
      </w:r>
      <w:r w:rsidRPr="005771BD">
        <w:rPr>
          <w:rFonts w:eastAsia="Calibri" w:cs="Arial"/>
          <w:i/>
          <w:szCs w:val="20"/>
          <w:lang w:val="sl-SI"/>
        </w:rPr>
        <w:t>.2: Učinki potresa na Gorjancih, ki so presegli intenziteto V EMS-98</w:t>
      </w:r>
    </w:p>
    <w:tbl>
      <w:tblPr>
        <w:tblW w:w="7503" w:type="dxa"/>
        <w:tblInd w:w="80" w:type="dxa"/>
        <w:tblCellMar>
          <w:left w:w="70" w:type="dxa"/>
          <w:right w:w="70" w:type="dxa"/>
        </w:tblCellMar>
        <w:tblLook w:val="04A0" w:firstRow="1" w:lastRow="0" w:firstColumn="1" w:lastColumn="0" w:noHBand="0" w:noVBand="1"/>
      </w:tblPr>
      <w:tblGrid>
        <w:gridCol w:w="1691"/>
        <w:gridCol w:w="1051"/>
        <w:gridCol w:w="1016"/>
        <w:gridCol w:w="1860"/>
        <w:gridCol w:w="1885"/>
      </w:tblGrid>
      <w:tr w:rsidR="003C1B05" w:rsidRPr="005771BD" w:rsidTr="003C1B05">
        <w:trPr>
          <w:trHeight w:val="630"/>
        </w:trPr>
        <w:tc>
          <w:tcPr>
            <w:tcW w:w="1691" w:type="dxa"/>
            <w:tcBorders>
              <w:top w:val="single" w:sz="8" w:space="0" w:color="auto"/>
              <w:left w:val="single" w:sz="8" w:space="0" w:color="auto"/>
              <w:bottom w:val="single" w:sz="8" w:space="0" w:color="auto"/>
              <w:right w:val="single" w:sz="4" w:space="0" w:color="000000"/>
            </w:tcBorders>
            <w:shd w:val="clear" w:color="000000" w:fill="C0C0C0"/>
            <w:vAlign w:val="center"/>
          </w:tcPr>
          <w:p w:rsidR="003C1B05" w:rsidRPr="005771BD" w:rsidRDefault="003C1B05" w:rsidP="003C1B05">
            <w:pPr>
              <w:spacing w:before="60" w:line="276" w:lineRule="auto"/>
              <w:jc w:val="center"/>
              <w:rPr>
                <w:rFonts w:eastAsia="Calibri" w:cs="Arial"/>
                <w:color w:val="000000"/>
                <w:szCs w:val="20"/>
                <w:lang w:val="sl-SI"/>
              </w:rPr>
            </w:pPr>
            <w:r w:rsidRPr="005771BD">
              <w:rPr>
                <w:rFonts w:eastAsia="Calibri" w:cs="Arial"/>
                <w:szCs w:val="20"/>
                <w:lang w:val="sl-SI"/>
              </w:rPr>
              <w:t xml:space="preserve"> </w:t>
            </w:r>
            <w:r w:rsidRPr="005771BD">
              <w:rPr>
                <w:rFonts w:eastAsia="Calibri" w:cs="Arial"/>
                <w:color w:val="000000"/>
                <w:szCs w:val="20"/>
                <w:lang w:val="sl-SI"/>
              </w:rPr>
              <w:t>oddaljenost od nadžarišča v km</w:t>
            </w:r>
          </w:p>
        </w:tc>
        <w:tc>
          <w:tcPr>
            <w:tcW w:w="1051" w:type="dxa"/>
            <w:tcBorders>
              <w:top w:val="single" w:sz="8" w:space="0" w:color="auto"/>
              <w:left w:val="nil"/>
              <w:bottom w:val="single" w:sz="8" w:space="0" w:color="auto"/>
              <w:right w:val="single" w:sz="4" w:space="0" w:color="000000"/>
            </w:tcBorders>
            <w:shd w:val="clear" w:color="000000" w:fill="C0C0C0"/>
            <w:noWrap/>
            <w:vAlign w:val="center"/>
          </w:tcPr>
          <w:p w:rsidR="003C1B05" w:rsidRPr="005771BD" w:rsidRDefault="003C1B05" w:rsidP="003C1B05">
            <w:pPr>
              <w:spacing w:before="60" w:line="276" w:lineRule="auto"/>
              <w:jc w:val="center"/>
              <w:rPr>
                <w:rFonts w:eastAsia="Calibri" w:cs="Arial"/>
                <w:color w:val="000000"/>
                <w:szCs w:val="20"/>
                <w:lang w:val="sl-SI"/>
              </w:rPr>
            </w:pPr>
            <w:r w:rsidRPr="005771BD">
              <w:rPr>
                <w:rFonts w:eastAsia="Calibri" w:cs="Arial"/>
                <w:szCs w:val="20"/>
                <w:lang w:val="sl-SI"/>
              </w:rPr>
              <w:t>° N</w:t>
            </w:r>
          </w:p>
        </w:tc>
        <w:tc>
          <w:tcPr>
            <w:tcW w:w="1016" w:type="dxa"/>
            <w:tcBorders>
              <w:top w:val="single" w:sz="8" w:space="0" w:color="auto"/>
              <w:left w:val="nil"/>
              <w:bottom w:val="single" w:sz="8" w:space="0" w:color="auto"/>
              <w:right w:val="single" w:sz="4" w:space="0" w:color="000000"/>
            </w:tcBorders>
            <w:shd w:val="clear" w:color="000000" w:fill="C0C0C0"/>
            <w:noWrap/>
            <w:vAlign w:val="center"/>
          </w:tcPr>
          <w:p w:rsidR="003C1B05" w:rsidRPr="005771BD" w:rsidRDefault="003C1B05" w:rsidP="003C1B05">
            <w:pPr>
              <w:spacing w:before="60" w:line="276" w:lineRule="auto"/>
              <w:jc w:val="center"/>
              <w:rPr>
                <w:rFonts w:eastAsia="Calibri" w:cs="Arial"/>
                <w:color w:val="000000"/>
                <w:szCs w:val="20"/>
                <w:lang w:val="sl-SI"/>
              </w:rPr>
            </w:pPr>
            <w:r w:rsidRPr="005771BD">
              <w:rPr>
                <w:rFonts w:eastAsia="Calibri" w:cs="Arial"/>
                <w:szCs w:val="20"/>
                <w:lang w:val="sl-SI"/>
              </w:rPr>
              <w:t>° E</w:t>
            </w:r>
          </w:p>
        </w:tc>
        <w:tc>
          <w:tcPr>
            <w:tcW w:w="1860" w:type="dxa"/>
            <w:tcBorders>
              <w:top w:val="single" w:sz="8" w:space="0" w:color="auto"/>
              <w:left w:val="nil"/>
              <w:bottom w:val="single" w:sz="8" w:space="0" w:color="auto"/>
              <w:right w:val="single" w:sz="4" w:space="0" w:color="000000"/>
            </w:tcBorders>
            <w:shd w:val="clear" w:color="000000" w:fill="C0C0C0"/>
            <w:noWrap/>
            <w:vAlign w:val="center"/>
          </w:tcPr>
          <w:p w:rsidR="003C1B05" w:rsidRPr="005771BD" w:rsidRDefault="003C1B05" w:rsidP="003C1B05">
            <w:pPr>
              <w:spacing w:before="60" w:line="276" w:lineRule="auto"/>
              <w:jc w:val="center"/>
              <w:rPr>
                <w:rFonts w:eastAsia="Calibri" w:cs="Arial"/>
                <w:color w:val="000000"/>
                <w:szCs w:val="20"/>
                <w:lang w:val="sl-SI"/>
              </w:rPr>
            </w:pPr>
            <w:r w:rsidRPr="005771BD">
              <w:rPr>
                <w:rFonts w:eastAsia="Calibri" w:cs="Arial"/>
                <w:color w:val="000000"/>
                <w:szCs w:val="20"/>
                <w:lang w:val="sl-SI"/>
              </w:rPr>
              <w:t>kraj</w:t>
            </w:r>
          </w:p>
        </w:tc>
        <w:tc>
          <w:tcPr>
            <w:tcW w:w="1885" w:type="dxa"/>
            <w:tcBorders>
              <w:top w:val="single" w:sz="8" w:space="0" w:color="auto"/>
              <w:left w:val="nil"/>
              <w:bottom w:val="single" w:sz="8" w:space="0" w:color="auto"/>
              <w:right w:val="single" w:sz="8" w:space="0" w:color="auto"/>
            </w:tcBorders>
            <w:shd w:val="clear" w:color="000000" w:fill="BFBFBF"/>
            <w:noWrap/>
            <w:vAlign w:val="center"/>
          </w:tcPr>
          <w:p w:rsidR="003C1B05" w:rsidRPr="005771BD" w:rsidRDefault="003C1B05" w:rsidP="003C1B05">
            <w:pPr>
              <w:spacing w:before="60" w:line="276" w:lineRule="auto"/>
              <w:jc w:val="center"/>
              <w:rPr>
                <w:rFonts w:eastAsia="Calibri" w:cs="Arial"/>
                <w:b/>
                <w:bCs/>
                <w:szCs w:val="20"/>
                <w:lang w:val="sl-SI"/>
              </w:rPr>
            </w:pPr>
            <w:r w:rsidRPr="005771BD">
              <w:rPr>
                <w:rFonts w:eastAsia="Calibri" w:cs="Arial"/>
                <w:b/>
                <w:bCs/>
                <w:szCs w:val="20"/>
                <w:lang w:val="sl-SI"/>
              </w:rPr>
              <w:t>Intenziteta</w:t>
            </w:r>
          </w:p>
          <w:p w:rsidR="003C1B05" w:rsidRPr="005771BD" w:rsidRDefault="003C1B05" w:rsidP="003C1B05">
            <w:pPr>
              <w:spacing w:before="60" w:line="276" w:lineRule="auto"/>
              <w:jc w:val="center"/>
              <w:rPr>
                <w:rFonts w:eastAsia="Calibri" w:cs="Arial"/>
                <w:b/>
                <w:bCs/>
                <w:szCs w:val="20"/>
                <w:lang w:val="sl-SI"/>
              </w:rPr>
            </w:pPr>
            <w:r w:rsidRPr="005771BD">
              <w:rPr>
                <w:rFonts w:eastAsia="Calibri" w:cs="Arial"/>
                <w:b/>
                <w:bCs/>
                <w:szCs w:val="20"/>
                <w:lang w:val="sl-SI"/>
              </w:rPr>
              <w:t>EMS-98</w:t>
            </w:r>
          </w:p>
        </w:tc>
      </w:tr>
      <w:tr w:rsidR="003C1B05" w:rsidRPr="005771BD" w:rsidTr="003C1B05">
        <w:trPr>
          <w:trHeight w:val="300"/>
        </w:trPr>
        <w:tc>
          <w:tcPr>
            <w:tcW w:w="1691" w:type="dxa"/>
            <w:tcBorders>
              <w:top w:val="nil"/>
              <w:left w:val="single" w:sz="8" w:space="0" w:color="auto"/>
              <w:bottom w:val="single" w:sz="4" w:space="0" w:color="auto"/>
              <w:right w:val="single" w:sz="4" w:space="0" w:color="auto"/>
            </w:tcBorders>
            <w:shd w:val="clear" w:color="auto" w:fill="auto"/>
            <w:vAlign w:val="bottom"/>
          </w:tcPr>
          <w:p w:rsidR="003C1B05" w:rsidRPr="005771BD" w:rsidRDefault="003C1B05" w:rsidP="003C1B05">
            <w:pPr>
              <w:spacing w:before="60" w:line="276" w:lineRule="auto"/>
              <w:jc w:val="center"/>
              <w:rPr>
                <w:rFonts w:eastAsia="Calibri" w:cs="Arial"/>
                <w:color w:val="000000"/>
                <w:szCs w:val="20"/>
                <w:lang w:val="sl-SI"/>
              </w:rPr>
            </w:pPr>
            <w:r w:rsidRPr="005771BD">
              <w:rPr>
                <w:rFonts w:eastAsia="Calibri" w:cs="Arial"/>
                <w:color w:val="000000"/>
                <w:szCs w:val="20"/>
                <w:lang w:val="sl-SI"/>
              </w:rPr>
              <w:t>1</w:t>
            </w:r>
          </w:p>
        </w:tc>
        <w:tc>
          <w:tcPr>
            <w:tcW w:w="1051" w:type="dxa"/>
            <w:tcBorders>
              <w:top w:val="nil"/>
              <w:left w:val="nil"/>
              <w:bottom w:val="single" w:sz="4" w:space="0" w:color="auto"/>
              <w:right w:val="single" w:sz="4" w:space="0" w:color="auto"/>
            </w:tcBorders>
            <w:shd w:val="clear" w:color="auto" w:fill="auto"/>
            <w:vAlign w:val="center"/>
          </w:tcPr>
          <w:p w:rsidR="003C1B05" w:rsidRPr="005771BD" w:rsidRDefault="003C1B05" w:rsidP="003C1B05">
            <w:pPr>
              <w:spacing w:before="60" w:line="276" w:lineRule="auto"/>
              <w:jc w:val="center"/>
              <w:rPr>
                <w:rFonts w:eastAsia="Calibri" w:cs="Arial"/>
                <w:color w:val="000000"/>
                <w:szCs w:val="20"/>
                <w:lang w:val="sl-SI"/>
              </w:rPr>
            </w:pPr>
            <w:r w:rsidRPr="005771BD">
              <w:rPr>
                <w:rFonts w:eastAsia="Calibri" w:cs="Arial"/>
                <w:color w:val="000000"/>
                <w:szCs w:val="20"/>
                <w:lang w:val="sl-SI"/>
              </w:rPr>
              <w:t>45,862</w:t>
            </w:r>
          </w:p>
        </w:tc>
        <w:tc>
          <w:tcPr>
            <w:tcW w:w="1016" w:type="dxa"/>
            <w:tcBorders>
              <w:top w:val="nil"/>
              <w:left w:val="nil"/>
              <w:bottom w:val="single" w:sz="4" w:space="0" w:color="auto"/>
              <w:right w:val="single" w:sz="4" w:space="0" w:color="auto"/>
            </w:tcBorders>
            <w:shd w:val="clear" w:color="auto" w:fill="auto"/>
            <w:vAlign w:val="center"/>
          </w:tcPr>
          <w:p w:rsidR="003C1B05" w:rsidRPr="005771BD" w:rsidRDefault="003C1B05" w:rsidP="003C1B05">
            <w:pPr>
              <w:spacing w:before="60" w:line="276" w:lineRule="auto"/>
              <w:jc w:val="center"/>
              <w:rPr>
                <w:rFonts w:eastAsia="Calibri" w:cs="Arial"/>
                <w:color w:val="000000"/>
                <w:szCs w:val="20"/>
                <w:lang w:val="sl-SI"/>
              </w:rPr>
            </w:pPr>
            <w:r w:rsidRPr="005771BD">
              <w:rPr>
                <w:rFonts w:eastAsia="Calibri" w:cs="Arial"/>
                <w:color w:val="000000"/>
                <w:szCs w:val="20"/>
                <w:lang w:val="sl-SI"/>
              </w:rPr>
              <w:t>15,539</w:t>
            </w:r>
          </w:p>
        </w:tc>
        <w:tc>
          <w:tcPr>
            <w:tcW w:w="1860" w:type="dxa"/>
            <w:tcBorders>
              <w:top w:val="nil"/>
              <w:left w:val="nil"/>
              <w:bottom w:val="single" w:sz="4" w:space="0" w:color="auto"/>
              <w:right w:val="single" w:sz="4" w:space="0" w:color="auto"/>
            </w:tcBorders>
            <w:shd w:val="clear" w:color="auto" w:fill="auto"/>
            <w:vAlign w:val="center"/>
          </w:tcPr>
          <w:p w:rsidR="003C1B05" w:rsidRPr="005771BD" w:rsidRDefault="003C1B05" w:rsidP="003C1B05">
            <w:pPr>
              <w:spacing w:before="60" w:line="276" w:lineRule="auto"/>
              <w:rPr>
                <w:rFonts w:eastAsia="Calibri" w:cs="Arial"/>
                <w:color w:val="000000"/>
                <w:szCs w:val="20"/>
                <w:lang w:val="sl-SI"/>
              </w:rPr>
            </w:pPr>
            <w:r w:rsidRPr="005771BD">
              <w:rPr>
                <w:rFonts w:eastAsia="Calibri" w:cs="Arial"/>
                <w:color w:val="000000"/>
                <w:szCs w:val="20"/>
                <w:lang w:val="sl-SI"/>
              </w:rPr>
              <w:t>Stojanski Vrh</w:t>
            </w:r>
          </w:p>
        </w:tc>
        <w:tc>
          <w:tcPr>
            <w:tcW w:w="1885" w:type="dxa"/>
            <w:tcBorders>
              <w:top w:val="nil"/>
              <w:left w:val="nil"/>
              <w:bottom w:val="single" w:sz="4" w:space="0" w:color="auto"/>
              <w:right w:val="single" w:sz="8" w:space="0" w:color="auto"/>
            </w:tcBorders>
            <w:shd w:val="clear" w:color="auto" w:fill="auto"/>
            <w:noWrap/>
            <w:vAlign w:val="bottom"/>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VII</w:t>
            </w:r>
          </w:p>
        </w:tc>
      </w:tr>
      <w:tr w:rsidR="003C1B05" w:rsidRPr="005771BD" w:rsidTr="003C1B05">
        <w:trPr>
          <w:trHeight w:val="300"/>
        </w:trPr>
        <w:tc>
          <w:tcPr>
            <w:tcW w:w="1691" w:type="dxa"/>
            <w:tcBorders>
              <w:top w:val="nil"/>
              <w:left w:val="single" w:sz="8" w:space="0" w:color="auto"/>
              <w:bottom w:val="single" w:sz="4" w:space="0" w:color="auto"/>
              <w:right w:val="single" w:sz="4" w:space="0" w:color="auto"/>
            </w:tcBorders>
            <w:shd w:val="clear" w:color="auto" w:fill="auto"/>
            <w:vAlign w:val="bottom"/>
          </w:tcPr>
          <w:p w:rsidR="003C1B05" w:rsidRPr="005771BD" w:rsidRDefault="003C1B05" w:rsidP="003C1B05">
            <w:pPr>
              <w:spacing w:before="60" w:line="276" w:lineRule="auto"/>
              <w:jc w:val="center"/>
              <w:rPr>
                <w:rFonts w:eastAsia="Calibri" w:cs="Arial"/>
                <w:color w:val="000000"/>
                <w:szCs w:val="20"/>
                <w:lang w:val="sl-SI"/>
              </w:rPr>
            </w:pPr>
            <w:r w:rsidRPr="005771BD">
              <w:rPr>
                <w:rFonts w:eastAsia="Calibri" w:cs="Arial"/>
                <w:color w:val="000000"/>
                <w:szCs w:val="20"/>
                <w:lang w:val="sl-SI"/>
              </w:rPr>
              <w:t>1</w:t>
            </w:r>
          </w:p>
        </w:tc>
        <w:tc>
          <w:tcPr>
            <w:tcW w:w="1051" w:type="dxa"/>
            <w:tcBorders>
              <w:top w:val="nil"/>
              <w:left w:val="nil"/>
              <w:bottom w:val="single" w:sz="4" w:space="0" w:color="auto"/>
              <w:right w:val="single" w:sz="4" w:space="0" w:color="auto"/>
            </w:tcBorders>
            <w:shd w:val="clear" w:color="auto" w:fill="auto"/>
            <w:vAlign w:val="center"/>
          </w:tcPr>
          <w:p w:rsidR="003C1B05" w:rsidRPr="005771BD" w:rsidRDefault="003C1B05" w:rsidP="003C1B05">
            <w:pPr>
              <w:spacing w:before="60" w:line="276" w:lineRule="auto"/>
              <w:jc w:val="center"/>
              <w:rPr>
                <w:rFonts w:eastAsia="Calibri" w:cs="Arial"/>
                <w:color w:val="000000"/>
                <w:szCs w:val="20"/>
                <w:lang w:val="sl-SI"/>
              </w:rPr>
            </w:pPr>
            <w:r w:rsidRPr="005771BD">
              <w:rPr>
                <w:rFonts w:eastAsia="Calibri" w:cs="Arial"/>
                <w:color w:val="000000"/>
                <w:szCs w:val="20"/>
                <w:lang w:val="sl-SI"/>
              </w:rPr>
              <w:t>45,854</w:t>
            </w:r>
          </w:p>
        </w:tc>
        <w:tc>
          <w:tcPr>
            <w:tcW w:w="1016" w:type="dxa"/>
            <w:tcBorders>
              <w:top w:val="nil"/>
              <w:left w:val="nil"/>
              <w:bottom w:val="single" w:sz="4" w:space="0" w:color="auto"/>
              <w:right w:val="single" w:sz="4" w:space="0" w:color="auto"/>
            </w:tcBorders>
            <w:shd w:val="clear" w:color="auto" w:fill="auto"/>
            <w:vAlign w:val="center"/>
          </w:tcPr>
          <w:p w:rsidR="003C1B05" w:rsidRPr="005771BD" w:rsidRDefault="003C1B05" w:rsidP="003C1B05">
            <w:pPr>
              <w:spacing w:before="60" w:line="276" w:lineRule="auto"/>
              <w:jc w:val="center"/>
              <w:rPr>
                <w:rFonts w:eastAsia="Calibri" w:cs="Arial"/>
                <w:color w:val="000000"/>
                <w:szCs w:val="20"/>
                <w:lang w:val="sl-SI"/>
              </w:rPr>
            </w:pPr>
            <w:r w:rsidRPr="005771BD">
              <w:rPr>
                <w:rFonts w:eastAsia="Calibri" w:cs="Arial"/>
                <w:color w:val="000000"/>
                <w:szCs w:val="20"/>
                <w:lang w:val="sl-SI"/>
              </w:rPr>
              <w:t>15,526</w:t>
            </w:r>
          </w:p>
        </w:tc>
        <w:tc>
          <w:tcPr>
            <w:tcW w:w="1860" w:type="dxa"/>
            <w:tcBorders>
              <w:top w:val="nil"/>
              <w:left w:val="nil"/>
              <w:bottom w:val="single" w:sz="4" w:space="0" w:color="auto"/>
              <w:right w:val="single" w:sz="4" w:space="0" w:color="auto"/>
            </w:tcBorders>
            <w:shd w:val="clear" w:color="auto" w:fill="auto"/>
            <w:vAlign w:val="center"/>
          </w:tcPr>
          <w:p w:rsidR="003C1B05" w:rsidRPr="005771BD" w:rsidRDefault="003C1B05" w:rsidP="003C1B05">
            <w:pPr>
              <w:spacing w:before="60" w:line="276" w:lineRule="auto"/>
              <w:rPr>
                <w:rFonts w:eastAsia="Calibri" w:cs="Arial"/>
                <w:color w:val="000000"/>
                <w:szCs w:val="20"/>
                <w:lang w:val="sl-SI"/>
              </w:rPr>
            </w:pPr>
            <w:r w:rsidRPr="005771BD">
              <w:rPr>
                <w:rFonts w:eastAsia="Calibri" w:cs="Arial"/>
                <w:color w:val="000000"/>
                <w:szCs w:val="20"/>
                <w:lang w:val="sl-SI"/>
              </w:rPr>
              <w:t>Vinji Vrh</w:t>
            </w:r>
          </w:p>
        </w:tc>
        <w:tc>
          <w:tcPr>
            <w:tcW w:w="1885" w:type="dxa"/>
            <w:tcBorders>
              <w:top w:val="nil"/>
              <w:left w:val="nil"/>
              <w:bottom w:val="single" w:sz="4" w:space="0" w:color="auto"/>
              <w:right w:val="single" w:sz="8" w:space="0" w:color="auto"/>
            </w:tcBorders>
            <w:shd w:val="clear" w:color="auto" w:fill="auto"/>
            <w:noWrap/>
            <w:vAlign w:val="bottom"/>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VII</w:t>
            </w:r>
          </w:p>
        </w:tc>
      </w:tr>
      <w:tr w:rsidR="003C1B05" w:rsidRPr="005771BD" w:rsidTr="003C1B05">
        <w:trPr>
          <w:trHeight w:val="300"/>
        </w:trPr>
        <w:tc>
          <w:tcPr>
            <w:tcW w:w="1691" w:type="dxa"/>
            <w:tcBorders>
              <w:top w:val="nil"/>
              <w:left w:val="single" w:sz="8" w:space="0" w:color="auto"/>
              <w:bottom w:val="single" w:sz="4" w:space="0" w:color="auto"/>
              <w:right w:val="single" w:sz="4" w:space="0" w:color="auto"/>
            </w:tcBorders>
            <w:shd w:val="clear" w:color="auto" w:fill="auto"/>
            <w:noWrap/>
            <w:vAlign w:val="bottom"/>
          </w:tcPr>
          <w:p w:rsidR="003C1B05" w:rsidRPr="005771BD" w:rsidRDefault="003C1B05" w:rsidP="003C1B05">
            <w:pPr>
              <w:spacing w:before="60" w:line="276" w:lineRule="auto"/>
              <w:jc w:val="center"/>
              <w:rPr>
                <w:rFonts w:eastAsia="Calibri" w:cs="Arial"/>
                <w:color w:val="000000"/>
                <w:szCs w:val="20"/>
                <w:lang w:val="sl-SI"/>
              </w:rPr>
            </w:pPr>
            <w:r w:rsidRPr="005771BD">
              <w:rPr>
                <w:rFonts w:eastAsia="Calibri" w:cs="Arial"/>
                <w:color w:val="000000"/>
                <w:szCs w:val="20"/>
                <w:lang w:val="sl-SI"/>
              </w:rPr>
              <w:t>4</w:t>
            </w:r>
          </w:p>
        </w:tc>
        <w:tc>
          <w:tcPr>
            <w:tcW w:w="1051" w:type="dxa"/>
            <w:tcBorders>
              <w:top w:val="nil"/>
              <w:left w:val="nil"/>
              <w:bottom w:val="single" w:sz="4" w:space="0" w:color="auto"/>
              <w:right w:val="single" w:sz="4" w:space="0" w:color="auto"/>
            </w:tcBorders>
            <w:shd w:val="clear" w:color="auto" w:fill="auto"/>
            <w:noWrap/>
            <w:vAlign w:val="bottom"/>
          </w:tcPr>
          <w:p w:rsidR="003C1B05" w:rsidRPr="005771BD" w:rsidRDefault="003C1B05" w:rsidP="003C1B05">
            <w:pPr>
              <w:spacing w:before="60" w:line="276" w:lineRule="auto"/>
              <w:jc w:val="center"/>
              <w:rPr>
                <w:rFonts w:eastAsia="Calibri" w:cs="Arial"/>
                <w:color w:val="000000"/>
                <w:szCs w:val="20"/>
                <w:lang w:val="sl-SI"/>
              </w:rPr>
            </w:pPr>
            <w:r w:rsidRPr="005771BD">
              <w:rPr>
                <w:rFonts w:eastAsia="Calibri" w:cs="Arial"/>
                <w:color w:val="000000"/>
                <w:szCs w:val="20"/>
                <w:lang w:val="sl-SI"/>
              </w:rPr>
              <w:t>45,865</w:t>
            </w:r>
          </w:p>
        </w:tc>
        <w:tc>
          <w:tcPr>
            <w:tcW w:w="1016" w:type="dxa"/>
            <w:tcBorders>
              <w:top w:val="nil"/>
              <w:left w:val="nil"/>
              <w:bottom w:val="single" w:sz="4" w:space="0" w:color="auto"/>
              <w:right w:val="single" w:sz="4" w:space="0" w:color="auto"/>
            </w:tcBorders>
            <w:shd w:val="clear" w:color="auto" w:fill="auto"/>
            <w:noWrap/>
            <w:vAlign w:val="bottom"/>
          </w:tcPr>
          <w:p w:rsidR="003C1B05" w:rsidRPr="005771BD" w:rsidRDefault="003C1B05" w:rsidP="003C1B05">
            <w:pPr>
              <w:spacing w:before="60" w:line="276" w:lineRule="auto"/>
              <w:jc w:val="center"/>
              <w:rPr>
                <w:rFonts w:eastAsia="Calibri" w:cs="Arial"/>
                <w:color w:val="000000"/>
                <w:szCs w:val="20"/>
                <w:lang w:val="sl-SI"/>
              </w:rPr>
            </w:pPr>
            <w:r w:rsidRPr="005771BD">
              <w:rPr>
                <w:rFonts w:eastAsia="Calibri" w:cs="Arial"/>
                <w:color w:val="000000"/>
                <w:szCs w:val="20"/>
                <w:lang w:val="sl-SI"/>
              </w:rPr>
              <w:t>15,490</w:t>
            </w:r>
          </w:p>
        </w:tc>
        <w:tc>
          <w:tcPr>
            <w:tcW w:w="1860" w:type="dxa"/>
            <w:tcBorders>
              <w:top w:val="nil"/>
              <w:left w:val="nil"/>
              <w:bottom w:val="single" w:sz="4" w:space="0" w:color="auto"/>
              <w:right w:val="single" w:sz="4" w:space="0" w:color="auto"/>
            </w:tcBorders>
            <w:shd w:val="clear" w:color="auto" w:fill="auto"/>
            <w:noWrap/>
            <w:vAlign w:val="bottom"/>
          </w:tcPr>
          <w:p w:rsidR="003C1B05" w:rsidRPr="005771BD" w:rsidRDefault="003C1B05" w:rsidP="003C1B05">
            <w:pPr>
              <w:spacing w:before="60" w:line="276" w:lineRule="auto"/>
              <w:rPr>
                <w:rFonts w:eastAsia="Calibri" w:cs="Arial"/>
                <w:color w:val="000000"/>
                <w:szCs w:val="20"/>
                <w:lang w:val="sl-SI"/>
              </w:rPr>
            </w:pPr>
            <w:r w:rsidRPr="005771BD">
              <w:rPr>
                <w:rFonts w:eastAsia="Calibri" w:cs="Arial"/>
                <w:color w:val="000000"/>
                <w:szCs w:val="20"/>
                <w:lang w:val="sl-SI"/>
              </w:rPr>
              <w:t>Dobrava ob Krki</w:t>
            </w:r>
          </w:p>
        </w:tc>
        <w:tc>
          <w:tcPr>
            <w:tcW w:w="1885" w:type="dxa"/>
            <w:tcBorders>
              <w:top w:val="nil"/>
              <w:left w:val="nil"/>
              <w:bottom w:val="single" w:sz="4" w:space="0" w:color="auto"/>
              <w:right w:val="single" w:sz="8" w:space="0" w:color="auto"/>
            </w:tcBorders>
            <w:shd w:val="clear" w:color="auto" w:fill="auto"/>
            <w:noWrap/>
            <w:vAlign w:val="bottom"/>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VI-VII</w:t>
            </w:r>
          </w:p>
        </w:tc>
      </w:tr>
      <w:tr w:rsidR="003C1B05" w:rsidRPr="005771BD" w:rsidTr="003C1B05">
        <w:trPr>
          <w:trHeight w:val="300"/>
        </w:trPr>
        <w:tc>
          <w:tcPr>
            <w:tcW w:w="1691" w:type="dxa"/>
            <w:tcBorders>
              <w:top w:val="nil"/>
              <w:left w:val="single" w:sz="8" w:space="0" w:color="auto"/>
              <w:bottom w:val="single" w:sz="4" w:space="0" w:color="auto"/>
              <w:right w:val="single" w:sz="4" w:space="0" w:color="auto"/>
            </w:tcBorders>
            <w:shd w:val="clear" w:color="auto" w:fill="auto"/>
            <w:noWrap/>
            <w:vAlign w:val="bottom"/>
          </w:tcPr>
          <w:p w:rsidR="003C1B05" w:rsidRPr="005771BD" w:rsidRDefault="003C1B05" w:rsidP="003C1B05">
            <w:pPr>
              <w:spacing w:before="60" w:line="276" w:lineRule="auto"/>
              <w:jc w:val="center"/>
              <w:rPr>
                <w:rFonts w:eastAsia="Calibri" w:cs="Arial"/>
                <w:color w:val="000000"/>
                <w:szCs w:val="20"/>
                <w:lang w:val="sl-SI"/>
              </w:rPr>
            </w:pPr>
            <w:r w:rsidRPr="005771BD">
              <w:rPr>
                <w:rFonts w:eastAsia="Calibri" w:cs="Arial"/>
                <w:color w:val="000000"/>
                <w:szCs w:val="20"/>
                <w:lang w:val="sl-SI"/>
              </w:rPr>
              <w:t>2</w:t>
            </w:r>
          </w:p>
        </w:tc>
        <w:tc>
          <w:tcPr>
            <w:tcW w:w="1051" w:type="dxa"/>
            <w:tcBorders>
              <w:top w:val="nil"/>
              <w:left w:val="nil"/>
              <w:bottom w:val="single" w:sz="4" w:space="0" w:color="auto"/>
              <w:right w:val="single" w:sz="4" w:space="0" w:color="auto"/>
            </w:tcBorders>
            <w:shd w:val="clear" w:color="auto" w:fill="auto"/>
            <w:noWrap/>
            <w:vAlign w:val="bottom"/>
          </w:tcPr>
          <w:p w:rsidR="003C1B05" w:rsidRPr="005771BD" w:rsidRDefault="003C1B05" w:rsidP="003C1B05">
            <w:pPr>
              <w:spacing w:before="60" w:line="276" w:lineRule="auto"/>
              <w:jc w:val="center"/>
              <w:rPr>
                <w:rFonts w:eastAsia="Calibri" w:cs="Arial"/>
                <w:color w:val="000000"/>
                <w:szCs w:val="20"/>
                <w:lang w:val="sl-SI"/>
              </w:rPr>
            </w:pPr>
            <w:r w:rsidRPr="005771BD">
              <w:rPr>
                <w:rFonts w:eastAsia="Calibri" w:cs="Arial"/>
                <w:color w:val="000000"/>
                <w:szCs w:val="20"/>
                <w:lang w:val="sl-SI"/>
              </w:rPr>
              <w:t>45,868</w:t>
            </w:r>
          </w:p>
        </w:tc>
        <w:tc>
          <w:tcPr>
            <w:tcW w:w="1016" w:type="dxa"/>
            <w:tcBorders>
              <w:top w:val="nil"/>
              <w:left w:val="nil"/>
              <w:bottom w:val="single" w:sz="4" w:space="0" w:color="auto"/>
              <w:right w:val="single" w:sz="4" w:space="0" w:color="auto"/>
            </w:tcBorders>
            <w:shd w:val="clear" w:color="auto" w:fill="auto"/>
            <w:noWrap/>
            <w:vAlign w:val="bottom"/>
          </w:tcPr>
          <w:p w:rsidR="003C1B05" w:rsidRPr="005771BD" w:rsidRDefault="003C1B05" w:rsidP="003C1B05">
            <w:pPr>
              <w:spacing w:before="60" w:line="276" w:lineRule="auto"/>
              <w:jc w:val="center"/>
              <w:rPr>
                <w:rFonts w:eastAsia="Calibri" w:cs="Arial"/>
                <w:color w:val="000000"/>
                <w:szCs w:val="20"/>
                <w:lang w:val="sl-SI"/>
              </w:rPr>
            </w:pPr>
            <w:r w:rsidRPr="005771BD">
              <w:rPr>
                <w:rFonts w:eastAsia="Calibri" w:cs="Arial"/>
                <w:color w:val="000000"/>
                <w:szCs w:val="20"/>
                <w:lang w:val="sl-SI"/>
              </w:rPr>
              <w:t>15,520</w:t>
            </w:r>
          </w:p>
        </w:tc>
        <w:tc>
          <w:tcPr>
            <w:tcW w:w="1860" w:type="dxa"/>
            <w:tcBorders>
              <w:top w:val="nil"/>
              <w:left w:val="nil"/>
              <w:bottom w:val="single" w:sz="4" w:space="0" w:color="auto"/>
              <w:right w:val="single" w:sz="4" w:space="0" w:color="auto"/>
            </w:tcBorders>
            <w:shd w:val="clear" w:color="auto" w:fill="auto"/>
            <w:noWrap/>
            <w:vAlign w:val="bottom"/>
          </w:tcPr>
          <w:p w:rsidR="003C1B05" w:rsidRPr="005771BD" w:rsidRDefault="003C1B05" w:rsidP="003C1B05">
            <w:pPr>
              <w:spacing w:before="60" w:line="276" w:lineRule="auto"/>
              <w:rPr>
                <w:rFonts w:eastAsia="Calibri" w:cs="Arial"/>
                <w:color w:val="000000"/>
                <w:szCs w:val="20"/>
                <w:lang w:val="sl-SI"/>
              </w:rPr>
            </w:pPr>
            <w:r w:rsidRPr="005771BD">
              <w:rPr>
                <w:rFonts w:eastAsia="Calibri" w:cs="Arial"/>
                <w:color w:val="000000"/>
                <w:szCs w:val="20"/>
                <w:lang w:val="sl-SI"/>
              </w:rPr>
              <w:t>Bušeča vas</w:t>
            </w:r>
          </w:p>
        </w:tc>
        <w:tc>
          <w:tcPr>
            <w:tcW w:w="1885" w:type="dxa"/>
            <w:tcBorders>
              <w:top w:val="nil"/>
              <w:left w:val="nil"/>
              <w:bottom w:val="single" w:sz="4" w:space="0" w:color="auto"/>
              <w:right w:val="single" w:sz="8" w:space="0" w:color="auto"/>
            </w:tcBorders>
            <w:shd w:val="clear" w:color="auto" w:fill="auto"/>
            <w:noWrap/>
            <w:vAlign w:val="bottom"/>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VI</w:t>
            </w:r>
          </w:p>
        </w:tc>
      </w:tr>
      <w:tr w:rsidR="003C1B05" w:rsidRPr="005771BD" w:rsidTr="003C1B05">
        <w:trPr>
          <w:trHeight w:val="300"/>
        </w:trPr>
        <w:tc>
          <w:tcPr>
            <w:tcW w:w="1691" w:type="dxa"/>
            <w:tcBorders>
              <w:top w:val="nil"/>
              <w:left w:val="single" w:sz="8" w:space="0" w:color="auto"/>
              <w:bottom w:val="single" w:sz="4" w:space="0" w:color="auto"/>
              <w:right w:val="single" w:sz="4" w:space="0" w:color="auto"/>
            </w:tcBorders>
            <w:shd w:val="clear" w:color="auto" w:fill="auto"/>
            <w:noWrap/>
            <w:vAlign w:val="bottom"/>
          </w:tcPr>
          <w:p w:rsidR="003C1B05" w:rsidRPr="005771BD" w:rsidRDefault="003C1B05" w:rsidP="003C1B05">
            <w:pPr>
              <w:spacing w:before="60" w:line="276" w:lineRule="auto"/>
              <w:jc w:val="center"/>
              <w:rPr>
                <w:rFonts w:eastAsia="Calibri" w:cs="Arial"/>
                <w:color w:val="000000"/>
                <w:szCs w:val="20"/>
                <w:lang w:val="sl-SI"/>
              </w:rPr>
            </w:pPr>
            <w:r w:rsidRPr="005771BD">
              <w:rPr>
                <w:rFonts w:eastAsia="Calibri" w:cs="Arial"/>
                <w:color w:val="000000"/>
                <w:szCs w:val="20"/>
                <w:lang w:val="sl-SI"/>
              </w:rPr>
              <w:t>5</w:t>
            </w:r>
          </w:p>
        </w:tc>
        <w:tc>
          <w:tcPr>
            <w:tcW w:w="1051" w:type="dxa"/>
            <w:tcBorders>
              <w:top w:val="nil"/>
              <w:left w:val="nil"/>
              <w:bottom w:val="single" w:sz="4" w:space="0" w:color="auto"/>
              <w:right w:val="single" w:sz="4" w:space="0" w:color="auto"/>
            </w:tcBorders>
            <w:shd w:val="clear" w:color="auto" w:fill="auto"/>
            <w:noWrap/>
            <w:vAlign w:val="bottom"/>
          </w:tcPr>
          <w:p w:rsidR="003C1B05" w:rsidRPr="005771BD" w:rsidRDefault="003C1B05" w:rsidP="003C1B05">
            <w:pPr>
              <w:spacing w:before="60" w:line="276" w:lineRule="auto"/>
              <w:jc w:val="center"/>
              <w:rPr>
                <w:rFonts w:eastAsia="Calibri" w:cs="Arial"/>
                <w:color w:val="000000"/>
                <w:szCs w:val="20"/>
                <w:lang w:val="sl-SI"/>
              </w:rPr>
            </w:pPr>
            <w:r w:rsidRPr="005771BD">
              <w:rPr>
                <w:rFonts w:eastAsia="Calibri" w:cs="Arial"/>
                <w:color w:val="000000"/>
                <w:szCs w:val="20"/>
                <w:lang w:val="sl-SI"/>
              </w:rPr>
              <w:t>45,895</w:t>
            </w:r>
          </w:p>
        </w:tc>
        <w:tc>
          <w:tcPr>
            <w:tcW w:w="1016" w:type="dxa"/>
            <w:tcBorders>
              <w:top w:val="nil"/>
              <w:left w:val="nil"/>
              <w:bottom w:val="single" w:sz="4" w:space="0" w:color="auto"/>
              <w:right w:val="single" w:sz="4" w:space="0" w:color="auto"/>
            </w:tcBorders>
            <w:shd w:val="clear" w:color="auto" w:fill="auto"/>
            <w:noWrap/>
            <w:vAlign w:val="bottom"/>
          </w:tcPr>
          <w:p w:rsidR="003C1B05" w:rsidRPr="005771BD" w:rsidRDefault="003C1B05" w:rsidP="003C1B05">
            <w:pPr>
              <w:spacing w:before="60" w:line="276" w:lineRule="auto"/>
              <w:jc w:val="center"/>
              <w:rPr>
                <w:rFonts w:eastAsia="Calibri" w:cs="Arial"/>
                <w:color w:val="000000"/>
                <w:szCs w:val="20"/>
                <w:lang w:val="sl-SI"/>
              </w:rPr>
            </w:pPr>
            <w:r w:rsidRPr="005771BD">
              <w:rPr>
                <w:rFonts w:eastAsia="Calibri" w:cs="Arial"/>
                <w:color w:val="000000"/>
                <w:szCs w:val="20"/>
                <w:lang w:val="sl-SI"/>
              </w:rPr>
              <w:t>15,497</w:t>
            </w:r>
          </w:p>
        </w:tc>
        <w:tc>
          <w:tcPr>
            <w:tcW w:w="1860" w:type="dxa"/>
            <w:tcBorders>
              <w:top w:val="nil"/>
              <w:left w:val="nil"/>
              <w:bottom w:val="single" w:sz="4" w:space="0" w:color="auto"/>
              <w:right w:val="single" w:sz="4" w:space="0" w:color="auto"/>
            </w:tcBorders>
            <w:shd w:val="clear" w:color="auto" w:fill="auto"/>
            <w:noWrap/>
            <w:vAlign w:val="bottom"/>
          </w:tcPr>
          <w:p w:rsidR="003C1B05" w:rsidRPr="005771BD" w:rsidRDefault="003C1B05" w:rsidP="003C1B05">
            <w:pPr>
              <w:spacing w:before="60" w:line="276" w:lineRule="auto"/>
              <w:rPr>
                <w:rFonts w:eastAsia="Calibri" w:cs="Arial"/>
                <w:color w:val="000000"/>
                <w:szCs w:val="20"/>
                <w:lang w:val="sl-SI"/>
              </w:rPr>
            </w:pPr>
            <w:r w:rsidRPr="005771BD">
              <w:rPr>
                <w:rFonts w:eastAsia="Calibri" w:cs="Arial"/>
                <w:color w:val="000000"/>
                <w:szCs w:val="20"/>
                <w:lang w:val="sl-SI"/>
              </w:rPr>
              <w:t>Hrastje pri Cerkljah</w:t>
            </w:r>
          </w:p>
        </w:tc>
        <w:tc>
          <w:tcPr>
            <w:tcW w:w="1885" w:type="dxa"/>
            <w:tcBorders>
              <w:top w:val="nil"/>
              <w:left w:val="nil"/>
              <w:bottom w:val="single" w:sz="4" w:space="0" w:color="auto"/>
              <w:right w:val="single" w:sz="8" w:space="0" w:color="auto"/>
            </w:tcBorders>
            <w:shd w:val="clear" w:color="auto" w:fill="auto"/>
            <w:noWrap/>
            <w:vAlign w:val="bottom"/>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VI</w:t>
            </w:r>
          </w:p>
        </w:tc>
      </w:tr>
      <w:tr w:rsidR="003C1B05" w:rsidRPr="005771BD" w:rsidTr="003C1B05">
        <w:trPr>
          <w:trHeight w:val="300"/>
        </w:trPr>
        <w:tc>
          <w:tcPr>
            <w:tcW w:w="1691" w:type="dxa"/>
            <w:tcBorders>
              <w:top w:val="nil"/>
              <w:left w:val="single" w:sz="8" w:space="0" w:color="auto"/>
              <w:bottom w:val="single" w:sz="4" w:space="0" w:color="auto"/>
              <w:right w:val="single" w:sz="4" w:space="0" w:color="auto"/>
            </w:tcBorders>
            <w:shd w:val="clear" w:color="auto" w:fill="auto"/>
            <w:noWrap/>
            <w:vAlign w:val="bottom"/>
          </w:tcPr>
          <w:p w:rsidR="003C1B05" w:rsidRPr="005771BD" w:rsidRDefault="003C1B05" w:rsidP="003C1B05">
            <w:pPr>
              <w:spacing w:before="60" w:line="276" w:lineRule="auto"/>
              <w:jc w:val="center"/>
              <w:rPr>
                <w:rFonts w:eastAsia="Calibri" w:cs="Arial"/>
                <w:color w:val="000000"/>
                <w:szCs w:val="20"/>
                <w:lang w:val="sl-SI"/>
              </w:rPr>
            </w:pPr>
            <w:r w:rsidRPr="005771BD">
              <w:rPr>
                <w:rFonts w:eastAsia="Calibri" w:cs="Arial"/>
                <w:color w:val="000000"/>
                <w:szCs w:val="20"/>
                <w:lang w:val="sl-SI"/>
              </w:rPr>
              <w:t>3</w:t>
            </w:r>
          </w:p>
        </w:tc>
        <w:tc>
          <w:tcPr>
            <w:tcW w:w="1051" w:type="dxa"/>
            <w:tcBorders>
              <w:top w:val="nil"/>
              <w:left w:val="nil"/>
              <w:bottom w:val="single" w:sz="4" w:space="0" w:color="auto"/>
              <w:right w:val="single" w:sz="4" w:space="0" w:color="auto"/>
            </w:tcBorders>
            <w:shd w:val="clear" w:color="auto" w:fill="auto"/>
            <w:noWrap/>
            <w:vAlign w:val="bottom"/>
          </w:tcPr>
          <w:p w:rsidR="003C1B05" w:rsidRPr="005771BD" w:rsidRDefault="003C1B05" w:rsidP="003C1B05">
            <w:pPr>
              <w:spacing w:before="60" w:line="276" w:lineRule="auto"/>
              <w:jc w:val="center"/>
              <w:rPr>
                <w:rFonts w:eastAsia="Calibri" w:cs="Arial"/>
                <w:color w:val="000000"/>
                <w:szCs w:val="20"/>
                <w:lang w:val="sl-SI"/>
              </w:rPr>
            </w:pPr>
            <w:r w:rsidRPr="005771BD">
              <w:rPr>
                <w:rFonts w:eastAsia="Calibri" w:cs="Arial"/>
                <w:color w:val="000000"/>
                <w:szCs w:val="20"/>
                <w:lang w:val="sl-SI"/>
              </w:rPr>
              <w:t>45,863</w:t>
            </w:r>
          </w:p>
        </w:tc>
        <w:tc>
          <w:tcPr>
            <w:tcW w:w="1016" w:type="dxa"/>
            <w:tcBorders>
              <w:top w:val="nil"/>
              <w:left w:val="nil"/>
              <w:bottom w:val="single" w:sz="4" w:space="0" w:color="auto"/>
              <w:right w:val="single" w:sz="4" w:space="0" w:color="auto"/>
            </w:tcBorders>
            <w:shd w:val="clear" w:color="auto" w:fill="auto"/>
            <w:noWrap/>
            <w:vAlign w:val="bottom"/>
          </w:tcPr>
          <w:p w:rsidR="003C1B05" w:rsidRPr="005771BD" w:rsidRDefault="003C1B05" w:rsidP="003C1B05">
            <w:pPr>
              <w:spacing w:before="60" w:line="276" w:lineRule="auto"/>
              <w:jc w:val="center"/>
              <w:rPr>
                <w:rFonts w:eastAsia="Calibri" w:cs="Arial"/>
                <w:color w:val="000000"/>
                <w:szCs w:val="20"/>
                <w:lang w:val="sl-SI"/>
              </w:rPr>
            </w:pPr>
            <w:r w:rsidRPr="005771BD">
              <w:rPr>
                <w:rFonts w:eastAsia="Calibri" w:cs="Arial"/>
                <w:color w:val="000000"/>
                <w:szCs w:val="20"/>
                <w:lang w:val="sl-SI"/>
              </w:rPr>
              <w:t>15,574</w:t>
            </w:r>
          </w:p>
        </w:tc>
        <w:tc>
          <w:tcPr>
            <w:tcW w:w="1860" w:type="dxa"/>
            <w:tcBorders>
              <w:top w:val="nil"/>
              <w:left w:val="nil"/>
              <w:bottom w:val="single" w:sz="4" w:space="0" w:color="auto"/>
              <w:right w:val="single" w:sz="4" w:space="0" w:color="auto"/>
            </w:tcBorders>
            <w:shd w:val="clear" w:color="auto" w:fill="auto"/>
            <w:noWrap/>
            <w:vAlign w:val="bottom"/>
          </w:tcPr>
          <w:p w:rsidR="003C1B05" w:rsidRPr="005771BD" w:rsidRDefault="003C1B05" w:rsidP="003C1B05">
            <w:pPr>
              <w:spacing w:before="60" w:line="276" w:lineRule="auto"/>
              <w:rPr>
                <w:rFonts w:eastAsia="Calibri" w:cs="Arial"/>
                <w:color w:val="000000"/>
                <w:szCs w:val="20"/>
                <w:lang w:val="sl-SI"/>
              </w:rPr>
            </w:pPr>
            <w:r w:rsidRPr="005771BD">
              <w:rPr>
                <w:rFonts w:eastAsia="Calibri" w:cs="Arial"/>
                <w:color w:val="000000"/>
                <w:szCs w:val="20"/>
                <w:lang w:val="sl-SI"/>
              </w:rPr>
              <w:t>Globočice</w:t>
            </w:r>
          </w:p>
        </w:tc>
        <w:tc>
          <w:tcPr>
            <w:tcW w:w="1885" w:type="dxa"/>
            <w:tcBorders>
              <w:top w:val="nil"/>
              <w:left w:val="nil"/>
              <w:bottom w:val="single" w:sz="4" w:space="0" w:color="auto"/>
              <w:right w:val="single" w:sz="8" w:space="0" w:color="auto"/>
            </w:tcBorders>
            <w:shd w:val="clear" w:color="auto" w:fill="auto"/>
            <w:noWrap/>
            <w:vAlign w:val="bottom"/>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V-VI</w:t>
            </w:r>
          </w:p>
        </w:tc>
      </w:tr>
      <w:tr w:rsidR="003C1B05" w:rsidRPr="005771BD" w:rsidTr="003C1B05">
        <w:trPr>
          <w:trHeight w:val="300"/>
        </w:trPr>
        <w:tc>
          <w:tcPr>
            <w:tcW w:w="1691" w:type="dxa"/>
            <w:tcBorders>
              <w:top w:val="nil"/>
              <w:left w:val="single" w:sz="8" w:space="0" w:color="auto"/>
              <w:bottom w:val="single" w:sz="4" w:space="0" w:color="auto"/>
              <w:right w:val="single" w:sz="4" w:space="0" w:color="auto"/>
            </w:tcBorders>
            <w:shd w:val="clear" w:color="auto" w:fill="auto"/>
            <w:vAlign w:val="bottom"/>
          </w:tcPr>
          <w:p w:rsidR="003C1B05" w:rsidRPr="005771BD" w:rsidRDefault="003C1B05" w:rsidP="003C1B05">
            <w:pPr>
              <w:spacing w:before="60" w:line="276" w:lineRule="auto"/>
              <w:jc w:val="center"/>
              <w:rPr>
                <w:rFonts w:eastAsia="Calibri" w:cs="Arial"/>
                <w:color w:val="000000"/>
                <w:szCs w:val="20"/>
                <w:lang w:val="sl-SI"/>
              </w:rPr>
            </w:pPr>
            <w:r w:rsidRPr="005771BD">
              <w:rPr>
                <w:rFonts w:eastAsia="Calibri" w:cs="Arial"/>
                <w:color w:val="000000"/>
                <w:szCs w:val="20"/>
                <w:lang w:val="sl-SI"/>
              </w:rPr>
              <w:t>5</w:t>
            </w:r>
          </w:p>
        </w:tc>
        <w:tc>
          <w:tcPr>
            <w:tcW w:w="1051" w:type="dxa"/>
            <w:tcBorders>
              <w:top w:val="nil"/>
              <w:left w:val="nil"/>
              <w:bottom w:val="single" w:sz="4" w:space="0" w:color="auto"/>
              <w:right w:val="single" w:sz="4" w:space="0" w:color="auto"/>
            </w:tcBorders>
            <w:shd w:val="clear" w:color="auto" w:fill="auto"/>
            <w:vAlign w:val="bottom"/>
          </w:tcPr>
          <w:p w:rsidR="003C1B05" w:rsidRPr="005771BD" w:rsidRDefault="003C1B05" w:rsidP="003C1B05">
            <w:pPr>
              <w:spacing w:before="60" w:line="276" w:lineRule="auto"/>
              <w:jc w:val="center"/>
              <w:rPr>
                <w:rFonts w:eastAsia="Calibri" w:cs="Arial"/>
                <w:color w:val="000000"/>
                <w:szCs w:val="20"/>
                <w:lang w:val="sl-SI"/>
              </w:rPr>
            </w:pPr>
            <w:r w:rsidRPr="005771BD">
              <w:rPr>
                <w:rFonts w:eastAsia="Calibri" w:cs="Arial"/>
                <w:color w:val="000000"/>
                <w:szCs w:val="20"/>
                <w:lang w:val="sl-SI"/>
              </w:rPr>
              <w:t>45,896</w:t>
            </w:r>
          </w:p>
        </w:tc>
        <w:tc>
          <w:tcPr>
            <w:tcW w:w="1016" w:type="dxa"/>
            <w:tcBorders>
              <w:top w:val="nil"/>
              <w:left w:val="nil"/>
              <w:bottom w:val="single" w:sz="4" w:space="0" w:color="auto"/>
              <w:right w:val="single" w:sz="4" w:space="0" w:color="auto"/>
            </w:tcBorders>
            <w:shd w:val="clear" w:color="auto" w:fill="auto"/>
            <w:vAlign w:val="bottom"/>
          </w:tcPr>
          <w:p w:rsidR="003C1B05" w:rsidRPr="005771BD" w:rsidRDefault="003C1B05" w:rsidP="003C1B05">
            <w:pPr>
              <w:spacing w:before="60" w:line="276" w:lineRule="auto"/>
              <w:jc w:val="center"/>
              <w:rPr>
                <w:rFonts w:eastAsia="Calibri" w:cs="Arial"/>
                <w:color w:val="000000"/>
                <w:szCs w:val="20"/>
                <w:lang w:val="sl-SI"/>
              </w:rPr>
            </w:pPr>
            <w:r w:rsidRPr="005771BD">
              <w:rPr>
                <w:rFonts w:eastAsia="Calibri" w:cs="Arial"/>
                <w:color w:val="000000"/>
                <w:szCs w:val="20"/>
                <w:lang w:val="sl-SI"/>
              </w:rPr>
              <w:t>15,572</w:t>
            </w:r>
          </w:p>
        </w:tc>
        <w:tc>
          <w:tcPr>
            <w:tcW w:w="1860" w:type="dxa"/>
            <w:tcBorders>
              <w:top w:val="nil"/>
              <w:left w:val="nil"/>
              <w:bottom w:val="single" w:sz="4" w:space="0" w:color="auto"/>
              <w:right w:val="single" w:sz="4" w:space="0" w:color="auto"/>
            </w:tcBorders>
            <w:shd w:val="clear" w:color="auto" w:fill="auto"/>
            <w:vAlign w:val="bottom"/>
          </w:tcPr>
          <w:p w:rsidR="003C1B05" w:rsidRPr="005771BD" w:rsidRDefault="003C1B05" w:rsidP="003C1B05">
            <w:pPr>
              <w:spacing w:before="60" w:line="276" w:lineRule="auto"/>
              <w:rPr>
                <w:rFonts w:eastAsia="Calibri" w:cs="Arial"/>
                <w:color w:val="000000"/>
                <w:szCs w:val="20"/>
                <w:lang w:val="sl-SI"/>
              </w:rPr>
            </w:pPr>
            <w:r w:rsidRPr="005771BD">
              <w:rPr>
                <w:rFonts w:eastAsia="Calibri" w:cs="Arial"/>
                <w:color w:val="000000"/>
                <w:szCs w:val="20"/>
                <w:lang w:val="sl-SI"/>
              </w:rPr>
              <w:t>Krška vas</w:t>
            </w:r>
          </w:p>
        </w:tc>
        <w:tc>
          <w:tcPr>
            <w:tcW w:w="1885" w:type="dxa"/>
            <w:tcBorders>
              <w:top w:val="nil"/>
              <w:left w:val="nil"/>
              <w:bottom w:val="single" w:sz="4" w:space="0" w:color="auto"/>
              <w:right w:val="single" w:sz="8" w:space="0" w:color="auto"/>
            </w:tcBorders>
            <w:shd w:val="clear" w:color="auto" w:fill="auto"/>
            <w:noWrap/>
            <w:vAlign w:val="bottom"/>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V-VI</w:t>
            </w:r>
          </w:p>
        </w:tc>
      </w:tr>
      <w:tr w:rsidR="003C1B05" w:rsidRPr="005771BD" w:rsidTr="003C1B05">
        <w:trPr>
          <w:trHeight w:val="300"/>
        </w:trPr>
        <w:tc>
          <w:tcPr>
            <w:tcW w:w="1691" w:type="dxa"/>
            <w:tcBorders>
              <w:top w:val="nil"/>
              <w:left w:val="single" w:sz="8" w:space="0" w:color="auto"/>
              <w:bottom w:val="single" w:sz="4" w:space="0" w:color="auto"/>
              <w:right w:val="single" w:sz="4" w:space="0" w:color="auto"/>
            </w:tcBorders>
            <w:shd w:val="clear" w:color="auto" w:fill="auto"/>
            <w:noWrap/>
            <w:vAlign w:val="bottom"/>
          </w:tcPr>
          <w:p w:rsidR="003C1B05" w:rsidRPr="005771BD" w:rsidRDefault="003C1B05" w:rsidP="003C1B05">
            <w:pPr>
              <w:spacing w:before="60" w:line="276" w:lineRule="auto"/>
              <w:jc w:val="center"/>
              <w:rPr>
                <w:rFonts w:eastAsia="Calibri" w:cs="Arial"/>
                <w:color w:val="000000"/>
                <w:szCs w:val="20"/>
                <w:lang w:val="sl-SI"/>
              </w:rPr>
            </w:pPr>
            <w:r w:rsidRPr="005771BD">
              <w:rPr>
                <w:rFonts w:eastAsia="Calibri" w:cs="Arial"/>
                <w:color w:val="000000"/>
                <w:szCs w:val="20"/>
                <w:lang w:val="sl-SI"/>
              </w:rPr>
              <w:t>3</w:t>
            </w:r>
          </w:p>
        </w:tc>
        <w:tc>
          <w:tcPr>
            <w:tcW w:w="1051" w:type="dxa"/>
            <w:tcBorders>
              <w:top w:val="nil"/>
              <w:left w:val="nil"/>
              <w:bottom w:val="single" w:sz="4" w:space="0" w:color="auto"/>
              <w:right w:val="single" w:sz="4" w:space="0" w:color="auto"/>
            </w:tcBorders>
            <w:shd w:val="clear" w:color="auto" w:fill="auto"/>
            <w:noWrap/>
            <w:vAlign w:val="bottom"/>
          </w:tcPr>
          <w:p w:rsidR="003C1B05" w:rsidRPr="005771BD" w:rsidRDefault="003C1B05" w:rsidP="003C1B05">
            <w:pPr>
              <w:spacing w:before="60" w:line="276" w:lineRule="auto"/>
              <w:jc w:val="center"/>
              <w:rPr>
                <w:rFonts w:eastAsia="Calibri" w:cs="Arial"/>
                <w:color w:val="000000"/>
                <w:szCs w:val="20"/>
                <w:lang w:val="sl-SI"/>
              </w:rPr>
            </w:pPr>
            <w:r w:rsidRPr="005771BD">
              <w:rPr>
                <w:rFonts w:eastAsia="Calibri" w:cs="Arial"/>
                <w:color w:val="000000"/>
                <w:szCs w:val="20"/>
                <w:lang w:val="sl-SI"/>
              </w:rPr>
              <w:t>45,884</w:t>
            </w:r>
          </w:p>
        </w:tc>
        <w:tc>
          <w:tcPr>
            <w:tcW w:w="1016" w:type="dxa"/>
            <w:tcBorders>
              <w:top w:val="nil"/>
              <w:left w:val="nil"/>
              <w:bottom w:val="single" w:sz="4" w:space="0" w:color="auto"/>
              <w:right w:val="single" w:sz="4" w:space="0" w:color="auto"/>
            </w:tcBorders>
            <w:shd w:val="clear" w:color="auto" w:fill="auto"/>
            <w:noWrap/>
            <w:vAlign w:val="bottom"/>
          </w:tcPr>
          <w:p w:rsidR="003C1B05" w:rsidRPr="005771BD" w:rsidRDefault="003C1B05" w:rsidP="003C1B05">
            <w:pPr>
              <w:spacing w:before="60" w:line="276" w:lineRule="auto"/>
              <w:jc w:val="center"/>
              <w:rPr>
                <w:rFonts w:eastAsia="Calibri" w:cs="Arial"/>
                <w:color w:val="000000"/>
                <w:szCs w:val="20"/>
                <w:lang w:val="sl-SI"/>
              </w:rPr>
            </w:pPr>
            <w:r w:rsidRPr="005771BD">
              <w:rPr>
                <w:rFonts w:eastAsia="Calibri" w:cs="Arial"/>
                <w:color w:val="000000"/>
                <w:szCs w:val="20"/>
                <w:lang w:val="sl-SI"/>
              </w:rPr>
              <w:t>15,520</w:t>
            </w:r>
          </w:p>
        </w:tc>
        <w:tc>
          <w:tcPr>
            <w:tcW w:w="1860" w:type="dxa"/>
            <w:tcBorders>
              <w:top w:val="nil"/>
              <w:left w:val="nil"/>
              <w:bottom w:val="single" w:sz="4" w:space="0" w:color="auto"/>
              <w:right w:val="single" w:sz="4" w:space="0" w:color="auto"/>
            </w:tcBorders>
            <w:shd w:val="clear" w:color="auto" w:fill="auto"/>
            <w:noWrap/>
            <w:vAlign w:val="bottom"/>
          </w:tcPr>
          <w:p w:rsidR="003C1B05" w:rsidRPr="005771BD" w:rsidRDefault="003C1B05" w:rsidP="003C1B05">
            <w:pPr>
              <w:spacing w:before="60" w:line="276" w:lineRule="auto"/>
              <w:rPr>
                <w:rFonts w:eastAsia="Calibri" w:cs="Arial"/>
                <w:color w:val="000000"/>
                <w:szCs w:val="20"/>
                <w:lang w:val="sl-SI"/>
              </w:rPr>
            </w:pPr>
            <w:r w:rsidRPr="005771BD">
              <w:rPr>
                <w:rFonts w:eastAsia="Calibri" w:cs="Arial"/>
                <w:color w:val="000000"/>
                <w:szCs w:val="20"/>
                <w:lang w:val="sl-SI"/>
              </w:rPr>
              <w:t>Cerklje ob Krki</w:t>
            </w:r>
          </w:p>
        </w:tc>
        <w:tc>
          <w:tcPr>
            <w:tcW w:w="1885" w:type="dxa"/>
            <w:tcBorders>
              <w:top w:val="nil"/>
              <w:left w:val="nil"/>
              <w:bottom w:val="single" w:sz="4" w:space="0" w:color="auto"/>
              <w:right w:val="single" w:sz="8" w:space="0" w:color="auto"/>
            </w:tcBorders>
            <w:shd w:val="clear" w:color="auto" w:fill="auto"/>
            <w:noWrap/>
            <w:vAlign w:val="bottom"/>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V-VI</w:t>
            </w:r>
          </w:p>
        </w:tc>
      </w:tr>
      <w:tr w:rsidR="003C1B05" w:rsidRPr="005771BD" w:rsidTr="003C1B05">
        <w:trPr>
          <w:trHeight w:val="300"/>
        </w:trPr>
        <w:tc>
          <w:tcPr>
            <w:tcW w:w="1691" w:type="dxa"/>
            <w:tcBorders>
              <w:top w:val="nil"/>
              <w:left w:val="single" w:sz="8" w:space="0" w:color="auto"/>
              <w:bottom w:val="single" w:sz="4" w:space="0" w:color="auto"/>
              <w:right w:val="single" w:sz="4" w:space="0" w:color="auto"/>
            </w:tcBorders>
            <w:shd w:val="clear" w:color="auto" w:fill="auto"/>
            <w:vAlign w:val="bottom"/>
          </w:tcPr>
          <w:p w:rsidR="003C1B05" w:rsidRPr="005771BD" w:rsidRDefault="003C1B05" w:rsidP="003C1B05">
            <w:pPr>
              <w:spacing w:before="60" w:line="276" w:lineRule="auto"/>
              <w:jc w:val="center"/>
              <w:rPr>
                <w:rFonts w:eastAsia="Calibri" w:cs="Arial"/>
                <w:color w:val="000000"/>
                <w:szCs w:val="20"/>
                <w:lang w:val="sl-SI"/>
              </w:rPr>
            </w:pPr>
            <w:r w:rsidRPr="005771BD">
              <w:rPr>
                <w:rFonts w:eastAsia="Calibri" w:cs="Arial"/>
                <w:color w:val="000000"/>
                <w:szCs w:val="20"/>
                <w:lang w:val="sl-SI"/>
              </w:rPr>
              <w:t>1</w:t>
            </w:r>
          </w:p>
        </w:tc>
        <w:tc>
          <w:tcPr>
            <w:tcW w:w="1051" w:type="dxa"/>
            <w:tcBorders>
              <w:top w:val="nil"/>
              <w:left w:val="nil"/>
              <w:bottom w:val="single" w:sz="4" w:space="0" w:color="auto"/>
              <w:right w:val="single" w:sz="4" w:space="0" w:color="auto"/>
            </w:tcBorders>
            <w:shd w:val="clear" w:color="auto" w:fill="auto"/>
            <w:vAlign w:val="center"/>
          </w:tcPr>
          <w:p w:rsidR="003C1B05" w:rsidRPr="005771BD" w:rsidRDefault="003C1B05" w:rsidP="003C1B05">
            <w:pPr>
              <w:spacing w:before="60" w:line="276" w:lineRule="auto"/>
              <w:jc w:val="center"/>
              <w:rPr>
                <w:rFonts w:eastAsia="Calibri" w:cs="Arial"/>
                <w:color w:val="000000"/>
                <w:szCs w:val="20"/>
                <w:lang w:val="sl-SI"/>
              </w:rPr>
            </w:pPr>
            <w:r w:rsidRPr="005771BD">
              <w:rPr>
                <w:rFonts w:eastAsia="Calibri" w:cs="Arial"/>
                <w:color w:val="000000"/>
                <w:szCs w:val="20"/>
                <w:lang w:val="sl-SI"/>
              </w:rPr>
              <w:t>45,864</w:t>
            </w:r>
          </w:p>
        </w:tc>
        <w:tc>
          <w:tcPr>
            <w:tcW w:w="1016" w:type="dxa"/>
            <w:tcBorders>
              <w:top w:val="nil"/>
              <w:left w:val="nil"/>
              <w:bottom w:val="single" w:sz="4" w:space="0" w:color="auto"/>
              <w:right w:val="single" w:sz="4" w:space="0" w:color="auto"/>
            </w:tcBorders>
            <w:shd w:val="clear" w:color="auto" w:fill="auto"/>
            <w:vAlign w:val="center"/>
          </w:tcPr>
          <w:p w:rsidR="003C1B05" w:rsidRPr="005771BD" w:rsidRDefault="003C1B05" w:rsidP="003C1B05">
            <w:pPr>
              <w:spacing w:before="60" w:line="276" w:lineRule="auto"/>
              <w:jc w:val="center"/>
              <w:rPr>
                <w:rFonts w:eastAsia="Calibri" w:cs="Arial"/>
                <w:color w:val="000000"/>
                <w:szCs w:val="20"/>
                <w:lang w:val="sl-SI"/>
              </w:rPr>
            </w:pPr>
            <w:r w:rsidRPr="005771BD">
              <w:rPr>
                <w:rFonts w:eastAsia="Calibri" w:cs="Arial"/>
                <w:color w:val="000000"/>
                <w:szCs w:val="20"/>
                <w:lang w:val="sl-SI"/>
              </w:rPr>
              <w:t>15,531</w:t>
            </w:r>
          </w:p>
        </w:tc>
        <w:tc>
          <w:tcPr>
            <w:tcW w:w="1860" w:type="dxa"/>
            <w:tcBorders>
              <w:top w:val="nil"/>
              <w:left w:val="nil"/>
              <w:bottom w:val="single" w:sz="4" w:space="0" w:color="auto"/>
              <w:right w:val="single" w:sz="4" w:space="0" w:color="auto"/>
            </w:tcBorders>
            <w:shd w:val="clear" w:color="auto" w:fill="auto"/>
            <w:vAlign w:val="center"/>
          </w:tcPr>
          <w:p w:rsidR="003C1B05" w:rsidRPr="005771BD" w:rsidRDefault="003C1B05" w:rsidP="003C1B05">
            <w:pPr>
              <w:spacing w:before="60" w:line="276" w:lineRule="auto"/>
              <w:rPr>
                <w:rFonts w:eastAsia="Calibri" w:cs="Arial"/>
                <w:color w:val="000000"/>
                <w:szCs w:val="20"/>
                <w:lang w:val="sl-SI"/>
              </w:rPr>
            </w:pPr>
            <w:r w:rsidRPr="005771BD">
              <w:rPr>
                <w:rFonts w:eastAsia="Calibri" w:cs="Arial"/>
                <w:color w:val="000000"/>
                <w:szCs w:val="20"/>
                <w:lang w:val="sl-SI"/>
              </w:rPr>
              <w:t>Poštena vas</w:t>
            </w:r>
          </w:p>
        </w:tc>
        <w:tc>
          <w:tcPr>
            <w:tcW w:w="1885" w:type="dxa"/>
            <w:tcBorders>
              <w:top w:val="nil"/>
              <w:left w:val="nil"/>
              <w:bottom w:val="single" w:sz="4" w:space="0" w:color="auto"/>
              <w:right w:val="single" w:sz="8" w:space="0" w:color="auto"/>
            </w:tcBorders>
            <w:shd w:val="clear" w:color="auto" w:fill="auto"/>
            <w:noWrap/>
            <w:vAlign w:val="bottom"/>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V-VI</w:t>
            </w:r>
          </w:p>
        </w:tc>
      </w:tr>
      <w:tr w:rsidR="003C1B05" w:rsidRPr="005771BD" w:rsidTr="003C1B05">
        <w:trPr>
          <w:trHeight w:val="300"/>
        </w:trPr>
        <w:tc>
          <w:tcPr>
            <w:tcW w:w="1691" w:type="dxa"/>
            <w:tcBorders>
              <w:top w:val="nil"/>
              <w:left w:val="single" w:sz="8" w:space="0" w:color="auto"/>
              <w:bottom w:val="single" w:sz="4" w:space="0" w:color="auto"/>
              <w:right w:val="single" w:sz="4" w:space="0" w:color="auto"/>
            </w:tcBorders>
            <w:shd w:val="clear" w:color="auto" w:fill="auto"/>
            <w:vAlign w:val="bottom"/>
          </w:tcPr>
          <w:p w:rsidR="003C1B05" w:rsidRPr="005771BD" w:rsidRDefault="003C1B05" w:rsidP="003C1B05">
            <w:pPr>
              <w:spacing w:before="60" w:line="276" w:lineRule="auto"/>
              <w:jc w:val="center"/>
              <w:rPr>
                <w:rFonts w:eastAsia="Calibri" w:cs="Arial"/>
                <w:color w:val="000000"/>
                <w:szCs w:val="20"/>
                <w:lang w:val="sl-SI"/>
              </w:rPr>
            </w:pPr>
            <w:r w:rsidRPr="005771BD">
              <w:rPr>
                <w:rFonts w:eastAsia="Calibri" w:cs="Arial"/>
                <w:color w:val="000000"/>
                <w:szCs w:val="20"/>
                <w:lang w:val="sl-SI"/>
              </w:rPr>
              <w:t>2</w:t>
            </w:r>
          </w:p>
        </w:tc>
        <w:tc>
          <w:tcPr>
            <w:tcW w:w="1051" w:type="dxa"/>
            <w:tcBorders>
              <w:top w:val="nil"/>
              <w:left w:val="nil"/>
              <w:bottom w:val="single" w:sz="4" w:space="0" w:color="auto"/>
              <w:right w:val="single" w:sz="4" w:space="0" w:color="auto"/>
            </w:tcBorders>
            <w:shd w:val="clear" w:color="auto" w:fill="auto"/>
            <w:vAlign w:val="bottom"/>
          </w:tcPr>
          <w:p w:rsidR="003C1B05" w:rsidRPr="005771BD" w:rsidRDefault="003C1B05" w:rsidP="003C1B05">
            <w:pPr>
              <w:spacing w:before="60" w:line="276" w:lineRule="auto"/>
              <w:jc w:val="center"/>
              <w:rPr>
                <w:rFonts w:eastAsia="Calibri" w:cs="Arial"/>
                <w:color w:val="000000"/>
                <w:szCs w:val="20"/>
                <w:lang w:val="sl-SI"/>
              </w:rPr>
            </w:pPr>
            <w:r w:rsidRPr="005771BD">
              <w:rPr>
                <w:rFonts w:eastAsia="Calibri" w:cs="Arial"/>
                <w:color w:val="000000"/>
                <w:szCs w:val="20"/>
                <w:lang w:val="sl-SI"/>
              </w:rPr>
              <w:t>45,860</w:t>
            </w:r>
          </w:p>
        </w:tc>
        <w:tc>
          <w:tcPr>
            <w:tcW w:w="1016" w:type="dxa"/>
            <w:tcBorders>
              <w:top w:val="nil"/>
              <w:left w:val="nil"/>
              <w:bottom w:val="single" w:sz="4" w:space="0" w:color="auto"/>
              <w:right w:val="single" w:sz="4" w:space="0" w:color="auto"/>
            </w:tcBorders>
            <w:shd w:val="clear" w:color="auto" w:fill="auto"/>
            <w:vAlign w:val="bottom"/>
          </w:tcPr>
          <w:p w:rsidR="003C1B05" w:rsidRPr="005771BD" w:rsidRDefault="003C1B05" w:rsidP="003C1B05">
            <w:pPr>
              <w:spacing w:before="60" w:line="276" w:lineRule="auto"/>
              <w:jc w:val="center"/>
              <w:rPr>
                <w:rFonts w:eastAsia="Calibri" w:cs="Arial"/>
                <w:color w:val="000000"/>
                <w:szCs w:val="20"/>
                <w:lang w:val="sl-SI"/>
              </w:rPr>
            </w:pPr>
            <w:r w:rsidRPr="005771BD">
              <w:rPr>
                <w:rFonts w:eastAsia="Calibri" w:cs="Arial"/>
                <w:color w:val="000000"/>
                <w:szCs w:val="20"/>
                <w:lang w:val="sl-SI"/>
              </w:rPr>
              <w:t>15,516</w:t>
            </w:r>
          </w:p>
        </w:tc>
        <w:tc>
          <w:tcPr>
            <w:tcW w:w="1860" w:type="dxa"/>
            <w:tcBorders>
              <w:top w:val="nil"/>
              <w:left w:val="nil"/>
              <w:bottom w:val="single" w:sz="4" w:space="0" w:color="auto"/>
              <w:right w:val="single" w:sz="4" w:space="0" w:color="auto"/>
            </w:tcBorders>
            <w:shd w:val="clear" w:color="auto" w:fill="auto"/>
            <w:vAlign w:val="bottom"/>
          </w:tcPr>
          <w:p w:rsidR="003C1B05" w:rsidRPr="005771BD" w:rsidRDefault="003C1B05" w:rsidP="003C1B05">
            <w:pPr>
              <w:spacing w:before="60" w:line="276" w:lineRule="auto"/>
              <w:rPr>
                <w:rFonts w:eastAsia="Calibri" w:cs="Arial"/>
                <w:color w:val="000000"/>
                <w:szCs w:val="20"/>
                <w:lang w:val="sl-SI"/>
              </w:rPr>
            </w:pPr>
            <w:r w:rsidRPr="005771BD">
              <w:rPr>
                <w:rFonts w:eastAsia="Calibri" w:cs="Arial"/>
                <w:color w:val="000000"/>
                <w:szCs w:val="20"/>
                <w:lang w:val="sl-SI"/>
              </w:rPr>
              <w:t>Vrhovska vas</w:t>
            </w:r>
          </w:p>
        </w:tc>
        <w:tc>
          <w:tcPr>
            <w:tcW w:w="1885" w:type="dxa"/>
            <w:tcBorders>
              <w:top w:val="nil"/>
              <w:left w:val="nil"/>
              <w:bottom w:val="single" w:sz="4" w:space="0" w:color="auto"/>
              <w:right w:val="single" w:sz="8" w:space="0" w:color="auto"/>
            </w:tcBorders>
            <w:shd w:val="clear" w:color="auto" w:fill="auto"/>
            <w:noWrap/>
            <w:vAlign w:val="bottom"/>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V-VI</w:t>
            </w:r>
          </w:p>
        </w:tc>
      </w:tr>
      <w:tr w:rsidR="003C1B05" w:rsidRPr="005771BD" w:rsidTr="003C1B05">
        <w:trPr>
          <w:trHeight w:val="300"/>
        </w:trPr>
        <w:tc>
          <w:tcPr>
            <w:tcW w:w="1691" w:type="dxa"/>
            <w:tcBorders>
              <w:top w:val="nil"/>
              <w:left w:val="single" w:sz="8" w:space="0" w:color="auto"/>
              <w:bottom w:val="single" w:sz="8" w:space="0" w:color="auto"/>
              <w:right w:val="single" w:sz="4" w:space="0" w:color="auto"/>
            </w:tcBorders>
            <w:shd w:val="clear" w:color="auto" w:fill="auto"/>
            <w:noWrap/>
            <w:vAlign w:val="bottom"/>
          </w:tcPr>
          <w:p w:rsidR="003C1B05" w:rsidRPr="005771BD" w:rsidRDefault="003C1B05" w:rsidP="003C1B05">
            <w:pPr>
              <w:spacing w:before="60" w:line="276" w:lineRule="auto"/>
              <w:jc w:val="center"/>
              <w:rPr>
                <w:rFonts w:eastAsia="Calibri" w:cs="Arial"/>
                <w:color w:val="000000"/>
                <w:szCs w:val="20"/>
                <w:lang w:val="sl-SI"/>
              </w:rPr>
            </w:pPr>
            <w:r w:rsidRPr="005771BD">
              <w:rPr>
                <w:rFonts w:eastAsia="Calibri" w:cs="Arial"/>
                <w:color w:val="000000"/>
                <w:szCs w:val="20"/>
                <w:lang w:val="sl-SI"/>
              </w:rPr>
              <w:t>3</w:t>
            </w:r>
          </w:p>
        </w:tc>
        <w:tc>
          <w:tcPr>
            <w:tcW w:w="1051" w:type="dxa"/>
            <w:tcBorders>
              <w:top w:val="nil"/>
              <w:left w:val="nil"/>
              <w:bottom w:val="single" w:sz="8" w:space="0" w:color="auto"/>
              <w:right w:val="single" w:sz="4" w:space="0" w:color="auto"/>
            </w:tcBorders>
            <w:shd w:val="clear" w:color="auto" w:fill="auto"/>
            <w:vAlign w:val="center"/>
          </w:tcPr>
          <w:p w:rsidR="003C1B05" w:rsidRPr="005771BD" w:rsidRDefault="003C1B05" w:rsidP="003C1B05">
            <w:pPr>
              <w:spacing w:before="60" w:line="276" w:lineRule="auto"/>
              <w:jc w:val="center"/>
              <w:rPr>
                <w:rFonts w:eastAsia="Calibri" w:cs="Arial"/>
                <w:color w:val="000000"/>
                <w:szCs w:val="20"/>
                <w:lang w:val="sl-SI"/>
              </w:rPr>
            </w:pPr>
            <w:r w:rsidRPr="005771BD">
              <w:rPr>
                <w:rFonts w:eastAsia="Calibri" w:cs="Arial"/>
                <w:color w:val="000000"/>
                <w:szCs w:val="20"/>
                <w:lang w:val="sl-SI"/>
              </w:rPr>
              <w:t>45,869</w:t>
            </w:r>
          </w:p>
        </w:tc>
        <w:tc>
          <w:tcPr>
            <w:tcW w:w="1016" w:type="dxa"/>
            <w:tcBorders>
              <w:top w:val="nil"/>
              <w:left w:val="nil"/>
              <w:bottom w:val="single" w:sz="8" w:space="0" w:color="auto"/>
              <w:right w:val="single" w:sz="4" w:space="0" w:color="auto"/>
            </w:tcBorders>
            <w:shd w:val="clear" w:color="auto" w:fill="auto"/>
            <w:vAlign w:val="center"/>
          </w:tcPr>
          <w:p w:rsidR="003C1B05" w:rsidRPr="005771BD" w:rsidRDefault="003C1B05" w:rsidP="003C1B05">
            <w:pPr>
              <w:spacing w:before="60" w:line="276" w:lineRule="auto"/>
              <w:jc w:val="center"/>
              <w:rPr>
                <w:rFonts w:eastAsia="Calibri" w:cs="Arial"/>
                <w:color w:val="000000"/>
                <w:szCs w:val="20"/>
                <w:lang w:val="sl-SI"/>
              </w:rPr>
            </w:pPr>
            <w:r w:rsidRPr="005771BD">
              <w:rPr>
                <w:rFonts w:eastAsia="Calibri" w:cs="Arial"/>
                <w:color w:val="000000"/>
                <w:szCs w:val="20"/>
                <w:lang w:val="sl-SI"/>
              </w:rPr>
              <w:t>15,499</w:t>
            </w:r>
          </w:p>
        </w:tc>
        <w:tc>
          <w:tcPr>
            <w:tcW w:w="1860" w:type="dxa"/>
            <w:tcBorders>
              <w:top w:val="nil"/>
              <w:left w:val="nil"/>
              <w:bottom w:val="single" w:sz="8" w:space="0" w:color="auto"/>
              <w:right w:val="single" w:sz="4" w:space="0" w:color="auto"/>
            </w:tcBorders>
            <w:shd w:val="clear" w:color="auto" w:fill="auto"/>
            <w:vAlign w:val="center"/>
          </w:tcPr>
          <w:p w:rsidR="003C1B05" w:rsidRPr="005771BD" w:rsidRDefault="003C1B05" w:rsidP="003C1B05">
            <w:pPr>
              <w:spacing w:before="60" w:line="276" w:lineRule="auto"/>
              <w:rPr>
                <w:rFonts w:eastAsia="Calibri" w:cs="Arial"/>
                <w:color w:val="000000"/>
                <w:szCs w:val="20"/>
                <w:lang w:val="sl-SI"/>
              </w:rPr>
            </w:pPr>
            <w:r w:rsidRPr="005771BD">
              <w:rPr>
                <w:rFonts w:eastAsia="Calibri" w:cs="Arial"/>
                <w:color w:val="000000"/>
                <w:szCs w:val="20"/>
                <w:lang w:val="sl-SI"/>
              </w:rPr>
              <w:t>Pristava ob Krki</w:t>
            </w:r>
          </w:p>
        </w:tc>
        <w:tc>
          <w:tcPr>
            <w:tcW w:w="1885" w:type="dxa"/>
            <w:tcBorders>
              <w:top w:val="nil"/>
              <w:left w:val="nil"/>
              <w:bottom w:val="single" w:sz="8" w:space="0" w:color="auto"/>
              <w:right w:val="single" w:sz="8" w:space="0" w:color="auto"/>
            </w:tcBorders>
            <w:shd w:val="clear" w:color="auto" w:fill="auto"/>
            <w:noWrap/>
            <w:vAlign w:val="bottom"/>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V-VI</w:t>
            </w:r>
          </w:p>
        </w:tc>
      </w:tr>
    </w:tbl>
    <w:p w:rsidR="003C1B05" w:rsidRPr="005771BD" w:rsidRDefault="003C1B05" w:rsidP="003C1B05">
      <w:pPr>
        <w:spacing w:after="200" w:line="276" w:lineRule="auto"/>
        <w:rPr>
          <w:rFonts w:eastAsia="Calibri" w:cs="Arial"/>
          <w:szCs w:val="20"/>
          <w:lang w:val="sl-SI"/>
        </w:rPr>
      </w:pPr>
      <w:r w:rsidRPr="007F272F">
        <w:rPr>
          <w:rFonts w:eastAsia="Calibri" w:cs="Arial"/>
          <w:noProof/>
          <w:szCs w:val="20"/>
          <w:lang w:val="sl-SI" w:eastAsia="sl-SI"/>
        </w:rPr>
        <w:drawing>
          <wp:inline distT="0" distB="0" distL="0" distR="0" wp14:anchorId="6732A24A" wp14:editId="1C88E912">
            <wp:extent cx="5340970" cy="3981450"/>
            <wp:effectExtent l="0" t="0" r="0" b="0"/>
            <wp:docPr id="78" name="Picture 66" descr="Brez011115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ez011115 all"/>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340970" cy="3981450"/>
                    </a:xfrm>
                    <a:prstGeom prst="rect">
                      <a:avLst/>
                    </a:prstGeom>
                    <a:noFill/>
                    <a:ln>
                      <a:noFill/>
                    </a:ln>
                  </pic:spPr>
                </pic:pic>
              </a:graphicData>
            </a:graphic>
          </wp:inline>
        </w:drawing>
      </w:r>
    </w:p>
    <w:p w:rsidR="003C1B05" w:rsidRPr="003A0278" w:rsidRDefault="003C1B05" w:rsidP="003C1B05">
      <w:pPr>
        <w:spacing w:after="200" w:line="276" w:lineRule="auto"/>
        <w:rPr>
          <w:rFonts w:eastAsia="Calibri" w:cs="Arial"/>
          <w:i/>
          <w:szCs w:val="20"/>
          <w:lang w:val="sl-SI"/>
        </w:rPr>
      </w:pPr>
      <w:r w:rsidRPr="003A0278">
        <w:rPr>
          <w:rFonts w:eastAsia="Calibri" w:cs="Arial"/>
          <w:i/>
          <w:szCs w:val="20"/>
          <w:lang w:val="sl-SI"/>
        </w:rPr>
        <w:t>Slika 1</w:t>
      </w:r>
      <w:r w:rsidR="006331C1">
        <w:rPr>
          <w:rFonts w:eastAsia="Calibri" w:cs="Arial"/>
          <w:i/>
          <w:szCs w:val="20"/>
          <w:lang w:val="sl-SI"/>
        </w:rPr>
        <w:t>4</w:t>
      </w:r>
      <w:r w:rsidRPr="003A0278">
        <w:rPr>
          <w:rFonts w:eastAsia="Calibri" w:cs="Arial"/>
          <w:i/>
          <w:szCs w:val="20"/>
          <w:lang w:val="sl-SI"/>
        </w:rPr>
        <w:t>.1: Intenziteta potresa 1. novembra 2015 na Gorjancih po naseljih</w:t>
      </w:r>
    </w:p>
    <w:p w:rsidR="003C1B05" w:rsidRPr="005771BD" w:rsidRDefault="003C1B05" w:rsidP="003C1B05">
      <w:pPr>
        <w:spacing w:after="200" w:line="276" w:lineRule="auto"/>
        <w:rPr>
          <w:rFonts w:eastAsia="Calibri" w:cs="Arial"/>
          <w:i/>
          <w:szCs w:val="20"/>
          <w:u w:val="single"/>
          <w:lang w:val="sl-SI"/>
        </w:rPr>
      </w:pPr>
    </w:p>
    <w:p w:rsidR="003C1B05" w:rsidRPr="005771BD" w:rsidRDefault="003C1B05" w:rsidP="003C1B05">
      <w:pPr>
        <w:spacing w:after="200" w:line="276" w:lineRule="auto"/>
        <w:rPr>
          <w:rFonts w:eastAsia="Calibri" w:cs="Arial"/>
          <w:i/>
          <w:szCs w:val="20"/>
          <w:u w:val="single"/>
          <w:lang w:val="sl-SI"/>
        </w:rPr>
      </w:pPr>
    </w:p>
    <w:p w:rsidR="003C1B05" w:rsidRPr="005771BD" w:rsidRDefault="003C1B05" w:rsidP="003C1B05">
      <w:pPr>
        <w:spacing w:after="200" w:line="276" w:lineRule="auto"/>
        <w:rPr>
          <w:rFonts w:eastAsia="Calibri" w:cs="Arial"/>
          <w:i/>
          <w:szCs w:val="20"/>
          <w:u w:val="single"/>
          <w:lang w:val="sl-SI"/>
        </w:rPr>
      </w:pPr>
      <w:r w:rsidRPr="005771BD">
        <w:rPr>
          <w:rFonts w:eastAsia="Calibri" w:cs="Arial"/>
          <w:i/>
          <w:szCs w:val="20"/>
          <w:u w:val="single"/>
          <w:lang w:val="sl-SI"/>
        </w:rPr>
        <w:br w:type="column"/>
        <w:t>Potres v Suhi krajini 13. 3. 2014 ob 17.31 UTC z magnitudo 3,7</w:t>
      </w:r>
    </w:p>
    <w:p w:rsidR="003C1B05" w:rsidRPr="005771BD" w:rsidRDefault="003C1B05" w:rsidP="003C1B05">
      <w:pPr>
        <w:autoSpaceDE w:val="0"/>
        <w:autoSpaceDN w:val="0"/>
        <w:adjustRightInd w:val="0"/>
        <w:spacing w:after="200" w:line="276" w:lineRule="auto"/>
        <w:jc w:val="both"/>
        <w:rPr>
          <w:rFonts w:eastAsia="Calibri" w:cs="Arial"/>
          <w:szCs w:val="20"/>
          <w:lang w:val="sl-SI"/>
        </w:rPr>
      </w:pPr>
      <w:r w:rsidRPr="005771BD">
        <w:rPr>
          <w:rFonts w:eastAsia="Calibri" w:cs="Arial"/>
          <w:szCs w:val="20"/>
          <w:lang w:val="sl-SI"/>
        </w:rPr>
        <w:t xml:space="preserve">V Suhi krajini se je v letih 2013 in 2014 zvrstil niz šibkih do zmernih potresov z dvema močnejšima sunkoma (Čarman in sod., 2016; Šket Motnikar in sod., 2016b). Prvi močnejši potres se je zgodil 16. junija 2013 ob </w:t>
      </w:r>
      <w:r w:rsidRPr="005771BD">
        <w:rPr>
          <w:rFonts w:eastAsia="AGaramondPro-Italic" w:cs="Arial"/>
          <w:iCs/>
          <w:szCs w:val="20"/>
          <w:lang w:val="sl-SI"/>
        </w:rPr>
        <w:t>22.04 po lokalnem času. Imel je magnitudo 3,6, največji učinki pa so bili ocenjeni z intenziteto V−VI EMS-98. Drugi, še močnejši potres (preglednica 1</w:t>
      </w:r>
      <w:r w:rsidR="00CB5442">
        <w:rPr>
          <w:rFonts w:eastAsia="AGaramondPro-Italic" w:cs="Arial"/>
          <w:iCs/>
          <w:szCs w:val="20"/>
          <w:lang w:val="sl-SI"/>
        </w:rPr>
        <w:t>4</w:t>
      </w:r>
      <w:r w:rsidRPr="005771BD">
        <w:rPr>
          <w:rFonts w:eastAsia="AGaramondPro-Italic" w:cs="Arial"/>
          <w:iCs/>
          <w:szCs w:val="20"/>
          <w:lang w:val="sl-SI"/>
        </w:rPr>
        <w:t>.3, slika 1</w:t>
      </w:r>
      <w:r w:rsidR="00CB5442">
        <w:rPr>
          <w:rFonts w:eastAsia="AGaramondPro-Italic" w:cs="Arial"/>
          <w:iCs/>
          <w:szCs w:val="20"/>
          <w:lang w:val="sl-SI"/>
        </w:rPr>
        <w:t>4</w:t>
      </w:r>
      <w:r w:rsidRPr="005771BD">
        <w:rPr>
          <w:rFonts w:eastAsia="AGaramondPro-Italic" w:cs="Arial"/>
          <w:iCs/>
          <w:szCs w:val="20"/>
          <w:lang w:val="sl-SI"/>
        </w:rPr>
        <w:t>.2) je tla zatresel 13. marca 2014 ob 18.31 po lokalnem času (</w:t>
      </w:r>
      <w:r w:rsidRPr="005771BD">
        <w:rPr>
          <w:rFonts w:eastAsia="Calibri" w:cs="Arial"/>
          <w:szCs w:val="20"/>
          <w:lang w:val="sl-SI"/>
        </w:rPr>
        <w:t>Jesenko in sod., 2016)</w:t>
      </w:r>
      <w:r w:rsidRPr="005771BD">
        <w:rPr>
          <w:rFonts w:eastAsia="AGaramondPro-Italic" w:cs="Arial"/>
          <w:iCs/>
          <w:szCs w:val="20"/>
          <w:lang w:val="sl-SI"/>
        </w:rPr>
        <w:t xml:space="preserve">. Magnituda potresa je bila 3,7, največja intenziteta pa VI EMS-98. Oba potresa sta se zgodila pri naselju Seč, približno </w:t>
      </w:r>
      <w:r w:rsidRPr="005771BD">
        <w:rPr>
          <w:rFonts w:eastAsia="Calibri" w:cs="Arial"/>
          <w:szCs w:val="20"/>
          <w:lang w:val="sl-SI"/>
        </w:rPr>
        <w:t xml:space="preserve">10 kilometrov vzhodno od Ribnice, in sta </w:t>
      </w:r>
      <w:r w:rsidRPr="005771BD">
        <w:rPr>
          <w:rFonts w:eastAsia="AGaramondPro-Italic" w:cs="Arial"/>
          <w:iCs/>
          <w:szCs w:val="20"/>
          <w:lang w:val="sl-SI"/>
        </w:rPr>
        <w:t xml:space="preserve">poleg preplaha povzročila tudi nekaj gmotne škode. </w:t>
      </w:r>
      <w:r w:rsidRPr="005771BD">
        <w:rPr>
          <w:rFonts w:eastAsia="Calibri" w:cs="Arial"/>
          <w:szCs w:val="20"/>
          <w:lang w:val="sl-SI"/>
        </w:rPr>
        <w:t>Večina potresov je nastala v globini do štirih kilometrov.</w:t>
      </w:r>
    </w:p>
    <w:p w:rsidR="003C1B05" w:rsidRPr="005771BD" w:rsidRDefault="003C1B05" w:rsidP="003C1B05">
      <w:pPr>
        <w:autoSpaceDE w:val="0"/>
        <w:autoSpaceDN w:val="0"/>
        <w:adjustRightInd w:val="0"/>
        <w:spacing w:before="60" w:after="200" w:line="276" w:lineRule="auto"/>
        <w:rPr>
          <w:rFonts w:eastAsia="Calibri" w:cs="Arial"/>
          <w:szCs w:val="20"/>
          <w:lang w:val="sl-SI"/>
        </w:rPr>
      </w:pPr>
      <w:r w:rsidRPr="005771BD">
        <w:rPr>
          <w:rFonts w:eastAsia="Calibri" w:cs="Arial"/>
          <w:i/>
          <w:szCs w:val="20"/>
          <w:lang w:val="sl-SI"/>
        </w:rPr>
        <w:t>Preglednica 1</w:t>
      </w:r>
      <w:r w:rsidR="006331C1">
        <w:rPr>
          <w:rFonts w:eastAsia="Calibri" w:cs="Arial"/>
          <w:i/>
          <w:szCs w:val="20"/>
          <w:lang w:val="sl-SI"/>
        </w:rPr>
        <w:t>4</w:t>
      </w:r>
      <w:r w:rsidRPr="005771BD">
        <w:rPr>
          <w:rFonts w:eastAsia="Calibri" w:cs="Arial"/>
          <w:i/>
          <w:szCs w:val="20"/>
          <w:lang w:val="sl-SI"/>
        </w:rPr>
        <w:t>.3: Učinki potresa v Suhi krajini (</w:t>
      </w:r>
      <w:r w:rsidRPr="005771BD">
        <w:rPr>
          <w:rFonts w:eastAsia="AGaramondPro-Italic" w:cs="Arial"/>
          <w:i/>
          <w:iCs/>
          <w:szCs w:val="20"/>
          <w:lang w:val="sl-SI"/>
        </w:rPr>
        <w:t>13. marca 2014)</w:t>
      </w:r>
      <w:r w:rsidRPr="005771BD">
        <w:rPr>
          <w:rFonts w:eastAsia="Calibri" w:cs="Arial"/>
          <w:i/>
          <w:szCs w:val="20"/>
          <w:lang w:val="sl-SI"/>
        </w:rPr>
        <w:t>, ki so presegli intenziteto V EMS-98</w:t>
      </w:r>
    </w:p>
    <w:tbl>
      <w:tblPr>
        <w:tblW w:w="7503" w:type="dxa"/>
        <w:tblInd w:w="80" w:type="dxa"/>
        <w:tblCellMar>
          <w:left w:w="70" w:type="dxa"/>
          <w:right w:w="70" w:type="dxa"/>
        </w:tblCellMar>
        <w:tblLook w:val="04A0" w:firstRow="1" w:lastRow="0" w:firstColumn="1" w:lastColumn="0" w:noHBand="0" w:noVBand="1"/>
      </w:tblPr>
      <w:tblGrid>
        <w:gridCol w:w="2117"/>
        <w:gridCol w:w="1051"/>
        <w:gridCol w:w="1016"/>
        <w:gridCol w:w="1860"/>
        <w:gridCol w:w="1459"/>
      </w:tblGrid>
      <w:tr w:rsidR="003C1B05" w:rsidRPr="005771BD" w:rsidTr="003C1B05">
        <w:trPr>
          <w:trHeight w:val="630"/>
        </w:trPr>
        <w:tc>
          <w:tcPr>
            <w:tcW w:w="2117" w:type="dxa"/>
            <w:tcBorders>
              <w:top w:val="single" w:sz="8" w:space="0" w:color="auto"/>
              <w:left w:val="single" w:sz="8" w:space="0" w:color="auto"/>
              <w:bottom w:val="single" w:sz="8" w:space="0" w:color="auto"/>
              <w:right w:val="single" w:sz="4" w:space="0" w:color="000000"/>
            </w:tcBorders>
            <w:shd w:val="clear" w:color="000000" w:fill="C0C0C0"/>
            <w:vAlign w:val="center"/>
          </w:tcPr>
          <w:p w:rsidR="003C1B05" w:rsidRPr="005771BD" w:rsidRDefault="003C1B05" w:rsidP="003C1B05">
            <w:pPr>
              <w:spacing w:line="276" w:lineRule="auto"/>
              <w:jc w:val="center"/>
              <w:rPr>
                <w:rFonts w:eastAsia="Calibri" w:cs="Arial"/>
                <w:color w:val="000000"/>
                <w:szCs w:val="20"/>
                <w:lang w:val="sl-SI"/>
              </w:rPr>
            </w:pPr>
            <w:r>
              <w:rPr>
                <w:rFonts w:eastAsia="Calibri" w:cs="Arial"/>
                <w:color w:val="000000"/>
                <w:szCs w:val="20"/>
                <w:lang w:val="sl-SI"/>
              </w:rPr>
              <w:t>O</w:t>
            </w:r>
            <w:r w:rsidRPr="005771BD">
              <w:rPr>
                <w:rFonts w:eastAsia="Calibri" w:cs="Arial"/>
                <w:color w:val="000000"/>
                <w:szCs w:val="20"/>
                <w:lang w:val="sl-SI"/>
              </w:rPr>
              <w:t>ddaljenost od nadžarišča v km</w:t>
            </w:r>
          </w:p>
        </w:tc>
        <w:tc>
          <w:tcPr>
            <w:tcW w:w="1051" w:type="dxa"/>
            <w:tcBorders>
              <w:top w:val="single" w:sz="8" w:space="0" w:color="auto"/>
              <w:left w:val="nil"/>
              <w:bottom w:val="single" w:sz="8" w:space="0" w:color="auto"/>
              <w:right w:val="single" w:sz="4" w:space="0" w:color="000000"/>
            </w:tcBorders>
            <w:shd w:val="clear" w:color="000000" w:fill="C0C0C0"/>
            <w:noWrap/>
            <w:vAlign w:val="center"/>
          </w:tcPr>
          <w:p w:rsidR="003C1B05" w:rsidRPr="005771BD" w:rsidRDefault="003C1B05" w:rsidP="003C1B05">
            <w:pPr>
              <w:spacing w:line="276" w:lineRule="auto"/>
              <w:jc w:val="center"/>
              <w:rPr>
                <w:rFonts w:eastAsia="Calibri" w:cs="Arial"/>
                <w:color w:val="000000"/>
                <w:szCs w:val="20"/>
                <w:lang w:val="sl-SI"/>
              </w:rPr>
            </w:pPr>
            <w:r w:rsidRPr="005771BD">
              <w:rPr>
                <w:rFonts w:eastAsia="Calibri" w:cs="Arial"/>
                <w:szCs w:val="20"/>
                <w:lang w:val="sl-SI"/>
              </w:rPr>
              <w:t>° N</w:t>
            </w:r>
          </w:p>
        </w:tc>
        <w:tc>
          <w:tcPr>
            <w:tcW w:w="1016" w:type="dxa"/>
            <w:tcBorders>
              <w:top w:val="single" w:sz="8" w:space="0" w:color="auto"/>
              <w:left w:val="nil"/>
              <w:bottom w:val="single" w:sz="8" w:space="0" w:color="auto"/>
              <w:right w:val="single" w:sz="4" w:space="0" w:color="000000"/>
            </w:tcBorders>
            <w:shd w:val="clear" w:color="000000" w:fill="C0C0C0"/>
            <w:noWrap/>
            <w:vAlign w:val="center"/>
          </w:tcPr>
          <w:p w:rsidR="003C1B05" w:rsidRPr="005771BD" w:rsidRDefault="003C1B05" w:rsidP="003C1B05">
            <w:pPr>
              <w:spacing w:line="276" w:lineRule="auto"/>
              <w:jc w:val="center"/>
              <w:rPr>
                <w:rFonts w:eastAsia="Calibri" w:cs="Arial"/>
                <w:color w:val="000000"/>
                <w:szCs w:val="20"/>
                <w:lang w:val="sl-SI"/>
              </w:rPr>
            </w:pPr>
            <w:r w:rsidRPr="005771BD">
              <w:rPr>
                <w:rFonts w:eastAsia="Calibri" w:cs="Arial"/>
                <w:szCs w:val="20"/>
                <w:lang w:val="sl-SI"/>
              </w:rPr>
              <w:t>° E</w:t>
            </w:r>
          </w:p>
        </w:tc>
        <w:tc>
          <w:tcPr>
            <w:tcW w:w="1860" w:type="dxa"/>
            <w:tcBorders>
              <w:top w:val="single" w:sz="8" w:space="0" w:color="auto"/>
              <w:left w:val="nil"/>
              <w:bottom w:val="single" w:sz="8" w:space="0" w:color="auto"/>
              <w:right w:val="single" w:sz="4" w:space="0" w:color="000000"/>
            </w:tcBorders>
            <w:shd w:val="clear" w:color="000000" w:fill="C0C0C0"/>
            <w:noWrap/>
            <w:vAlign w:val="center"/>
          </w:tcPr>
          <w:p w:rsidR="003C1B05" w:rsidRPr="005771BD" w:rsidRDefault="003C1B05" w:rsidP="003C1B05">
            <w:pPr>
              <w:spacing w:line="276" w:lineRule="auto"/>
              <w:jc w:val="center"/>
              <w:rPr>
                <w:rFonts w:eastAsia="Calibri" w:cs="Arial"/>
                <w:color w:val="000000"/>
                <w:szCs w:val="20"/>
                <w:lang w:val="sl-SI"/>
              </w:rPr>
            </w:pPr>
            <w:r w:rsidRPr="005771BD">
              <w:rPr>
                <w:rFonts w:eastAsia="Calibri" w:cs="Arial"/>
                <w:color w:val="000000"/>
                <w:szCs w:val="20"/>
                <w:lang w:val="sl-SI"/>
              </w:rPr>
              <w:t>Kraj</w:t>
            </w:r>
          </w:p>
        </w:tc>
        <w:tc>
          <w:tcPr>
            <w:tcW w:w="1459" w:type="dxa"/>
            <w:tcBorders>
              <w:top w:val="single" w:sz="8" w:space="0" w:color="auto"/>
              <w:left w:val="nil"/>
              <w:bottom w:val="single" w:sz="8" w:space="0" w:color="auto"/>
              <w:right w:val="single" w:sz="8" w:space="0" w:color="auto"/>
            </w:tcBorders>
            <w:shd w:val="clear" w:color="000000" w:fill="BFBFBF"/>
            <w:noWrap/>
            <w:vAlign w:val="center"/>
          </w:tcPr>
          <w:p w:rsidR="003C1B05" w:rsidRPr="005771BD" w:rsidRDefault="003C1B05" w:rsidP="003C1B05">
            <w:pPr>
              <w:spacing w:line="276" w:lineRule="auto"/>
              <w:jc w:val="center"/>
              <w:rPr>
                <w:rFonts w:eastAsia="Calibri" w:cs="Arial"/>
                <w:b/>
                <w:bCs/>
                <w:szCs w:val="20"/>
                <w:lang w:val="sl-SI"/>
              </w:rPr>
            </w:pPr>
            <w:r>
              <w:rPr>
                <w:rFonts w:eastAsia="Calibri" w:cs="Arial"/>
                <w:b/>
                <w:bCs/>
                <w:szCs w:val="20"/>
                <w:lang w:val="sl-SI"/>
              </w:rPr>
              <w:t>I</w:t>
            </w:r>
            <w:r w:rsidRPr="005771BD">
              <w:rPr>
                <w:rFonts w:eastAsia="Calibri" w:cs="Arial"/>
                <w:b/>
                <w:bCs/>
                <w:szCs w:val="20"/>
                <w:lang w:val="sl-SI"/>
              </w:rPr>
              <w:t>ntenziteta</w:t>
            </w:r>
          </w:p>
          <w:p w:rsidR="003C1B05" w:rsidRPr="005771BD" w:rsidRDefault="003C1B05" w:rsidP="003C1B05">
            <w:pPr>
              <w:spacing w:line="276" w:lineRule="auto"/>
              <w:jc w:val="center"/>
              <w:rPr>
                <w:rFonts w:eastAsia="Calibri" w:cs="Arial"/>
                <w:b/>
                <w:bCs/>
                <w:szCs w:val="20"/>
                <w:lang w:val="sl-SI"/>
              </w:rPr>
            </w:pPr>
            <w:r w:rsidRPr="005771BD">
              <w:rPr>
                <w:rFonts w:eastAsia="Calibri" w:cs="Arial"/>
                <w:b/>
                <w:bCs/>
                <w:szCs w:val="20"/>
                <w:lang w:val="sl-SI"/>
              </w:rPr>
              <w:t>EMS-98</w:t>
            </w:r>
          </w:p>
        </w:tc>
      </w:tr>
      <w:tr w:rsidR="003C1B05" w:rsidRPr="005771BD" w:rsidTr="003C1B05">
        <w:trPr>
          <w:trHeight w:val="300"/>
        </w:trPr>
        <w:tc>
          <w:tcPr>
            <w:tcW w:w="2117" w:type="dxa"/>
            <w:tcBorders>
              <w:top w:val="nil"/>
              <w:left w:val="single" w:sz="8" w:space="0" w:color="auto"/>
              <w:bottom w:val="single" w:sz="4" w:space="0" w:color="auto"/>
              <w:right w:val="single" w:sz="4" w:space="0" w:color="auto"/>
            </w:tcBorders>
            <w:shd w:val="clear" w:color="auto" w:fill="auto"/>
            <w:vAlign w:val="bottom"/>
          </w:tcPr>
          <w:p w:rsidR="003C1B05" w:rsidRPr="005771BD" w:rsidRDefault="003C1B05" w:rsidP="003C1B05">
            <w:pPr>
              <w:spacing w:line="276" w:lineRule="auto"/>
              <w:jc w:val="center"/>
              <w:rPr>
                <w:rFonts w:eastAsia="Calibri" w:cs="Arial"/>
                <w:color w:val="000000"/>
                <w:szCs w:val="20"/>
                <w:lang w:val="sl-SI"/>
              </w:rPr>
            </w:pPr>
            <w:r w:rsidRPr="005771BD">
              <w:rPr>
                <w:rFonts w:eastAsia="Calibri" w:cs="Arial"/>
                <w:color w:val="000000"/>
                <w:szCs w:val="20"/>
                <w:lang w:val="sl-SI"/>
              </w:rPr>
              <w:t>0</w:t>
            </w:r>
          </w:p>
        </w:tc>
        <w:tc>
          <w:tcPr>
            <w:tcW w:w="1051" w:type="dxa"/>
            <w:tcBorders>
              <w:top w:val="nil"/>
              <w:left w:val="nil"/>
              <w:bottom w:val="single" w:sz="4" w:space="0" w:color="auto"/>
              <w:right w:val="single" w:sz="4" w:space="0" w:color="auto"/>
            </w:tcBorders>
            <w:shd w:val="clear" w:color="auto" w:fill="auto"/>
            <w:vAlign w:val="bottom"/>
          </w:tcPr>
          <w:p w:rsidR="003C1B05" w:rsidRPr="005771BD" w:rsidRDefault="003C1B05" w:rsidP="003C1B05">
            <w:pPr>
              <w:spacing w:line="276" w:lineRule="auto"/>
              <w:jc w:val="center"/>
              <w:rPr>
                <w:rFonts w:eastAsia="Calibri" w:cs="Arial"/>
                <w:color w:val="000000"/>
                <w:szCs w:val="20"/>
                <w:lang w:val="sl-SI"/>
              </w:rPr>
            </w:pPr>
            <w:r w:rsidRPr="005771BD">
              <w:rPr>
                <w:rFonts w:eastAsia="Calibri" w:cs="Arial"/>
                <w:color w:val="000000"/>
                <w:szCs w:val="20"/>
                <w:lang w:val="sl-SI"/>
              </w:rPr>
              <w:t>45,752</w:t>
            </w:r>
          </w:p>
        </w:tc>
        <w:tc>
          <w:tcPr>
            <w:tcW w:w="1016" w:type="dxa"/>
            <w:tcBorders>
              <w:top w:val="nil"/>
              <w:left w:val="nil"/>
              <w:bottom w:val="single" w:sz="4" w:space="0" w:color="auto"/>
              <w:right w:val="single" w:sz="4" w:space="0" w:color="auto"/>
            </w:tcBorders>
            <w:shd w:val="clear" w:color="auto" w:fill="auto"/>
            <w:vAlign w:val="bottom"/>
          </w:tcPr>
          <w:p w:rsidR="003C1B05" w:rsidRPr="005771BD" w:rsidRDefault="003C1B05" w:rsidP="003C1B05">
            <w:pPr>
              <w:spacing w:line="276" w:lineRule="auto"/>
              <w:jc w:val="center"/>
              <w:rPr>
                <w:rFonts w:eastAsia="Calibri" w:cs="Arial"/>
                <w:color w:val="000000"/>
                <w:szCs w:val="20"/>
                <w:lang w:val="sl-SI"/>
              </w:rPr>
            </w:pPr>
            <w:r w:rsidRPr="005771BD">
              <w:rPr>
                <w:rFonts w:eastAsia="Calibri" w:cs="Arial"/>
                <w:color w:val="000000"/>
                <w:szCs w:val="20"/>
                <w:lang w:val="sl-SI"/>
              </w:rPr>
              <w:t>14,851</w:t>
            </w:r>
          </w:p>
        </w:tc>
        <w:tc>
          <w:tcPr>
            <w:tcW w:w="1860" w:type="dxa"/>
            <w:tcBorders>
              <w:top w:val="nil"/>
              <w:left w:val="nil"/>
              <w:bottom w:val="single" w:sz="4" w:space="0" w:color="auto"/>
              <w:right w:val="single" w:sz="4" w:space="0" w:color="auto"/>
            </w:tcBorders>
            <w:shd w:val="clear" w:color="auto" w:fill="auto"/>
            <w:vAlign w:val="center"/>
          </w:tcPr>
          <w:p w:rsidR="003C1B05" w:rsidRPr="005771BD" w:rsidRDefault="003C1B05" w:rsidP="003C1B05">
            <w:pPr>
              <w:spacing w:line="276" w:lineRule="auto"/>
              <w:rPr>
                <w:rFonts w:eastAsia="Calibri" w:cs="Arial"/>
                <w:color w:val="000000"/>
                <w:szCs w:val="20"/>
                <w:lang w:val="sl-SI"/>
              </w:rPr>
            </w:pPr>
            <w:r w:rsidRPr="005771BD">
              <w:rPr>
                <w:rFonts w:eastAsia="Calibri" w:cs="Arial"/>
                <w:color w:val="000000"/>
                <w:szCs w:val="20"/>
                <w:lang w:val="sl-SI"/>
              </w:rPr>
              <w:t>Seč</w:t>
            </w:r>
          </w:p>
        </w:tc>
        <w:tc>
          <w:tcPr>
            <w:tcW w:w="1459" w:type="dxa"/>
            <w:tcBorders>
              <w:top w:val="nil"/>
              <w:left w:val="nil"/>
              <w:bottom w:val="single" w:sz="4" w:space="0" w:color="auto"/>
              <w:right w:val="single" w:sz="8" w:space="0" w:color="auto"/>
            </w:tcBorders>
            <w:shd w:val="clear" w:color="auto" w:fill="auto"/>
            <w:noWrap/>
            <w:vAlign w:val="bottom"/>
          </w:tcPr>
          <w:p w:rsidR="003C1B05" w:rsidRPr="005771BD" w:rsidRDefault="003C1B05" w:rsidP="003C1B05">
            <w:pPr>
              <w:spacing w:line="276" w:lineRule="auto"/>
              <w:jc w:val="center"/>
              <w:rPr>
                <w:rFonts w:eastAsia="Calibri" w:cs="Arial"/>
                <w:szCs w:val="20"/>
                <w:lang w:val="sl-SI"/>
              </w:rPr>
            </w:pPr>
            <w:r w:rsidRPr="005771BD">
              <w:rPr>
                <w:rFonts w:eastAsia="Calibri" w:cs="Arial"/>
                <w:szCs w:val="20"/>
                <w:lang w:val="sl-SI"/>
              </w:rPr>
              <w:t>VI</w:t>
            </w:r>
          </w:p>
        </w:tc>
      </w:tr>
      <w:tr w:rsidR="003C1B05" w:rsidRPr="005771BD" w:rsidTr="003C1B05">
        <w:trPr>
          <w:trHeight w:val="300"/>
        </w:trPr>
        <w:tc>
          <w:tcPr>
            <w:tcW w:w="2117" w:type="dxa"/>
            <w:tcBorders>
              <w:top w:val="nil"/>
              <w:left w:val="single" w:sz="8" w:space="0" w:color="auto"/>
              <w:bottom w:val="single" w:sz="4" w:space="0" w:color="auto"/>
              <w:right w:val="single" w:sz="4" w:space="0" w:color="auto"/>
            </w:tcBorders>
            <w:shd w:val="clear" w:color="auto" w:fill="auto"/>
            <w:vAlign w:val="bottom"/>
          </w:tcPr>
          <w:p w:rsidR="003C1B05" w:rsidRPr="005771BD" w:rsidRDefault="003C1B05" w:rsidP="003C1B05">
            <w:pPr>
              <w:spacing w:line="276" w:lineRule="auto"/>
              <w:jc w:val="center"/>
              <w:rPr>
                <w:rFonts w:eastAsia="Calibri" w:cs="Arial"/>
                <w:color w:val="000000"/>
                <w:szCs w:val="20"/>
                <w:lang w:val="sl-SI"/>
              </w:rPr>
            </w:pPr>
            <w:r w:rsidRPr="005771BD">
              <w:rPr>
                <w:rFonts w:eastAsia="Calibri" w:cs="Arial"/>
                <w:color w:val="000000"/>
                <w:szCs w:val="20"/>
                <w:lang w:val="sl-SI"/>
              </w:rPr>
              <w:t>3</w:t>
            </w:r>
          </w:p>
        </w:tc>
        <w:tc>
          <w:tcPr>
            <w:tcW w:w="1051" w:type="dxa"/>
            <w:tcBorders>
              <w:top w:val="nil"/>
              <w:left w:val="nil"/>
              <w:bottom w:val="single" w:sz="4" w:space="0" w:color="auto"/>
              <w:right w:val="single" w:sz="4" w:space="0" w:color="auto"/>
            </w:tcBorders>
            <w:shd w:val="clear" w:color="auto" w:fill="auto"/>
            <w:vAlign w:val="bottom"/>
          </w:tcPr>
          <w:p w:rsidR="003C1B05" w:rsidRPr="005771BD" w:rsidRDefault="003C1B05" w:rsidP="003C1B05">
            <w:pPr>
              <w:spacing w:line="276" w:lineRule="auto"/>
              <w:jc w:val="center"/>
              <w:rPr>
                <w:rFonts w:eastAsia="Calibri" w:cs="Arial"/>
                <w:color w:val="000000"/>
                <w:szCs w:val="20"/>
                <w:lang w:val="sl-SI"/>
              </w:rPr>
            </w:pPr>
            <w:r w:rsidRPr="005771BD">
              <w:rPr>
                <w:rFonts w:eastAsia="Calibri" w:cs="Arial"/>
                <w:color w:val="000000"/>
                <w:szCs w:val="20"/>
                <w:lang w:val="sl-SI"/>
              </w:rPr>
              <w:t>45,728</w:t>
            </w:r>
          </w:p>
        </w:tc>
        <w:tc>
          <w:tcPr>
            <w:tcW w:w="1016" w:type="dxa"/>
            <w:tcBorders>
              <w:top w:val="nil"/>
              <w:left w:val="nil"/>
              <w:bottom w:val="single" w:sz="4" w:space="0" w:color="auto"/>
              <w:right w:val="single" w:sz="4" w:space="0" w:color="auto"/>
            </w:tcBorders>
            <w:shd w:val="clear" w:color="auto" w:fill="auto"/>
            <w:vAlign w:val="bottom"/>
          </w:tcPr>
          <w:p w:rsidR="003C1B05" w:rsidRPr="005771BD" w:rsidRDefault="003C1B05" w:rsidP="003C1B05">
            <w:pPr>
              <w:spacing w:line="276" w:lineRule="auto"/>
              <w:jc w:val="center"/>
              <w:rPr>
                <w:rFonts w:eastAsia="Calibri" w:cs="Arial"/>
                <w:color w:val="000000"/>
                <w:szCs w:val="20"/>
                <w:lang w:val="sl-SI"/>
              </w:rPr>
            </w:pPr>
            <w:r w:rsidRPr="005771BD">
              <w:rPr>
                <w:rFonts w:eastAsia="Calibri" w:cs="Arial"/>
                <w:color w:val="000000"/>
                <w:szCs w:val="20"/>
                <w:lang w:val="sl-SI"/>
              </w:rPr>
              <w:t>14,857</w:t>
            </w:r>
          </w:p>
        </w:tc>
        <w:tc>
          <w:tcPr>
            <w:tcW w:w="1860" w:type="dxa"/>
            <w:tcBorders>
              <w:top w:val="nil"/>
              <w:left w:val="nil"/>
              <w:bottom w:val="single" w:sz="4" w:space="0" w:color="auto"/>
              <w:right w:val="single" w:sz="4" w:space="0" w:color="auto"/>
            </w:tcBorders>
            <w:shd w:val="clear" w:color="auto" w:fill="auto"/>
            <w:vAlign w:val="center"/>
          </w:tcPr>
          <w:p w:rsidR="003C1B05" w:rsidRPr="005771BD" w:rsidRDefault="003C1B05" w:rsidP="003C1B05">
            <w:pPr>
              <w:spacing w:line="276" w:lineRule="auto"/>
              <w:rPr>
                <w:rFonts w:eastAsia="Calibri" w:cs="Arial"/>
                <w:color w:val="000000"/>
                <w:szCs w:val="20"/>
                <w:lang w:val="sl-SI"/>
              </w:rPr>
            </w:pPr>
            <w:r w:rsidRPr="005771BD">
              <w:rPr>
                <w:rFonts w:eastAsia="Calibri" w:cs="Arial"/>
                <w:color w:val="000000"/>
                <w:szCs w:val="20"/>
                <w:lang w:val="sl-SI"/>
              </w:rPr>
              <w:t>Polom</w:t>
            </w:r>
          </w:p>
        </w:tc>
        <w:tc>
          <w:tcPr>
            <w:tcW w:w="1459" w:type="dxa"/>
            <w:tcBorders>
              <w:top w:val="nil"/>
              <w:left w:val="nil"/>
              <w:bottom w:val="single" w:sz="4" w:space="0" w:color="auto"/>
              <w:right w:val="single" w:sz="8" w:space="0" w:color="auto"/>
            </w:tcBorders>
            <w:shd w:val="clear" w:color="auto" w:fill="auto"/>
            <w:noWrap/>
            <w:vAlign w:val="bottom"/>
          </w:tcPr>
          <w:p w:rsidR="003C1B05" w:rsidRPr="005771BD" w:rsidRDefault="003C1B05" w:rsidP="003C1B05">
            <w:pPr>
              <w:spacing w:line="276" w:lineRule="auto"/>
              <w:jc w:val="center"/>
              <w:rPr>
                <w:rFonts w:eastAsia="Calibri" w:cs="Arial"/>
                <w:szCs w:val="20"/>
                <w:lang w:val="sl-SI"/>
              </w:rPr>
            </w:pPr>
            <w:r w:rsidRPr="005771BD">
              <w:rPr>
                <w:rFonts w:eastAsia="Calibri" w:cs="Arial"/>
                <w:szCs w:val="20"/>
                <w:lang w:val="sl-SI"/>
              </w:rPr>
              <w:t>V-VI</w:t>
            </w:r>
          </w:p>
        </w:tc>
      </w:tr>
    </w:tbl>
    <w:p w:rsidR="003C1B05" w:rsidRPr="005771BD" w:rsidRDefault="003C1B05" w:rsidP="003C1B05">
      <w:pPr>
        <w:spacing w:after="200" w:line="276" w:lineRule="auto"/>
        <w:rPr>
          <w:rFonts w:eastAsia="Calibri" w:cs="Arial"/>
          <w:szCs w:val="20"/>
          <w:lang w:val="sl-SI"/>
        </w:rPr>
      </w:pPr>
      <w:r w:rsidRPr="007F272F">
        <w:rPr>
          <w:rFonts w:eastAsia="Calibri" w:cs="Arial"/>
          <w:noProof/>
          <w:szCs w:val="20"/>
          <w:lang w:val="sl-SI" w:eastAsia="sl-SI"/>
        </w:rPr>
        <w:drawing>
          <wp:inline distT="0" distB="0" distL="0" distR="0" wp14:anchorId="7548D149" wp14:editId="0591C6A6">
            <wp:extent cx="4905375" cy="3057525"/>
            <wp:effectExtent l="0" t="0" r="9525" b="9525"/>
            <wp:docPr id="81" name="Picture 84" descr="Ribn130314-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ibn130314-all"/>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4905375" cy="3057525"/>
                    </a:xfrm>
                    <a:prstGeom prst="rect">
                      <a:avLst/>
                    </a:prstGeom>
                    <a:noFill/>
                    <a:ln>
                      <a:noFill/>
                    </a:ln>
                  </pic:spPr>
                </pic:pic>
              </a:graphicData>
            </a:graphic>
          </wp:inline>
        </w:drawing>
      </w:r>
    </w:p>
    <w:p w:rsidR="003C1B05" w:rsidRPr="005771BD" w:rsidRDefault="003C1B05" w:rsidP="003C1B05">
      <w:pPr>
        <w:spacing w:after="360" w:line="276" w:lineRule="auto"/>
        <w:rPr>
          <w:rFonts w:eastAsia="Calibri" w:cs="Arial"/>
          <w:i/>
          <w:szCs w:val="20"/>
          <w:lang w:val="sl-SI"/>
        </w:rPr>
      </w:pPr>
      <w:r w:rsidRPr="005771BD">
        <w:rPr>
          <w:rFonts w:eastAsia="Calibri" w:cs="Arial"/>
          <w:i/>
          <w:szCs w:val="20"/>
          <w:lang w:val="sl-SI"/>
        </w:rPr>
        <w:t>Slika 1</w:t>
      </w:r>
      <w:r w:rsidR="006331C1">
        <w:rPr>
          <w:rFonts w:eastAsia="Calibri" w:cs="Arial"/>
          <w:i/>
          <w:szCs w:val="20"/>
          <w:lang w:val="sl-SI"/>
        </w:rPr>
        <w:t>4</w:t>
      </w:r>
      <w:r w:rsidRPr="005771BD">
        <w:rPr>
          <w:rFonts w:eastAsia="Calibri" w:cs="Arial"/>
          <w:i/>
          <w:szCs w:val="20"/>
          <w:lang w:val="sl-SI"/>
        </w:rPr>
        <w:t>.2: Intenziteta potresa 13. marca 2014 v Suhi krajini po naseljih</w:t>
      </w:r>
    </w:p>
    <w:p w:rsidR="003C1B05" w:rsidRPr="005771BD" w:rsidRDefault="003C1B05" w:rsidP="003C1B05">
      <w:pPr>
        <w:spacing w:after="200" w:line="276" w:lineRule="auto"/>
        <w:rPr>
          <w:rFonts w:eastAsia="Calibri" w:cs="Arial"/>
          <w:b/>
          <w:szCs w:val="20"/>
          <w:lang w:val="sl-SI"/>
        </w:rPr>
      </w:pPr>
      <w:r w:rsidRPr="005771BD">
        <w:rPr>
          <w:rFonts w:eastAsia="Calibri" w:cs="Arial"/>
          <w:b/>
          <w:szCs w:val="20"/>
          <w:lang w:val="sl-SI"/>
        </w:rPr>
        <w:t>1</w:t>
      </w:r>
      <w:r w:rsidR="006331C1">
        <w:rPr>
          <w:rFonts w:eastAsia="Calibri" w:cs="Arial"/>
          <w:b/>
          <w:szCs w:val="20"/>
          <w:lang w:val="sl-SI"/>
        </w:rPr>
        <w:t>4</w:t>
      </w:r>
      <w:r w:rsidRPr="005771BD">
        <w:rPr>
          <w:rFonts w:eastAsia="Calibri" w:cs="Arial"/>
          <w:b/>
          <w:szCs w:val="20"/>
          <w:lang w:val="sl-SI"/>
        </w:rPr>
        <w:t xml:space="preserve">.1.3 Obvladovanje nevarnosti in tveganj  </w:t>
      </w:r>
    </w:p>
    <w:p w:rsidR="003C1B05" w:rsidRPr="005771BD" w:rsidRDefault="003C1B05" w:rsidP="003C1B05">
      <w:pPr>
        <w:spacing w:line="276" w:lineRule="auto"/>
        <w:jc w:val="both"/>
        <w:rPr>
          <w:rFonts w:eastAsia="Calibri" w:cs="Arial"/>
          <w:szCs w:val="20"/>
          <w:lang w:val="sl-SI"/>
        </w:rPr>
      </w:pPr>
      <w:r w:rsidRPr="005771BD">
        <w:rPr>
          <w:rFonts w:eastAsia="Calibri" w:cs="Arial"/>
          <w:szCs w:val="20"/>
          <w:lang w:val="sl-SI"/>
        </w:rPr>
        <w:t>V primerjavi z drugimi naravnimi nesrečami je potres nenaden in nepričakovan pojav. Ne moremo ga vnaprej napovedati, da bi ljudem omogočili pravočasen umik na varno, lahko pa preprečujemo ali zmanjšamo posledice potresov s:</w:t>
      </w:r>
    </w:p>
    <w:p w:rsidR="003C1B05" w:rsidRPr="005771BD" w:rsidRDefault="003C1B05" w:rsidP="003C1B05">
      <w:pPr>
        <w:numPr>
          <w:ilvl w:val="0"/>
          <w:numId w:val="21"/>
        </w:numPr>
        <w:tabs>
          <w:tab w:val="num" w:pos="284"/>
        </w:tabs>
        <w:spacing w:before="60" w:line="276" w:lineRule="auto"/>
        <w:ind w:left="284" w:hanging="284"/>
        <w:jc w:val="both"/>
        <w:rPr>
          <w:rFonts w:eastAsia="Calibri" w:cs="Arial"/>
          <w:szCs w:val="20"/>
          <w:lang w:val="sl-SI"/>
        </w:rPr>
      </w:pPr>
      <w:r w:rsidRPr="005771BD">
        <w:rPr>
          <w:rFonts w:eastAsia="Calibri" w:cs="Arial"/>
          <w:szCs w:val="20"/>
          <w:lang w:val="sl-SI"/>
        </w:rPr>
        <w:t>potresno odporno gradnjo,</w:t>
      </w:r>
    </w:p>
    <w:p w:rsidR="003C1B05" w:rsidRPr="005771BD" w:rsidRDefault="00A11C91" w:rsidP="003C1B05">
      <w:pPr>
        <w:numPr>
          <w:ilvl w:val="0"/>
          <w:numId w:val="21"/>
        </w:numPr>
        <w:tabs>
          <w:tab w:val="num" w:pos="284"/>
        </w:tabs>
        <w:spacing w:before="60" w:line="276" w:lineRule="auto"/>
        <w:ind w:left="284" w:hanging="284"/>
        <w:jc w:val="both"/>
        <w:rPr>
          <w:rFonts w:eastAsia="Calibri" w:cs="Arial"/>
          <w:szCs w:val="20"/>
          <w:lang w:val="sl-SI"/>
        </w:rPr>
      </w:pPr>
      <w:r>
        <w:rPr>
          <w:rFonts w:eastAsia="Calibri" w:cs="Arial"/>
          <w:szCs w:val="20"/>
          <w:lang w:val="sl-SI"/>
        </w:rPr>
        <w:t xml:space="preserve">z usposabljanjem </w:t>
      </w:r>
      <w:r w:rsidR="003C1B05" w:rsidRPr="005771BD">
        <w:rPr>
          <w:rFonts w:eastAsia="Calibri" w:cs="Arial"/>
          <w:szCs w:val="20"/>
          <w:lang w:val="sl-SI"/>
        </w:rPr>
        <w:t xml:space="preserve">prebivalcev za boljši odziv ob potresu, usposabljanjem </w:t>
      </w:r>
      <w:r>
        <w:rPr>
          <w:rFonts w:eastAsia="Calibri" w:cs="Arial"/>
          <w:szCs w:val="20"/>
          <w:lang w:val="sl-SI"/>
        </w:rPr>
        <w:t xml:space="preserve">v okviru </w:t>
      </w:r>
      <w:r w:rsidR="003C1B05" w:rsidRPr="005771BD">
        <w:rPr>
          <w:rFonts w:eastAsia="Calibri" w:cs="Arial"/>
          <w:szCs w:val="20"/>
          <w:lang w:val="sl-SI"/>
        </w:rPr>
        <w:t xml:space="preserve">sistema </w:t>
      </w:r>
      <w:r>
        <w:rPr>
          <w:rFonts w:eastAsia="Calibri" w:cs="Arial"/>
          <w:szCs w:val="20"/>
          <w:lang w:val="sl-SI"/>
        </w:rPr>
        <w:t xml:space="preserve">varstva pred naravnimi in drugimi nesrečami </w:t>
      </w:r>
      <w:r w:rsidR="003C1B05" w:rsidRPr="005771BD">
        <w:rPr>
          <w:rFonts w:eastAsia="Calibri" w:cs="Arial"/>
          <w:szCs w:val="20"/>
          <w:lang w:val="sl-SI"/>
        </w:rPr>
        <w:t xml:space="preserve">ter organov vodenja in upravnih organov na lokalni in državni ravni ter s pripravo </w:t>
      </w:r>
      <w:r>
        <w:rPr>
          <w:rFonts w:eastAsia="Calibri" w:cs="Arial"/>
          <w:szCs w:val="20"/>
          <w:lang w:val="sl-SI"/>
        </w:rPr>
        <w:t>načrtov za zaščito in reševanje ob potresu na državni in lokalni ravni</w:t>
      </w:r>
      <w:r w:rsidR="003C1B05" w:rsidRPr="005771BD">
        <w:rPr>
          <w:rFonts w:eastAsia="Calibri" w:cs="Arial"/>
          <w:szCs w:val="20"/>
          <w:lang w:val="sl-SI"/>
        </w:rPr>
        <w:t>,</w:t>
      </w:r>
    </w:p>
    <w:p w:rsidR="003C1B05" w:rsidRPr="005771BD" w:rsidRDefault="003C1B05" w:rsidP="003C1B05">
      <w:pPr>
        <w:numPr>
          <w:ilvl w:val="0"/>
          <w:numId w:val="21"/>
        </w:numPr>
        <w:tabs>
          <w:tab w:val="num" w:pos="284"/>
        </w:tabs>
        <w:spacing w:before="60" w:after="200" w:line="276" w:lineRule="auto"/>
        <w:ind w:left="284" w:hanging="284"/>
        <w:jc w:val="both"/>
        <w:rPr>
          <w:rFonts w:eastAsia="Calibri" w:cs="Arial"/>
          <w:szCs w:val="20"/>
          <w:lang w:val="sl-SI"/>
        </w:rPr>
      </w:pPr>
      <w:r w:rsidRPr="005771BD">
        <w:rPr>
          <w:rFonts w:eastAsia="Calibri" w:cs="Arial"/>
          <w:szCs w:val="20"/>
          <w:lang w:val="sl-SI"/>
        </w:rPr>
        <w:t>ustrezno organizacijo in delovanjem zdravstvene in socialne službe v primeru rušilnega potresa.</w:t>
      </w:r>
    </w:p>
    <w:p w:rsidR="003C1B05" w:rsidRPr="005771BD" w:rsidRDefault="003C1B05" w:rsidP="003C1B05">
      <w:pPr>
        <w:spacing w:after="200" w:line="276" w:lineRule="auto"/>
        <w:jc w:val="both"/>
        <w:rPr>
          <w:rFonts w:cs="Arial"/>
          <w:szCs w:val="20"/>
          <w:lang w:val="sl-SI" w:eastAsia="sl-SI"/>
        </w:rPr>
      </w:pPr>
      <w:r w:rsidRPr="005771BD">
        <w:rPr>
          <w:rFonts w:cs="Arial"/>
          <w:szCs w:val="20"/>
          <w:lang w:val="sl-SI" w:eastAsia="sl-SI"/>
        </w:rPr>
        <w:t>Za raz</w:t>
      </w:r>
      <w:r>
        <w:rPr>
          <w:rFonts w:cs="Arial"/>
          <w:szCs w:val="20"/>
          <w:lang w:val="sl-SI" w:eastAsia="sl-SI"/>
        </w:rPr>
        <w:t>u</w:t>
      </w:r>
      <w:r w:rsidRPr="005771BD">
        <w:rPr>
          <w:rFonts w:cs="Arial"/>
          <w:szCs w:val="20"/>
          <w:lang w:val="sl-SI" w:eastAsia="sl-SI"/>
        </w:rPr>
        <w:t xml:space="preserve">mevanje </w:t>
      </w:r>
      <w:r>
        <w:rPr>
          <w:rFonts w:cs="Arial"/>
          <w:szCs w:val="20"/>
          <w:lang w:val="sl-SI" w:eastAsia="sl-SI"/>
        </w:rPr>
        <w:t>potresov</w:t>
      </w:r>
      <w:r w:rsidRPr="005771BD">
        <w:rPr>
          <w:rFonts w:cs="Arial"/>
          <w:szCs w:val="20"/>
          <w:lang w:val="sl-SI" w:eastAsia="sl-SI"/>
        </w:rPr>
        <w:t xml:space="preserve"> Agencija RS za okolje vzdržuje državno mrežo potresnih opazovalnic in neprekinjeno spremlja in vrednoti potresno dejavnost na območju Slovenije in okolice ter izdeluje karte potresne nevarnosti. Ob povečani potresni dejavnosti namešča začasne potresne opazovalnice in obvešča službe za zaščito in reševanje. Ob močnejših potresih obvešča javnost in ocenjuje intenzitete potresa v naseljih.  </w:t>
      </w:r>
    </w:p>
    <w:p w:rsidR="003C1B05" w:rsidRPr="005771BD" w:rsidRDefault="003C1B05" w:rsidP="003C1B05">
      <w:pPr>
        <w:spacing w:after="200" w:line="276" w:lineRule="auto"/>
        <w:jc w:val="both"/>
        <w:rPr>
          <w:rFonts w:eastAsia="Calibri" w:cs="Arial"/>
          <w:szCs w:val="20"/>
          <w:lang w:val="sl-SI"/>
        </w:rPr>
      </w:pPr>
      <w:r w:rsidRPr="005771BD">
        <w:rPr>
          <w:rFonts w:eastAsia="Calibri" w:cs="Arial"/>
          <w:szCs w:val="20"/>
          <w:lang w:val="sl-SI"/>
        </w:rPr>
        <w:t>Ob potresu intenzitete VI in VII EMS-98 se aktivirajo sile in sredstva za zaščito, reševanje in pomoč, ob intenziteti VIII EMS-98 ali več pa se aktivira državni načrt zaščite in reševanja (Vlada RS, 2014).</w:t>
      </w:r>
    </w:p>
    <w:p w:rsidR="003C1B05" w:rsidRPr="005771BD" w:rsidRDefault="003C1B05" w:rsidP="003C1B05">
      <w:pPr>
        <w:spacing w:line="276" w:lineRule="auto"/>
        <w:rPr>
          <w:rFonts w:eastAsia="Calibri" w:cs="Arial"/>
          <w:szCs w:val="20"/>
          <w:lang w:val="sl-SI"/>
        </w:rPr>
      </w:pPr>
    </w:p>
    <w:p w:rsidR="003C1B05" w:rsidRPr="005771BD" w:rsidRDefault="003C1B05" w:rsidP="003C1B05">
      <w:pPr>
        <w:spacing w:after="200" w:line="276" w:lineRule="auto"/>
        <w:rPr>
          <w:rFonts w:eastAsia="Calibri" w:cs="Arial"/>
          <w:b/>
          <w:szCs w:val="20"/>
          <w:u w:val="single"/>
          <w:lang w:val="sl-SI"/>
        </w:rPr>
      </w:pPr>
      <w:r w:rsidRPr="005771BD">
        <w:rPr>
          <w:rFonts w:eastAsia="Calibri" w:cs="Arial"/>
          <w:b/>
          <w:szCs w:val="20"/>
          <w:u w:val="single"/>
          <w:lang w:val="sl-SI"/>
        </w:rPr>
        <w:t>1</w:t>
      </w:r>
      <w:r w:rsidR="006331C1">
        <w:rPr>
          <w:rFonts w:eastAsia="Calibri" w:cs="Arial"/>
          <w:b/>
          <w:szCs w:val="20"/>
          <w:u w:val="single"/>
          <w:lang w:val="sl-SI"/>
        </w:rPr>
        <w:t>4</w:t>
      </w:r>
      <w:r w:rsidRPr="005771BD">
        <w:rPr>
          <w:rFonts w:eastAsia="Calibri" w:cs="Arial"/>
          <w:b/>
          <w:szCs w:val="20"/>
          <w:u w:val="single"/>
          <w:lang w:val="sl-SI"/>
        </w:rPr>
        <w:t xml:space="preserve">.2 Visoke vode in poplave </w:t>
      </w:r>
    </w:p>
    <w:p w:rsidR="003C1B05" w:rsidRPr="005771BD" w:rsidRDefault="003C1B05" w:rsidP="003C1B05">
      <w:pPr>
        <w:spacing w:after="200" w:line="276" w:lineRule="auto"/>
        <w:jc w:val="both"/>
        <w:rPr>
          <w:rFonts w:eastAsia="Calibri" w:cs="Arial"/>
          <w:b/>
          <w:szCs w:val="20"/>
          <w:lang w:val="sl-SI"/>
        </w:rPr>
      </w:pPr>
      <w:r w:rsidRPr="005771BD">
        <w:rPr>
          <w:rFonts w:eastAsia="Calibri" w:cs="Arial"/>
          <w:b/>
          <w:szCs w:val="20"/>
          <w:lang w:val="sl-SI"/>
        </w:rPr>
        <w:t>1</w:t>
      </w:r>
      <w:r w:rsidR="006331C1">
        <w:rPr>
          <w:rFonts w:eastAsia="Calibri" w:cs="Arial"/>
          <w:b/>
          <w:szCs w:val="20"/>
          <w:lang w:val="sl-SI"/>
        </w:rPr>
        <w:t>4</w:t>
      </w:r>
      <w:r w:rsidRPr="005771BD">
        <w:rPr>
          <w:rFonts w:eastAsia="Calibri" w:cs="Arial"/>
          <w:b/>
          <w:szCs w:val="20"/>
          <w:lang w:val="sl-SI"/>
        </w:rPr>
        <w:t>.2.1 Opis značilnostipojava</w:t>
      </w:r>
    </w:p>
    <w:p w:rsidR="003C1B05" w:rsidRPr="005771BD" w:rsidRDefault="003C1B05" w:rsidP="003C1B05">
      <w:pPr>
        <w:spacing w:after="200" w:line="276" w:lineRule="auto"/>
        <w:jc w:val="both"/>
        <w:rPr>
          <w:rFonts w:eastAsia="Calibri" w:cs="Arial"/>
          <w:szCs w:val="20"/>
          <w:lang w:val="sl-SI"/>
        </w:rPr>
      </w:pPr>
      <w:r w:rsidRPr="005771BD">
        <w:rPr>
          <w:rFonts w:eastAsia="Calibri" w:cs="Arial"/>
          <w:szCs w:val="20"/>
          <w:lang w:val="sl-SI"/>
        </w:rPr>
        <w:t xml:space="preserve">Poplave so naravni pojavi, ki jih povzročijo močne in/ali dolgotrajne padavine, taljenja snega ali njihove kombinacije. Nastanejo tudi zaradi dviga gladine podzemne vode, dviga </w:t>
      </w:r>
      <w:r>
        <w:rPr>
          <w:rFonts w:eastAsia="Calibri" w:cs="Arial"/>
          <w:szCs w:val="20"/>
          <w:lang w:val="sl-SI"/>
        </w:rPr>
        <w:t>ravni</w:t>
      </w:r>
      <w:r w:rsidRPr="005771BD">
        <w:rPr>
          <w:rFonts w:eastAsia="Calibri" w:cs="Arial"/>
          <w:szCs w:val="20"/>
          <w:lang w:val="sl-SI"/>
        </w:rPr>
        <w:t xml:space="preserve"> morja, nekontroliranih izpustov vode, zajezitve odtoka vode, k njihovemu pojavu pa vse večkrat prispevajo tudi človekovi posegi v naravo (neprimerna raba površin, gospodarske dejavnosti</w:t>
      </w:r>
      <w:r>
        <w:rPr>
          <w:rFonts w:eastAsia="Calibri" w:cs="Arial"/>
          <w:szCs w:val="20"/>
          <w:lang w:val="sl-SI"/>
        </w:rPr>
        <w:t xml:space="preserve"> ipd.</w:t>
      </w:r>
      <w:r w:rsidRPr="005771BD">
        <w:rPr>
          <w:rFonts w:eastAsia="Calibri" w:cs="Arial"/>
          <w:szCs w:val="20"/>
          <w:lang w:val="sl-SI"/>
        </w:rPr>
        <w:t>).</w:t>
      </w:r>
    </w:p>
    <w:p w:rsidR="003C1B05" w:rsidRPr="005771BD" w:rsidRDefault="003C1B05" w:rsidP="003C1B05">
      <w:pPr>
        <w:spacing w:after="200" w:line="276" w:lineRule="auto"/>
        <w:jc w:val="both"/>
        <w:rPr>
          <w:rFonts w:eastAsia="Calibri" w:cs="Arial"/>
          <w:szCs w:val="20"/>
          <w:lang w:val="sl-SI"/>
        </w:rPr>
      </w:pPr>
      <w:r w:rsidRPr="005771BD">
        <w:rPr>
          <w:rFonts w:eastAsia="Calibri" w:cs="Arial"/>
          <w:szCs w:val="20"/>
          <w:lang w:val="sl-SI"/>
        </w:rPr>
        <w:t>V Sloveniji so najpogoste</w:t>
      </w:r>
      <w:r>
        <w:rPr>
          <w:rFonts w:eastAsia="Calibri" w:cs="Arial"/>
          <w:szCs w:val="20"/>
          <w:lang w:val="sl-SI"/>
        </w:rPr>
        <w:t>jše</w:t>
      </w:r>
      <w:r w:rsidRPr="005771BD">
        <w:rPr>
          <w:rFonts w:eastAsia="Calibri" w:cs="Arial"/>
          <w:szCs w:val="20"/>
          <w:lang w:val="sl-SI"/>
        </w:rPr>
        <w:t xml:space="preserve"> poplave, ki nastanejo zaradi intenzivnih padavin.  V odvisnosti od vlažnosti tal, vodne bilance in njenih sestavnih </w:t>
      </w:r>
      <w:r>
        <w:rPr>
          <w:rFonts w:eastAsia="Calibri" w:cs="Arial"/>
          <w:szCs w:val="20"/>
          <w:lang w:val="sl-SI"/>
        </w:rPr>
        <w:t>delov</w:t>
      </w:r>
      <w:r w:rsidRPr="005771BD">
        <w:rPr>
          <w:rFonts w:eastAsia="Calibri" w:cs="Arial"/>
          <w:szCs w:val="20"/>
          <w:lang w:val="sl-SI"/>
        </w:rPr>
        <w:t xml:space="preserve"> se izoblikuje površinski odtok vode. Povečan</w:t>
      </w:r>
      <w:r>
        <w:rPr>
          <w:rFonts w:eastAsia="Calibri" w:cs="Arial"/>
          <w:szCs w:val="20"/>
          <w:lang w:val="sl-SI"/>
        </w:rPr>
        <w:t>i</w:t>
      </w:r>
      <w:r w:rsidRPr="005771BD">
        <w:rPr>
          <w:rFonts w:eastAsia="Calibri" w:cs="Arial"/>
          <w:szCs w:val="20"/>
          <w:lang w:val="sl-SI"/>
        </w:rPr>
        <w:t xml:space="preserve"> pretok v vodotoku nastane zaradi padavinskega dogodka na določenem povodju. Na površinski odtok vpliva vegetacija in z njo povezan</w:t>
      </w:r>
      <w:r>
        <w:rPr>
          <w:rFonts w:eastAsia="Calibri" w:cs="Arial"/>
          <w:szCs w:val="20"/>
          <w:lang w:val="sl-SI"/>
        </w:rPr>
        <w:t>i</w:t>
      </w:r>
      <w:r w:rsidRPr="005771BD">
        <w:rPr>
          <w:rFonts w:eastAsia="Calibri" w:cs="Arial"/>
          <w:szCs w:val="20"/>
          <w:lang w:val="sl-SI"/>
        </w:rPr>
        <w:t xml:space="preserve"> proces evapotranspiracije, izhlapevanje, sposobnost infiltracije in zasičenost tal, višina oziroma prisotnost podtalnice, območja zadrževanja vode (npr. depresije), velikost povodja, naklon terena in pokrovnost tal.</w:t>
      </w:r>
    </w:p>
    <w:p w:rsidR="003C1B05" w:rsidRPr="005771BD" w:rsidRDefault="003C1B05" w:rsidP="003C1B05">
      <w:pPr>
        <w:spacing w:after="200" w:line="276" w:lineRule="auto"/>
        <w:jc w:val="both"/>
        <w:rPr>
          <w:rFonts w:eastAsia="Calibri" w:cs="Arial"/>
          <w:szCs w:val="20"/>
          <w:lang w:val="sl-SI"/>
        </w:rPr>
      </w:pPr>
      <w:r>
        <w:rPr>
          <w:rFonts w:eastAsia="Calibri" w:cs="Arial"/>
          <w:szCs w:val="20"/>
          <w:lang w:val="sl-SI"/>
        </w:rPr>
        <w:t>Zaradi</w:t>
      </w:r>
      <w:r w:rsidRPr="005771BD">
        <w:rPr>
          <w:rFonts w:eastAsia="Calibri" w:cs="Arial"/>
          <w:szCs w:val="20"/>
          <w:lang w:val="sl-SI"/>
        </w:rPr>
        <w:t xml:space="preserve"> povečanih količin vode se v strugi vodotoka dvigne </w:t>
      </w:r>
      <w:r>
        <w:rPr>
          <w:rFonts w:eastAsia="Calibri" w:cs="Arial"/>
          <w:szCs w:val="20"/>
          <w:lang w:val="sl-SI"/>
        </w:rPr>
        <w:t>raven</w:t>
      </w:r>
      <w:r w:rsidRPr="005771BD">
        <w:rPr>
          <w:rFonts w:eastAsia="Calibri" w:cs="Arial"/>
          <w:szCs w:val="20"/>
          <w:lang w:val="sl-SI"/>
        </w:rPr>
        <w:t xml:space="preserve"> gladine vode in ta začne prestopati bregove rek. Ko se nenasičeno območje zasiči z vodo, k večanju pretoka reke prispeva še podpovršinski tok. Podpovršinski tok je del padavin, ki ne ponikne do podtalnice, ampak teče prek zgornjih podzemeljskih plasti proti vodotoku.</w:t>
      </w:r>
    </w:p>
    <w:p w:rsidR="003C1B05" w:rsidRPr="005771BD" w:rsidRDefault="003C1B05" w:rsidP="003C1B05">
      <w:pPr>
        <w:spacing w:after="200" w:line="276" w:lineRule="auto"/>
        <w:jc w:val="both"/>
        <w:rPr>
          <w:rFonts w:eastAsia="Calibri" w:cs="Arial"/>
          <w:szCs w:val="20"/>
          <w:lang w:val="sl-SI"/>
        </w:rPr>
      </w:pPr>
      <w:r w:rsidRPr="005771BD">
        <w:rPr>
          <w:rFonts w:eastAsia="Calibri" w:cs="Arial"/>
          <w:szCs w:val="20"/>
          <w:lang w:val="sl-SI"/>
        </w:rPr>
        <w:t xml:space="preserve">Največkrat pride do poplavnih dogodkov v mesecih z večjo količino padavin v kombinaciji s taljenjem snega, hkrati so podzemni rezervoarji zaradi prevelike vlažnosti precej polni, zato se voda v njih ne more več zadrževati. Ker pa je talna podlaga v zimskih mesecih zmrznjena, je odtok vode še dodatno otežen, s tem pa možnost za nastanek poplave še toliko večja. Ob poplavah poleg intenzivnih erozijskih procesov v in ob strugah vodotokov običajno </w:t>
      </w:r>
      <w:r>
        <w:rPr>
          <w:rFonts w:eastAsia="Calibri" w:cs="Arial"/>
          <w:szCs w:val="20"/>
          <w:lang w:val="sl-SI"/>
        </w:rPr>
        <w:t>nastajajo</w:t>
      </w:r>
      <w:r w:rsidRPr="005771BD">
        <w:rPr>
          <w:rFonts w:eastAsia="Calibri" w:cs="Arial"/>
          <w:szCs w:val="20"/>
          <w:lang w:val="sl-SI"/>
        </w:rPr>
        <w:t xml:space="preserve"> tudi zemeljski plazovi in redkeje tudi drobirski tokovi, zato je možnost nastanka tovrstnih verižnih nesreč razmeroma velika in tudi posledice so lahko znatne. </w:t>
      </w:r>
    </w:p>
    <w:p w:rsidR="003C1B05" w:rsidRPr="005771BD" w:rsidRDefault="003C1B05" w:rsidP="003C1B05">
      <w:pPr>
        <w:spacing w:after="200" w:line="276" w:lineRule="auto"/>
        <w:jc w:val="both"/>
        <w:rPr>
          <w:rFonts w:eastAsia="Calibri" w:cs="Arial"/>
          <w:szCs w:val="20"/>
          <w:lang w:val="sl-SI"/>
        </w:rPr>
      </w:pPr>
      <w:r w:rsidRPr="005771BD">
        <w:rPr>
          <w:rFonts w:eastAsia="Calibri" w:cs="Arial"/>
          <w:szCs w:val="20"/>
          <w:lang w:val="sl-SI"/>
        </w:rPr>
        <w:t>Do poplavljanja lahko pride tudi zaradi zmanjšane pretočnosti vodotokov (zaraščene brežine vodotokov, neočiščene struge). Večjo poplavno ogroženost je bilo mogoče zaznati tudi zaradi erozijskih procesov po žledolomu v letu 2014. V mesecih po tej naravni nesreči je bila večja stopnja tveganja za poplave predvsem zaradi ogromnih količin drevja in plavja v strugah, ki so zmanjševali pretočnost struge vodotokov. Zaradi poškodb zarasti na vodnih in priobalnih zemljiščih je</w:t>
      </w:r>
      <w:r>
        <w:rPr>
          <w:rFonts w:eastAsia="Calibri" w:cs="Arial"/>
          <w:szCs w:val="20"/>
          <w:lang w:val="sl-SI"/>
        </w:rPr>
        <w:t xml:space="preserve"> bilo</w:t>
      </w:r>
      <w:r w:rsidRPr="005771BD">
        <w:rPr>
          <w:rFonts w:eastAsia="Calibri" w:cs="Arial"/>
          <w:szCs w:val="20"/>
          <w:lang w:val="sl-SI"/>
        </w:rPr>
        <w:t xml:space="preserve"> tudi v letu 2015 še vedno zaznati povišan vnos proda in zemljine v vodotoke, ki lahko zmanjšujejo poplavno varnost določenih območij.  </w:t>
      </w:r>
    </w:p>
    <w:p w:rsidR="003C1B05" w:rsidRPr="005771BD" w:rsidRDefault="003C1B05" w:rsidP="003C1B05">
      <w:pPr>
        <w:keepNext/>
        <w:keepLines/>
        <w:spacing w:before="200" w:after="200" w:line="276" w:lineRule="auto"/>
        <w:outlineLvl w:val="1"/>
        <w:rPr>
          <w:rFonts w:cs="Arial"/>
          <w:b/>
          <w:bCs/>
          <w:color w:val="000000"/>
          <w:szCs w:val="20"/>
          <w:lang w:val="sl-SI"/>
        </w:rPr>
      </w:pPr>
      <w:r w:rsidRPr="005771BD">
        <w:rPr>
          <w:rFonts w:cs="Arial"/>
          <w:b/>
          <w:bCs/>
          <w:color w:val="000000"/>
          <w:szCs w:val="20"/>
          <w:lang w:val="sl-SI"/>
        </w:rPr>
        <w:t>1</w:t>
      </w:r>
      <w:r w:rsidR="006331C1">
        <w:rPr>
          <w:rFonts w:cs="Arial"/>
          <w:b/>
          <w:bCs/>
          <w:color w:val="000000"/>
          <w:szCs w:val="20"/>
          <w:lang w:val="sl-SI"/>
        </w:rPr>
        <w:t>4</w:t>
      </w:r>
      <w:r w:rsidRPr="005771BD">
        <w:rPr>
          <w:rFonts w:cs="Arial"/>
          <w:b/>
          <w:bCs/>
          <w:color w:val="000000"/>
          <w:szCs w:val="20"/>
          <w:lang w:val="sl-SI"/>
        </w:rPr>
        <w:t>.2.2 Vrste poplav</w:t>
      </w:r>
    </w:p>
    <w:p w:rsidR="003C1B05" w:rsidRPr="005771BD" w:rsidRDefault="003C1B05" w:rsidP="003C1B05">
      <w:pPr>
        <w:spacing w:after="200" w:line="276" w:lineRule="auto"/>
        <w:jc w:val="both"/>
        <w:rPr>
          <w:rFonts w:eastAsia="Calibri" w:cs="Arial"/>
          <w:szCs w:val="20"/>
          <w:lang w:val="sl-SI"/>
        </w:rPr>
      </w:pPr>
      <w:r w:rsidRPr="005771BD">
        <w:rPr>
          <w:rFonts w:eastAsia="Calibri" w:cs="Arial"/>
          <w:szCs w:val="20"/>
          <w:lang w:val="sl-SI"/>
        </w:rPr>
        <w:t>Na podlagi glavnih značilnosti poplav (odvisnosti pretoka v vodotoku, ki poplavo povzroči) in glede na območje poplavljanja delimo poplave na nižinske, hudourniške, poplave na kraških poljih, morske poplave in tehnične poplave</w:t>
      </w:r>
      <w:r>
        <w:rPr>
          <w:rFonts w:eastAsia="Calibri" w:cs="Arial"/>
          <w:szCs w:val="20"/>
          <w:lang w:val="sl-SI"/>
        </w:rPr>
        <w:t>.</w:t>
      </w:r>
    </w:p>
    <w:p w:rsidR="003C1B05" w:rsidRPr="005771BD" w:rsidRDefault="003C1B05" w:rsidP="003C1B05">
      <w:pPr>
        <w:keepNext/>
        <w:keepLines/>
        <w:spacing w:before="200" w:after="200" w:line="276" w:lineRule="auto"/>
        <w:outlineLvl w:val="2"/>
        <w:rPr>
          <w:rFonts w:cs="Arial"/>
          <w:bCs/>
          <w:i/>
          <w:szCs w:val="20"/>
          <w:u w:val="single"/>
          <w:lang w:val="sl-SI"/>
        </w:rPr>
      </w:pPr>
      <w:r w:rsidRPr="005771BD">
        <w:rPr>
          <w:rFonts w:cs="Arial"/>
          <w:bCs/>
          <w:i/>
          <w:szCs w:val="20"/>
          <w:u w:val="single"/>
          <w:lang w:val="sl-SI"/>
        </w:rPr>
        <w:t>Nižinske poplave</w:t>
      </w:r>
    </w:p>
    <w:p w:rsidR="003C1B05" w:rsidRPr="005771BD" w:rsidRDefault="003C1B05" w:rsidP="003C1B05">
      <w:pPr>
        <w:spacing w:after="200" w:line="276" w:lineRule="auto"/>
        <w:jc w:val="both"/>
        <w:rPr>
          <w:rFonts w:eastAsia="Calibri" w:cs="Arial"/>
          <w:szCs w:val="20"/>
          <w:lang w:val="sl-SI"/>
        </w:rPr>
      </w:pPr>
      <w:r>
        <w:rPr>
          <w:rFonts w:eastAsia="Calibri" w:cs="Arial"/>
          <w:szCs w:val="20"/>
          <w:lang w:val="sl-SI"/>
        </w:rPr>
        <w:t>Nižinske poplave nastajajo</w:t>
      </w:r>
      <w:r w:rsidRPr="005771BD">
        <w:rPr>
          <w:rFonts w:eastAsia="Calibri" w:cs="Arial"/>
          <w:szCs w:val="20"/>
          <w:lang w:val="sl-SI"/>
        </w:rPr>
        <w:t xml:space="preserve"> v spodnjem toku vodotoka, ko njegova struga preide v ravninske predele. </w:t>
      </w:r>
      <w:r>
        <w:rPr>
          <w:rFonts w:eastAsia="Calibri" w:cs="Arial"/>
          <w:szCs w:val="20"/>
          <w:lang w:val="sl-SI"/>
        </w:rPr>
        <w:t>Če</w:t>
      </w:r>
      <w:r w:rsidRPr="005771BD">
        <w:rPr>
          <w:rFonts w:eastAsia="Calibri" w:cs="Arial"/>
          <w:szCs w:val="20"/>
          <w:lang w:val="sl-SI"/>
        </w:rPr>
        <w:t xml:space="preserve"> je struga vodotoka razmeroma enovita po širini, pride do nezmožnosti prevajanja vodnih količin, ko se naklon vodotoka zravna. Velike količine vode z veliko hitrostjo preidejo v nižinski del, kjer se voda bistveno upočasni. Ker struge niso več zmožne prevajati izdatnih količin vode, </w:t>
      </w:r>
      <w:r>
        <w:rPr>
          <w:rFonts w:eastAsia="Calibri" w:cs="Arial"/>
          <w:szCs w:val="20"/>
          <w:lang w:val="sl-SI"/>
        </w:rPr>
        <w:t>voda</w:t>
      </w:r>
      <w:r w:rsidRPr="005771BD">
        <w:rPr>
          <w:rFonts w:eastAsia="Calibri" w:cs="Arial"/>
          <w:szCs w:val="20"/>
          <w:lang w:val="sl-SI"/>
        </w:rPr>
        <w:t xml:space="preserve"> prestop</w:t>
      </w:r>
      <w:r>
        <w:rPr>
          <w:rFonts w:eastAsia="Calibri" w:cs="Arial"/>
          <w:szCs w:val="20"/>
          <w:lang w:val="sl-SI"/>
        </w:rPr>
        <w:t>i</w:t>
      </w:r>
      <w:r w:rsidRPr="005771BD">
        <w:rPr>
          <w:rFonts w:eastAsia="Calibri" w:cs="Arial"/>
          <w:szCs w:val="20"/>
          <w:lang w:val="sl-SI"/>
        </w:rPr>
        <w:t xml:space="preserve"> bregov</w:t>
      </w:r>
      <w:r>
        <w:rPr>
          <w:rFonts w:eastAsia="Calibri" w:cs="Arial"/>
          <w:szCs w:val="20"/>
          <w:lang w:val="sl-SI"/>
        </w:rPr>
        <w:t>e</w:t>
      </w:r>
      <w:r w:rsidRPr="005771BD">
        <w:rPr>
          <w:rFonts w:eastAsia="Calibri" w:cs="Arial"/>
          <w:szCs w:val="20"/>
          <w:lang w:val="sl-SI"/>
        </w:rPr>
        <w:t xml:space="preserve"> in </w:t>
      </w:r>
      <w:r>
        <w:rPr>
          <w:rFonts w:eastAsia="Calibri" w:cs="Arial"/>
          <w:szCs w:val="20"/>
          <w:lang w:val="sl-SI"/>
        </w:rPr>
        <w:t xml:space="preserve">pride do </w:t>
      </w:r>
      <w:r w:rsidRPr="005771BD">
        <w:rPr>
          <w:rFonts w:eastAsia="Calibri" w:cs="Arial"/>
          <w:szCs w:val="20"/>
          <w:lang w:val="sl-SI"/>
        </w:rPr>
        <w:t xml:space="preserve">poplavljanja. </w:t>
      </w:r>
    </w:p>
    <w:p w:rsidR="003C1B05" w:rsidRPr="005771BD" w:rsidRDefault="003C1B05" w:rsidP="003C1B05">
      <w:pPr>
        <w:keepNext/>
        <w:spacing w:after="200" w:line="276" w:lineRule="auto"/>
        <w:jc w:val="center"/>
        <w:rPr>
          <w:rFonts w:eastAsia="Calibri" w:cs="Arial"/>
          <w:szCs w:val="20"/>
          <w:lang w:val="sl-SI"/>
        </w:rPr>
      </w:pPr>
      <w:r w:rsidRPr="007F272F">
        <w:rPr>
          <w:rFonts w:eastAsia="Calibri" w:cs="Arial"/>
          <w:noProof/>
          <w:color w:val="000000"/>
          <w:szCs w:val="20"/>
          <w:lang w:val="sl-SI" w:eastAsia="sl-SI"/>
        </w:rPr>
        <w:drawing>
          <wp:inline distT="0" distB="0" distL="0" distR="0" wp14:anchorId="447E7BC9" wp14:editId="435FB1AD">
            <wp:extent cx="3360716" cy="2155056"/>
            <wp:effectExtent l="0" t="0" r="0" b="0"/>
            <wp:docPr id="89" name="Slika 6" descr="E:\1. SLUŽBA\SLIKE\TEREN - SLIKE\POPLAVE _oktober_2014\2014-10-22 11.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1. SLUŽBA\SLIKE\TEREN - SLIKE\POPLAVE _oktober_2014\2014-10-22 11.00.21.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3358756" cy="2153799"/>
                    </a:xfrm>
                    <a:prstGeom prst="rect">
                      <a:avLst/>
                    </a:prstGeom>
                    <a:ln>
                      <a:noFill/>
                    </a:ln>
                    <a:effectLst>
                      <a:softEdge rad="112500"/>
                    </a:effectLst>
                  </pic:spPr>
                </pic:pic>
              </a:graphicData>
            </a:graphic>
          </wp:inline>
        </w:drawing>
      </w:r>
    </w:p>
    <w:p w:rsidR="003C1B05" w:rsidRPr="005771BD" w:rsidRDefault="003C1B05" w:rsidP="003C1B05">
      <w:pPr>
        <w:spacing w:after="360" w:line="276" w:lineRule="auto"/>
        <w:rPr>
          <w:rFonts w:cs="Arial"/>
          <w:bCs/>
          <w:i/>
          <w:szCs w:val="20"/>
          <w:lang w:val="sl-SI" w:eastAsia="sl-SI"/>
        </w:rPr>
      </w:pPr>
      <w:r w:rsidRPr="005771BD">
        <w:rPr>
          <w:rFonts w:cs="Arial"/>
          <w:bCs/>
          <w:i/>
          <w:szCs w:val="20"/>
          <w:lang w:val="sl-SI" w:eastAsia="sl-SI"/>
        </w:rPr>
        <w:t>Slika 1</w:t>
      </w:r>
      <w:r w:rsidR="006331C1">
        <w:rPr>
          <w:rFonts w:cs="Arial"/>
          <w:bCs/>
          <w:i/>
          <w:szCs w:val="20"/>
          <w:lang w:val="sl-SI" w:eastAsia="sl-SI"/>
        </w:rPr>
        <w:t>4</w:t>
      </w:r>
      <w:r w:rsidRPr="005771BD">
        <w:rPr>
          <w:rFonts w:cs="Arial"/>
          <w:bCs/>
          <w:i/>
          <w:szCs w:val="20"/>
          <w:lang w:val="sl-SI" w:eastAsia="sl-SI"/>
        </w:rPr>
        <w:t>.3: Poplave oktob</w:t>
      </w:r>
      <w:r>
        <w:rPr>
          <w:rFonts w:cs="Arial"/>
          <w:bCs/>
          <w:i/>
          <w:szCs w:val="20"/>
          <w:lang w:val="sl-SI" w:eastAsia="sl-SI"/>
        </w:rPr>
        <w:t>ra</w:t>
      </w:r>
      <w:r w:rsidRPr="005771BD">
        <w:rPr>
          <w:rFonts w:cs="Arial"/>
          <w:bCs/>
          <w:i/>
          <w:szCs w:val="20"/>
          <w:lang w:val="sl-SI" w:eastAsia="sl-SI"/>
        </w:rPr>
        <w:t xml:space="preserve"> 2014, Ljubljana Vič (foto: Jakopič</w:t>
      </w:r>
      <w:r>
        <w:rPr>
          <w:rFonts w:cs="Arial"/>
          <w:bCs/>
          <w:i/>
          <w:szCs w:val="20"/>
          <w:lang w:val="sl-SI" w:eastAsia="sl-SI"/>
        </w:rPr>
        <w:t>,</w:t>
      </w:r>
      <w:r w:rsidRPr="005771BD">
        <w:rPr>
          <w:rFonts w:cs="Arial"/>
          <w:bCs/>
          <w:i/>
          <w:szCs w:val="20"/>
          <w:lang w:val="sl-SI" w:eastAsia="sl-SI"/>
        </w:rPr>
        <w:t xml:space="preserve"> B. 2014)</w:t>
      </w:r>
    </w:p>
    <w:p w:rsidR="003C1B05" w:rsidRPr="005771BD" w:rsidRDefault="003C1B05" w:rsidP="003C1B05">
      <w:pPr>
        <w:keepNext/>
        <w:keepLines/>
        <w:spacing w:before="200" w:after="200" w:line="276" w:lineRule="auto"/>
        <w:outlineLvl w:val="2"/>
        <w:rPr>
          <w:rFonts w:cs="Arial"/>
          <w:bCs/>
          <w:i/>
          <w:szCs w:val="20"/>
          <w:u w:val="single"/>
          <w:lang w:val="sl-SI"/>
        </w:rPr>
      </w:pPr>
      <w:r w:rsidRPr="005771BD">
        <w:rPr>
          <w:rFonts w:cs="Arial"/>
          <w:bCs/>
          <w:i/>
          <w:szCs w:val="20"/>
          <w:u w:val="single"/>
          <w:lang w:val="sl-SI"/>
        </w:rPr>
        <w:t xml:space="preserve">Hudourniške poplave </w:t>
      </w:r>
    </w:p>
    <w:p w:rsidR="003C1B05" w:rsidRPr="005771BD" w:rsidRDefault="003C1B05" w:rsidP="003C1B05">
      <w:pPr>
        <w:spacing w:after="200" w:line="276" w:lineRule="auto"/>
        <w:jc w:val="both"/>
        <w:rPr>
          <w:rFonts w:eastAsia="Calibri" w:cs="Arial"/>
          <w:szCs w:val="20"/>
          <w:lang w:val="sl-SI"/>
        </w:rPr>
      </w:pPr>
      <w:r w:rsidRPr="005771BD">
        <w:rPr>
          <w:rFonts w:eastAsia="Calibri" w:cs="Arial"/>
          <w:szCs w:val="20"/>
          <w:lang w:val="sl-SI"/>
        </w:rPr>
        <w:t xml:space="preserve">So kratkotrajni in močni poplavni dogodki v zgornjem toku vodotokov, ki jih povzročajo kratkotrajne, a intenzivne padavine. </w:t>
      </w:r>
    </w:p>
    <w:p w:rsidR="003C1B05" w:rsidRPr="005771BD" w:rsidRDefault="003C1B05" w:rsidP="003C1B05">
      <w:pPr>
        <w:keepNext/>
        <w:spacing w:after="200" w:line="276" w:lineRule="auto"/>
        <w:jc w:val="center"/>
        <w:rPr>
          <w:rFonts w:eastAsia="Calibri" w:cs="Arial"/>
          <w:szCs w:val="20"/>
          <w:lang w:val="sl-SI"/>
        </w:rPr>
      </w:pPr>
      <w:r w:rsidRPr="007F272F">
        <w:rPr>
          <w:rFonts w:eastAsia="Calibri" w:cs="Arial"/>
          <w:noProof/>
          <w:szCs w:val="20"/>
          <w:lang w:val="sl-SI" w:eastAsia="sl-SI"/>
        </w:rPr>
        <w:drawing>
          <wp:inline distT="0" distB="0" distL="0" distR="0" wp14:anchorId="493003A7" wp14:editId="5208F449">
            <wp:extent cx="3453614" cy="2296509"/>
            <wp:effectExtent l="0" t="0" r="0" b="8890"/>
            <wp:docPr id="543" name="Slika 7" descr="Rezultat iskanja slik za HUDOURNIŠKE POPLAVE KRO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zultat iskanja slik za HUDOURNIŠKE POPLAVE KROPA"/>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456832" cy="2298649"/>
                    </a:xfrm>
                    <a:prstGeom prst="rect">
                      <a:avLst/>
                    </a:prstGeom>
                    <a:ln>
                      <a:noFill/>
                    </a:ln>
                    <a:effectLst>
                      <a:softEdge rad="112500"/>
                    </a:effectLst>
                  </pic:spPr>
                </pic:pic>
              </a:graphicData>
            </a:graphic>
          </wp:inline>
        </w:drawing>
      </w:r>
    </w:p>
    <w:p w:rsidR="003C1B05" w:rsidRPr="005771BD" w:rsidRDefault="003C1B05" w:rsidP="003C1B05">
      <w:pPr>
        <w:spacing w:line="276" w:lineRule="auto"/>
        <w:rPr>
          <w:rFonts w:cs="Arial"/>
          <w:bCs/>
          <w:i/>
          <w:szCs w:val="20"/>
          <w:lang w:val="sl-SI" w:eastAsia="sl-SI"/>
        </w:rPr>
      </w:pPr>
      <w:r w:rsidRPr="005771BD">
        <w:rPr>
          <w:rFonts w:cs="Arial"/>
          <w:bCs/>
          <w:i/>
          <w:szCs w:val="20"/>
          <w:lang w:val="sl-SI" w:eastAsia="sl-SI"/>
        </w:rPr>
        <w:t>Slika 1</w:t>
      </w:r>
      <w:r w:rsidR="006331C1">
        <w:rPr>
          <w:rFonts w:cs="Arial"/>
          <w:bCs/>
          <w:i/>
          <w:szCs w:val="20"/>
          <w:lang w:val="sl-SI" w:eastAsia="sl-SI"/>
        </w:rPr>
        <w:t>4</w:t>
      </w:r>
      <w:r w:rsidRPr="005771BD">
        <w:rPr>
          <w:rFonts w:cs="Arial"/>
          <w:bCs/>
          <w:i/>
          <w:szCs w:val="20"/>
          <w:lang w:val="sl-SI" w:eastAsia="sl-SI"/>
        </w:rPr>
        <w:t>.4: Poplave septemb</w:t>
      </w:r>
      <w:r>
        <w:rPr>
          <w:rFonts w:cs="Arial"/>
          <w:bCs/>
          <w:i/>
          <w:szCs w:val="20"/>
          <w:lang w:val="sl-SI" w:eastAsia="sl-SI"/>
        </w:rPr>
        <w:t>ra</w:t>
      </w:r>
      <w:r w:rsidRPr="005771BD">
        <w:rPr>
          <w:rFonts w:cs="Arial"/>
          <w:bCs/>
          <w:i/>
          <w:szCs w:val="20"/>
          <w:lang w:val="sl-SI" w:eastAsia="sl-SI"/>
        </w:rPr>
        <w:t xml:space="preserve"> 2007, Kropa </w:t>
      </w:r>
    </w:p>
    <w:p w:rsidR="003C1B05" w:rsidRPr="005771BD" w:rsidRDefault="003C1B05" w:rsidP="003C1B05">
      <w:pPr>
        <w:spacing w:after="360" w:line="276" w:lineRule="auto"/>
        <w:rPr>
          <w:rFonts w:cs="Arial"/>
          <w:bCs/>
          <w:i/>
          <w:szCs w:val="20"/>
          <w:lang w:val="sl-SI" w:eastAsia="sl-SI"/>
        </w:rPr>
      </w:pPr>
      <w:r w:rsidRPr="005771BD">
        <w:rPr>
          <w:rFonts w:cs="Arial"/>
          <w:bCs/>
          <w:i/>
          <w:szCs w:val="20"/>
          <w:lang w:val="sl-SI" w:eastAsia="sl-SI"/>
        </w:rPr>
        <w:t xml:space="preserve">Vir : </w:t>
      </w:r>
      <w:hyperlink r:id="rId240" w:history="1">
        <w:r w:rsidRPr="005771BD">
          <w:rPr>
            <w:rFonts w:cs="Arial"/>
            <w:bCs/>
            <w:i/>
            <w:szCs w:val="20"/>
            <w:u w:val="single"/>
            <w:lang w:val="sl-SI" w:eastAsia="sl-SI"/>
          </w:rPr>
          <w:t>http://www.mojalbum.com/pgdljubno/intervencija-poplave-ljubno-kropa/predvajaj-veliko</w:t>
        </w:r>
      </w:hyperlink>
    </w:p>
    <w:p w:rsidR="003C1B05" w:rsidRPr="005771BD" w:rsidRDefault="003C1B05" w:rsidP="003C1B05">
      <w:pPr>
        <w:keepNext/>
        <w:keepLines/>
        <w:spacing w:before="200" w:after="200" w:line="276" w:lineRule="auto"/>
        <w:outlineLvl w:val="2"/>
        <w:rPr>
          <w:rFonts w:cs="Arial"/>
          <w:bCs/>
          <w:szCs w:val="20"/>
          <w:lang w:val="sl-SI"/>
        </w:rPr>
      </w:pPr>
      <w:r w:rsidRPr="005771BD">
        <w:rPr>
          <w:rFonts w:cs="Arial"/>
          <w:bCs/>
          <w:szCs w:val="20"/>
          <w:lang w:val="sl-SI"/>
        </w:rPr>
        <w:t>Hudourniške poplave zaradi svoje silovitosti povzročajo veliko škodo. Večja neposredna ogroženost nastane ob izbruhih hudournikov, k</w:t>
      </w:r>
      <w:r>
        <w:rPr>
          <w:rFonts w:cs="Arial"/>
          <w:bCs/>
          <w:szCs w:val="20"/>
          <w:lang w:val="sl-SI"/>
        </w:rPr>
        <w:t>i jih</w:t>
      </w:r>
      <w:r w:rsidRPr="005771BD">
        <w:rPr>
          <w:rFonts w:cs="Arial"/>
          <w:bCs/>
          <w:szCs w:val="20"/>
          <w:lang w:val="sl-SI"/>
        </w:rPr>
        <w:t xml:space="preserve"> lahko spremljajo blatni ali murasti tokovi,  na območju nevarnostnega potenciala tako povzročajo premike strug, erozijo brežin in širšega priobalnega pasa. Kot posledica erozijskega delovanja lahko </w:t>
      </w:r>
      <w:r>
        <w:rPr>
          <w:rFonts w:cs="Arial"/>
          <w:bCs/>
          <w:szCs w:val="20"/>
          <w:lang w:val="sl-SI"/>
        </w:rPr>
        <w:t>nastanejo</w:t>
      </w:r>
      <w:r w:rsidRPr="005771BD">
        <w:rPr>
          <w:rFonts w:cs="Arial"/>
          <w:bCs/>
          <w:szCs w:val="20"/>
          <w:lang w:val="sl-SI"/>
        </w:rPr>
        <w:t xml:space="preserve"> tudi plazovi. V primeru tovrstnih poplav je zaznati tudi povečanje prodonosnosti.</w:t>
      </w:r>
    </w:p>
    <w:p w:rsidR="003C1B05" w:rsidRPr="005771BD" w:rsidRDefault="003C1B05" w:rsidP="003C1B05">
      <w:pPr>
        <w:keepNext/>
        <w:keepLines/>
        <w:spacing w:before="200" w:after="200" w:line="276" w:lineRule="auto"/>
        <w:outlineLvl w:val="2"/>
        <w:rPr>
          <w:rFonts w:cs="Arial"/>
          <w:bCs/>
          <w:i/>
          <w:szCs w:val="20"/>
          <w:u w:val="single"/>
          <w:lang w:val="sl-SI"/>
        </w:rPr>
      </w:pPr>
      <w:r w:rsidRPr="005771BD">
        <w:rPr>
          <w:rFonts w:cs="Arial"/>
          <w:bCs/>
          <w:i/>
          <w:szCs w:val="20"/>
          <w:u w:val="single"/>
          <w:lang w:val="sl-SI"/>
        </w:rPr>
        <w:t xml:space="preserve">Poplavljanje kraških polj </w:t>
      </w:r>
    </w:p>
    <w:p w:rsidR="003C1B05" w:rsidRPr="005771BD" w:rsidRDefault="003C1B05" w:rsidP="003C1B05">
      <w:pPr>
        <w:spacing w:after="200" w:line="276" w:lineRule="auto"/>
        <w:jc w:val="both"/>
        <w:rPr>
          <w:rFonts w:eastAsia="Calibri" w:cs="Arial"/>
          <w:szCs w:val="20"/>
          <w:lang w:val="sl-SI"/>
        </w:rPr>
      </w:pPr>
      <w:r w:rsidRPr="005771BD">
        <w:rPr>
          <w:rFonts w:eastAsia="Calibri" w:cs="Arial"/>
          <w:szCs w:val="20"/>
          <w:lang w:val="sl-SI"/>
        </w:rPr>
        <w:t xml:space="preserve">Poplavljanje kraških polj je značilno v dolinskem toku na prodnih ravnicah, ki nastanejo na kraških tleh Slovenije. Zaradi dolgotrajnih padavin, taljenja snega in žleda je dotok na polja večji kot odtok v požiralnikih. Običajne ojezeritve kraških polj se povečajo in poplavljajo naselja ob robu kraških polj. Dogodek je umirjen, voda narašča počasi, a vztrajno nekaj dni. Postopno prihaja do prekinitev komunikacij, prizadeta je kritična infrastruktura, </w:t>
      </w:r>
      <w:r>
        <w:rPr>
          <w:rFonts w:eastAsia="Calibri" w:cs="Arial"/>
          <w:szCs w:val="20"/>
          <w:lang w:val="sl-SI"/>
        </w:rPr>
        <w:t>nastanejo</w:t>
      </w:r>
      <w:r w:rsidRPr="005771BD">
        <w:rPr>
          <w:rFonts w:eastAsia="Calibri" w:cs="Arial"/>
          <w:szCs w:val="20"/>
          <w:lang w:val="sl-SI"/>
        </w:rPr>
        <w:t xml:space="preserve"> težave z dostavo pitne vode in živil, dostop do delov naselij je mo</w:t>
      </w:r>
      <w:r>
        <w:rPr>
          <w:rFonts w:eastAsia="Calibri" w:cs="Arial"/>
          <w:szCs w:val="20"/>
          <w:lang w:val="sl-SI"/>
        </w:rPr>
        <w:t>goč</w:t>
      </w:r>
      <w:r w:rsidRPr="005771BD">
        <w:rPr>
          <w:rFonts w:eastAsia="Calibri" w:cs="Arial"/>
          <w:szCs w:val="20"/>
          <w:lang w:val="sl-SI"/>
        </w:rPr>
        <w:t xml:space="preserve"> le s plovili. </w:t>
      </w:r>
      <w:r>
        <w:rPr>
          <w:rFonts w:eastAsia="Calibri" w:cs="Arial"/>
          <w:szCs w:val="20"/>
          <w:lang w:val="sl-SI"/>
        </w:rPr>
        <w:t>Nastanejo</w:t>
      </w:r>
      <w:r w:rsidRPr="005771BD">
        <w:rPr>
          <w:rFonts w:eastAsia="Calibri" w:cs="Arial"/>
          <w:szCs w:val="20"/>
          <w:lang w:val="sl-SI"/>
        </w:rPr>
        <w:t xml:space="preserve"> težave z varnostjo prizadetih prebivalcev. Pojav je dolgotrajen, objekti so poplavljeni mesec dni.</w:t>
      </w:r>
    </w:p>
    <w:p w:rsidR="003C1B05" w:rsidRPr="005771BD" w:rsidRDefault="003C1B05" w:rsidP="003C1B05">
      <w:pPr>
        <w:keepNext/>
        <w:keepLines/>
        <w:spacing w:before="200" w:after="200" w:line="276" w:lineRule="auto"/>
        <w:outlineLvl w:val="2"/>
        <w:rPr>
          <w:rFonts w:cs="Arial"/>
          <w:bCs/>
          <w:i/>
          <w:szCs w:val="20"/>
          <w:u w:val="single"/>
          <w:lang w:val="sl-SI"/>
        </w:rPr>
      </w:pPr>
      <w:r w:rsidRPr="005771BD">
        <w:rPr>
          <w:rFonts w:cs="Arial"/>
          <w:bCs/>
          <w:i/>
          <w:szCs w:val="20"/>
          <w:u w:val="single"/>
          <w:lang w:val="sl-SI"/>
        </w:rPr>
        <w:t xml:space="preserve">Morske poplave </w:t>
      </w:r>
    </w:p>
    <w:p w:rsidR="003C1B05" w:rsidRPr="005771BD" w:rsidRDefault="003C1B05" w:rsidP="003C1B05">
      <w:pPr>
        <w:spacing w:after="200" w:line="276" w:lineRule="auto"/>
        <w:jc w:val="both"/>
        <w:rPr>
          <w:rFonts w:eastAsia="Calibri" w:cs="Arial"/>
          <w:color w:val="000000"/>
          <w:szCs w:val="20"/>
          <w:lang w:val="sl-SI"/>
        </w:rPr>
      </w:pPr>
      <w:r w:rsidRPr="005771BD">
        <w:rPr>
          <w:rFonts w:eastAsia="Calibri" w:cs="Arial"/>
          <w:color w:val="000000"/>
          <w:spacing w:val="-5"/>
          <w:szCs w:val="20"/>
          <w:lang w:val="sl-SI"/>
        </w:rPr>
        <w:t>N</w:t>
      </w:r>
      <w:r w:rsidRPr="005771BD">
        <w:rPr>
          <w:rFonts w:eastAsia="Calibri" w:cs="Arial"/>
          <w:color w:val="000000"/>
          <w:spacing w:val="4"/>
          <w:szCs w:val="20"/>
          <w:lang w:val="sl-SI"/>
        </w:rPr>
        <w:t>a</w:t>
      </w:r>
      <w:r w:rsidRPr="005771BD">
        <w:rPr>
          <w:rFonts w:eastAsia="Calibri" w:cs="Arial"/>
          <w:color w:val="000000"/>
          <w:szCs w:val="20"/>
          <w:lang w:val="sl-SI"/>
        </w:rPr>
        <w:t>s</w:t>
      </w:r>
      <w:r w:rsidRPr="005771BD">
        <w:rPr>
          <w:rFonts w:eastAsia="Calibri" w:cs="Arial"/>
          <w:color w:val="000000"/>
          <w:spacing w:val="3"/>
          <w:szCs w:val="20"/>
          <w:lang w:val="sl-SI"/>
        </w:rPr>
        <w:t>t</w:t>
      </w:r>
      <w:r w:rsidRPr="005771BD">
        <w:rPr>
          <w:rFonts w:eastAsia="Calibri" w:cs="Arial"/>
          <w:color w:val="000000"/>
          <w:szCs w:val="20"/>
          <w:lang w:val="sl-SI"/>
        </w:rPr>
        <w:t>a</w:t>
      </w:r>
      <w:r w:rsidRPr="005771BD">
        <w:rPr>
          <w:rFonts w:eastAsia="Calibri" w:cs="Arial"/>
          <w:color w:val="000000"/>
          <w:spacing w:val="-6"/>
          <w:szCs w:val="20"/>
          <w:lang w:val="sl-SI"/>
        </w:rPr>
        <w:t>n</w:t>
      </w:r>
      <w:r w:rsidRPr="005771BD">
        <w:rPr>
          <w:rFonts w:eastAsia="Calibri" w:cs="Arial"/>
          <w:color w:val="000000"/>
          <w:spacing w:val="4"/>
          <w:szCs w:val="20"/>
          <w:lang w:val="sl-SI"/>
        </w:rPr>
        <w:t>e</w:t>
      </w:r>
      <w:r w:rsidRPr="005771BD">
        <w:rPr>
          <w:rFonts w:eastAsia="Calibri" w:cs="Arial"/>
          <w:color w:val="000000"/>
          <w:spacing w:val="-9"/>
          <w:szCs w:val="20"/>
          <w:lang w:val="sl-SI"/>
        </w:rPr>
        <w:t>j</w:t>
      </w:r>
      <w:r w:rsidRPr="005771BD">
        <w:rPr>
          <w:rFonts w:eastAsia="Calibri" w:cs="Arial"/>
          <w:color w:val="000000"/>
          <w:szCs w:val="20"/>
          <w:lang w:val="sl-SI"/>
        </w:rPr>
        <w:t>o</w:t>
      </w:r>
      <w:r w:rsidRPr="005771BD">
        <w:rPr>
          <w:rFonts w:eastAsia="Calibri" w:cs="Arial"/>
          <w:color w:val="000000"/>
          <w:spacing w:val="5"/>
          <w:szCs w:val="20"/>
          <w:lang w:val="sl-SI"/>
        </w:rPr>
        <w:t xml:space="preserve"> </w:t>
      </w:r>
      <w:r w:rsidRPr="005771BD">
        <w:rPr>
          <w:rFonts w:eastAsia="Calibri" w:cs="Arial"/>
          <w:color w:val="000000"/>
          <w:szCs w:val="20"/>
          <w:lang w:val="sl-SI"/>
        </w:rPr>
        <w:t>k</w:t>
      </w:r>
      <w:r w:rsidRPr="005771BD">
        <w:rPr>
          <w:rFonts w:eastAsia="Calibri" w:cs="Arial"/>
          <w:color w:val="000000"/>
          <w:spacing w:val="5"/>
          <w:szCs w:val="20"/>
          <w:lang w:val="sl-SI"/>
        </w:rPr>
        <w:t>o</w:t>
      </w:r>
      <w:r w:rsidRPr="005771BD">
        <w:rPr>
          <w:rFonts w:eastAsia="Calibri" w:cs="Arial"/>
          <w:color w:val="000000"/>
          <w:szCs w:val="20"/>
          <w:lang w:val="sl-SI"/>
        </w:rPr>
        <w:t>t</w:t>
      </w:r>
      <w:r w:rsidRPr="005771BD">
        <w:rPr>
          <w:rFonts w:eastAsia="Calibri" w:cs="Arial"/>
          <w:color w:val="000000"/>
          <w:spacing w:val="7"/>
          <w:szCs w:val="20"/>
          <w:lang w:val="sl-SI"/>
        </w:rPr>
        <w:t xml:space="preserve"> </w:t>
      </w:r>
      <w:r w:rsidRPr="005771BD">
        <w:rPr>
          <w:rFonts w:eastAsia="Calibri" w:cs="Arial"/>
          <w:color w:val="000000"/>
          <w:szCs w:val="20"/>
          <w:lang w:val="sl-SI"/>
        </w:rPr>
        <w:t>p</w:t>
      </w:r>
      <w:r w:rsidRPr="005771BD">
        <w:rPr>
          <w:rFonts w:eastAsia="Calibri" w:cs="Arial"/>
          <w:color w:val="000000"/>
          <w:spacing w:val="4"/>
          <w:szCs w:val="20"/>
          <w:lang w:val="sl-SI"/>
        </w:rPr>
        <w:t>o</w:t>
      </w:r>
      <w:r w:rsidRPr="005771BD">
        <w:rPr>
          <w:rFonts w:eastAsia="Calibri" w:cs="Arial"/>
          <w:color w:val="000000"/>
          <w:szCs w:val="20"/>
          <w:lang w:val="sl-SI"/>
        </w:rPr>
        <w:t>s</w:t>
      </w:r>
      <w:r w:rsidRPr="005771BD">
        <w:rPr>
          <w:rFonts w:eastAsia="Calibri" w:cs="Arial"/>
          <w:color w:val="000000"/>
          <w:spacing w:val="-11"/>
          <w:szCs w:val="20"/>
          <w:lang w:val="sl-SI"/>
        </w:rPr>
        <w:t>l</w:t>
      </w:r>
      <w:r w:rsidRPr="005771BD">
        <w:rPr>
          <w:rFonts w:eastAsia="Calibri" w:cs="Arial"/>
          <w:color w:val="000000"/>
          <w:szCs w:val="20"/>
          <w:lang w:val="sl-SI"/>
        </w:rPr>
        <w:t>e</w:t>
      </w:r>
      <w:r w:rsidRPr="005771BD">
        <w:rPr>
          <w:rFonts w:eastAsia="Calibri" w:cs="Arial"/>
          <w:color w:val="000000"/>
          <w:spacing w:val="3"/>
          <w:szCs w:val="20"/>
          <w:lang w:val="sl-SI"/>
        </w:rPr>
        <w:t>d</w:t>
      </w:r>
      <w:r w:rsidRPr="005771BD">
        <w:rPr>
          <w:rFonts w:eastAsia="Calibri" w:cs="Arial"/>
          <w:color w:val="000000"/>
          <w:spacing w:val="-4"/>
          <w:szCs w:val="20"/>
          <w:lang w:val="sl-SI"/>
        </w:rPr>
        <w:t>i</w:t>
      </w:r>
      <w:r w:rsidRPr="005771BD">
        <w:rPr>
          <w:rFonts w:eastAsia="Calibri" w:cs="Arial"/>
          <w:color w:val="000000"/>
          <w:szCs w:val="20"/>
          <w:lang w:val="sl-SI"/>
        </w:rPr>
        <w:t>ca</w:t>
      </w:r>
      <w:r w:rsidRPr="005771BD">
        <w:rPr>
          <w:rFonts w:eastAsia="Calibri" w:cs="Arial"/>
          <w:color w:val="000000"/>
          <w:spacing w:val="10"/>
          <w:szCs w:val="20"/>
          <w:lang w:val="sl-SI"/>
        </w:rPr>
        <w:t xml:space="preserve"> </w:t>
      </w:r>
      <w:r w:rsidRPr="005771BD">
        <w:rPr>
          <w:rFonts w:eastAsia="Calibri" w:cs="Arial"/>
          <w:color w:val="000000"/>
          <w:szCs w:val="20"/>
          <w:lang w:val="sl-SI"/>
        </w:rPr>
        <w:t>v</w:t>
      </w:r>
      <w:r w:rsidRPr="005771BD">
        <w:rPr>
          <w:rFonts w:eastAsia="Calibri" w:cs="Arial"/>
          <w:color w:val="000000"/>
          <w:spacing w:val="-4"/>
          <w:szCs w:val="20"/>
          <w:lang w:val="sl-SI"/>
        </w:rPr>
        <w:t>i</w:t>
      </w:r>
      <w:r w:rsidRPr="005771BD">
        <w:rPr>
          <w:rFonts w:eastAsia="Calibri" w:cs="Arial"/>
          <w:color w:val="000000"/>
          <w:szCs w:val="20"/>
          <w:lang w:val="sl-SI"/>
        </w:rPr>
        <w:t>s</w:t>
      </w:r>
      <w:r w:rsidRPr="005771BD">
        <w:rPr>
          <w:rFonts w:eastAsia="Calibri" w:cs="Arial"/>
          <w:color w:val="000000"/>
          <w:spacing w:val="2"/>
          <w:szCs w:val="20"/>
          <w:lang w:val="sl-SI"/>
        </w:rPr>
        <w:t>o</w:t>
      </w:r>
      <w:r w:rsidRPr="005771BD">
        <w:rPr>
          <w:rFonts w:eastAsia="Calibri" w:cs="Arial"/>
          <w:color w:val="000000"/>
          <w:szCs w:val="20"/>
          <w:lang w:val="sl-SI"/>
        </w:rPr>
        <w:t>ke</w:t>
      </w:r>
      <w:r w:rsidRPr="005771BD">
        <w:rPr>
          <w:rFonts w:eastAsia="Calibri" w:cs="Arial"/>
          <w:color w:val="000000"/>
          <w:spacing w:val="5"/>
          <w:szCs w:val="20"/>
          <w:lang w:val="sl-SI"/>
        </w:rPr>
        <w:t xml:space="preserve"> </w:t>
      </w:r>
      <w:r w:rsidRPr="005771BD">
        <w:rPr>
          <w:rFonts w:eastAsia="Calibri" w:cs="Arial"/>
          <w:color w:val="000000"/>
          <w:spacing w:val="4"/>
          <w:szCs w:val="20"/>
          <w:lang w:val="sl-SI"/>
        </w:rPr>
        <w:t>p</w:t>
      </w:r>
      <w:r w:rsidRPr="005771BD">
        <w:rPr>
          <w:rFonts w:eastAsia="Calibri" w:cs="Arial"/>
          <w:color w:val="000000"/>
          <w:spacing w:val="-4"/>
          <w:szCs w:val="20"/>
          <w:lang w:val="sl-SI"/>
        </w:rPr>
        <w:t>l</w:t>
      </w:r>
      <w:r w:rsidRPr="005771BD">
        <w:rPr>
          <w:rFonts w:eastAsia="Calibri" w:cs="Arial"/>
          <w:color w:val="000000"/>
          <w:szCs w:val="20"/>
          <w:lang w:val="sl-SI"/>
        </w:rPr>
        <w:t>ime,</w:t>
      </w:r>
      <w:r w:rsidRPr="005771BD">
        <w:rPr>
          <w:rFonts w:eastAsia="Calibri" w:cs="Arial"/>
          <w:color w:val="000000"/>
          <w:spacing w:val="4"/>
          <w:szCs w:val="20"/>
          <w:lang w:val="sl-SI"/>
        </w:rPr>
        <w:t xml:space="preserve"> </w:t>
      </w:r>
      <w:r w:rsidRPr="005771BD">
        <w:rPr>
          <w:rFonts w:eastAsia="Calibri" w:cs="Arial"/>
          <w:color w:val="000000"/>
          <w:szCs w:val="20"/>
          <w:lang w:val="sl-SI"/>
        </w:rPr>
        <w:t>n</w:t>
      </w:r>
      <w:r w:rsidRPr="005771BD">
        <w:rPr>
          <w:rFonts w:eastAsia="Calibri" w:cs="Arial"/>
          <w:color w:val="000000"/>
          <w:spacing w:val="-4"/>
          <w:szCs w:val="20"/>
          <w:lang w:val="sl-SI"/>
        </w:rPr>
        <w:t>i</w:t>
      </w:r>
      <w:r w:rsidRPr="005771BD">
        <w:rPr>
          <w:rFonts w:eastAsia="Calibri" w:cs="Arial"/>
          <w:color w:val="000000"/>
          <w:szCs w:val="20"/>
          <w:lang w:val="sl-SI"/>
        </w:rPr>
        <w:t>zkega</w:t>
      </w:r>
      <w:r w:rsidRPr="005771BD">
        <w:rPr>
          <w:rFonts w:eastAsia="Calibri" w:cs="Arial"/>
          <w:color w:val="000000"/>
          <w:spacing w:val="3"/>
          <w:szCs w:val="20"/>
          <w:lang w:val="sl-SI"/>
        </w:rPr>
        <w:t xml:space="preserve"> </w:t>
      </w:r>
      <w:r w:rsidRPr="005771BD">
        <w:rPr>
          <w:rFonts w:eastAsia="Calibri" w:cs="Arial"/>
          <w:color w:val="000000"/>
          <w:szCs w:val="20"/>
          <w:lang w:val="sl-SI"/>
        </w:rPr>
        <w:t>zra</w:t>
      </w:r>
      <w:r w:rsidRPr="005771BD">
        <w:rPr>
          <w:rFonts w:eastAsia="Calibri" w:cs="Arial"/>
          <w:color w:val="000000"/>
          <w:spacing w:val="4"/>
          <w:szCs w:val="20"/>
          <w:lang w:val="sl-SI"/>
        </w:rPr>
        <w:t>č</w:t>
      </w:r>
      <w:r w:rsidRPr="005771BD">
        <w:rPr>
          <w:rFonts w:eastAsia="Calibri" w:cs="Arial"/>
          <w:color w:val="000000"/>
          <w:spacing w:val="-5"/>
          <w:szCs w:val="20"/>
          <w:lang w:val="sl-SI"/>
        </w:rPr>
        <w:t>n</w:t>
      </w:r>
      <w:r w:rsidRPr="005771BD">
        <w:rPr>
          <w:rFonts w:eastAsia="Calibri" w:cs="Arial"/>
          <w:color w:val="000000"/>
          <w:szCs w:val="20"/>
          <w:lang w:val="sl-SI"/>
        </w:rPr>
        <w:t>ega</w:t>
      </w:r>
      <w:r w:rsidRPr="005771BD">
        <w:rPr>
          <w:rFonts w:eastAsia="Calibri" w:cs="Arial"/>
          <w:color w:val="000000"/>
          <w:spacing w:val="3"/>
          <w:szCs w:val="20"/>
          <w:lang w:val="sl-SI"/>
        </w:rPr>
        <w:t xml:space="preserve"> </w:t>
      </w:r>
      <w:r w:rsidRPr="005771BD">
        <w:rPr>
          <w:rFonts w:eastAsia="Calibri" w:cs="Arial"/>
          <w:color w:val="000000"/>
          <w:szCs w:val="20"/>
          <w:lang w:val="sl-SI"/>
        </w:rPr>
        <w:t>p</w:t>
      </w:r>
      <w:r w:rsidRPr="005771BD">
        <w:rPr>
          <w:rFonts w:eastAsia="Calibri" w:cs="Arial"/>
          <w:color w:val="000000"/>
          <w:spacing w:val="6"/>
          <w:szCs w:val="20"/>
          <w:lang w:val="sl-SI"/>
        </w:rPr>
        <w:t>r</w:t>
      </w:r>
      <w:r w:rsidRPr="005771BD">
        <w:rPr>
          <w:rFonts w:eastAsia="Calibri" w:cs="Arial"/>
          <w:color w:val="000000"/>
          <w:spacing w:val="-9"/>
          <w:szCs w:val="20"/>
          <w:lang w:val="sl-SI"/>
        </w:rPr>
        <w:t>i</w:t>
      </w:r>
      <w:r w:rsidRPr="005771BD">
        <w:rPr>
          <w:rFonts w:eastAsia="Calibri" w:cs="Arial"/>
          <w:color w:val="000000"/>
          <w:spacing w:val="10"/>
          <w:szCs w:val="20"/>
          <w:lang w:val="sl-SI"/>
        </w:rPr>
        <w:t>t</w:t>
      </w:r>
      <w:r w:rsidRPr="005771BD">
        <w:rPr>
          <w:rFonts w:eastAsia="Calibri" w:cs="Arial"/>
          <w:color w:val="000000"/>
          <w:spacing w:val="-4"/>
          <w:szCs w:val="20"/>
          <w:lang w:val="sl-SI"/>
        </w:rPr>
        <w:t>i</w:t>
      </w:r>
      <w:r w:rsidRPr="005771BD">
        <w:rPr>
          <w:rFonts w:eastAsia="Calibri" w:cs="Arial"/>
          <w:color w:val="000000"/>
          <w:szCs w:val="20"/>
          <w:lang w:val="sl-SI"/>
        </w:rPr>
        <w:t>ska</w:t>
      </w:r>
      <w:r w:rsidRPr="005771BD">
        <w:rPr>
          <w:rFonts w:eastAsia="Calibri" w:cs="Arial"/>
          <w:color w:val="000000"/>
          <w:spacing w:val="3"/>
          <w:szCs w:val="20"/>
          <w:lang w:val="sl-SI"/>
        </w:rPr>
        <w:t xml:space="preserve"> valovanja, </w:t>
      </w:r>
      <w:r w:rsidRPr="005771BD">
        <w:rPr>
          <w:rFonts w:eastAsia="Calibri" w:cs="Arial"/>
          <w:color w:val="000000"/>
          <w:spacing w:val="-4"/>
          <w:szCs w:val="20"/>
          <w:lang w:val="sl-SI"/>
        </w:rPr>
        <w:t xml:space="preserve">vetra, </w:t>
      </w:r>
      <w:r>
        <w:rPr>
          <w:rFonts w:eastAsia="Calibri" w:cs="Arial"/>
          <w:color w:val="000000"/>
          <w:spacing w:val="-4"/>
          <w:szCs w:val="20"/>
          <w:lang w:val="sl-SI"/>
        </w:rPr>
        <w:t>vrste</w:t>
      </w:r>
      <w:r w:rsidRPr="005771BD">
        <w:rPr>
          <w:rFonts w:eastAsia="Calibri" w:cs="Arial"/>
          <w:color w:val="000000"/>
          <w:spacing w:val="-4"/>
          <w:szCs w:val="20"/>
          <w:lang w:val="sl-SI"/>
        </w:rPr>
        <w:t xml:space="preserve"> plimovanja, njihova obsežnost pa je odvisna tudi od oblike obale, ob kateri nast</w:t>
      </w:r>
      <w:r>
        <w:rPr>
          <w:rFonts w:eastAsia="Calibri" w:cs="Arial"/>
          <w:color w:val="000000"/>
          <w:spacing w:val="-4"/>
          <w:szCs w:val="20"/>
          <w:lang w:val="sl-SI"/>
        </w:rPr>
        <w:t>anejo</w:t>
      </w:r>
      <w:r w:rsidRPr="005771BD">
        <w:rPr>
          <w:rFonts w:eastAsia="Calibri" w:cs="Arial"/>
          <w:color w:val="000000"/>
          <w:spacing w:val="-4"/>
          <w:szCs w:val="20"/>
          <w:lang w:val="sl-SI"/>
        </w:rPr>
        <w:t xml:space="preserve">. </w:t>
      </w:r>
      <w:r w:rsidRPr="005771BD">
        <w:rPr>
          <w:rFonts w:eastAsia="Calibri" w:cs="Arial"/>
          <w:color w:val="000000"/>
          <w:szCs w:val="20"/>
          <w:lang w:val="sl-SI"/>
        </w:rPr>
        <w:t>G</w:t>
      </w:r>
      <w:r w:rsidRPr="005771BD">
        <w:rPr>
          <w:rFonts w:eastAsia="Calibri" w:cs="Arial"/>
          <w:color w:val="000000"/>
          <w:spacing w:val="-5"/>
          <w:szCs w:val="20"/>
          <w:lang w:val="sl-SI"/>
        </w:rPr>
        <w:t>l</w:t>
      </w:r>
      <w:r w:rsidRPr="005771BD">
        <w:rPr>
          <w:rFonts w:eastAsia="Calibri" w:cs="Arial"/>
          <w:color w:val="000000"/>
          <w:szCs w:val="20"/>
          <w:lang w:val="sl-SI"/>
        </w:rPr>
        <w:t>a</w:t>
      </w:r>
      <w:r w:rsidRPr="005771BD">
        <w:rPr>
          <w:rFonts w:eastAsia="Calibri" w:cs="Arial"/>
          <w:color w:val="000000"/>
          <w:spacing w:val="4"/>
          <w:szCs w:val="20"/>
          <w:lang w:val="sl-SI"/>
        </w:rPr>
        <w:t>d</w:t>
      </w:r>
      <w:r w:rsidRPr="005771BD">
        <w:rPr>
          <w:rFonts w:eastAsia="Calibri" w:cs="Arial"/>
          <w:color w:val="000000"/>
          <w:spacing w:val="-4"/>
          <w:szCs w:val="20"/>
          <w:lang w:val="sl-SI"/>
        </w:rPr>
        <w:t>i</w:t>
      </w:r>
      <w:r w:rsidRPr="005771BD">
        <w:rPr>
          <w:rFonts w:eastAsia="Calibri" w:cs="Arial"/>
          <w:color w:val="000000"/>
          <w:szCs w:val="20"/>
          <w:lang w:val="sl-SI"/>
        </w:rPr>
        <w:t>na</w:t>
      </w:r>
      <w:r w:rsidRPr="005771BD">
        <w:rPr>
          <w:rFonts w:eastAsia="Calibri" w:cs="Arial"/>
          <w:color w:val="000000"/>
          <w:spacing w:val="12"/>
          <w:szCs w:val="20"/>
          <w:lang w:val="sl-SI"/>
        </w:rPr>
        <w:t xml:space="preserve"> </w:t>
      </w:r>
      <w:r w:rsidRPr="005771BD">
        <w:rPr>
          <w:rFonts w:eastAsia="Calibri" w:cs="Arial"/>
          <w:color w:val="000000"/>
          <w:spacing w:val="-9"/>
          <w:szCs w:val="20"/>
          <w:lang w:val="sl-SI"/>
        </w:rPr>
        <w:t>m</w:t>
      </w:r>
      <w:r w:rsidRPr="005771BD">
        <w:rPr>
          <w:rFonts w:eastAsia="Calibri" w:cs="Arial"/>
          <w:color w:val="000000"/>
          <w:spacing w:val="5"/>
          <w:szCs w:val="20"/>
          <w:lang w:val="sl-SI"/>
        </w:rPr>
        <w:t>o</w:t>
      </w:r>
      <w:r w:rsidRPr="005771BD">
        <w:rPr>
          <w:rFonts w:eastAsia="Calibri" w:cs="Arial"/>
          <w:color w:val="000000"/>
          <w:spacing w:val="6"/>
          <w:szCs w:val="20"/>
          <w:lang w:val="sl-SI"/>
        </w:rPr>
        <w:t>r</w:t>
      </w:r>
      <w:r w:rsidRPr="005771BD">
        <w:rPr>
          <w:rFonts w:eastAsia="Calibri" w:cs="Arial"/>
          <w:color w:val="000000"/>
          <w:spacing w:val="-9"/>
          <w:szCs w:val="20"/>
          <w:lang w:val="sl-SI"/>
        </w:rPr>
        <w:t>j</w:t>
      </w:r>
      <w:r w:rsidRPr="005771BD">
        <w:rPr>
          <w:rFonts w:eastAsia="Calibri" w:cs="Arial"/>
          <w:color w:val="000000"/>
          <w:szCs w:val="20"/>
          <w:lang w:val="sl-SI"/>
        </w:rPr>
        <w:t>a</w:t>
      </w:r>
      <w:r w:rsidRPr="005771BD">
        <w:rPr>
          <w:rFonts w:eastAsia="Calibri" w:cs="Arial"/>
          <w:color w:val="000000"/>
          <w:spacing w:val="6"/>
          <w:szCs w:val="20"/>
          <w:lang w:val="sl-SI"/>
        </w:rPr>
        <w:t xml:space="preserve"> </w:t>
      </w:r>
      <w:r w:rsidRPr="005771BD">
        <w:rPr>
          <w:rFonts w:eastAsia="Calibri" w:cs="Arial"/>
          <w:color w:val="000000"/>
          <w:szCs w:val="20"/>
          <w:lang w:val="sl-SI"/>
        </w:rPr>
        <w:t>se</w:t>
      </w:r>
      <w:r w:rsidRPr="005771BD">
        <w:rPr>
          <w:rFonts w:eastAsia="Calibri" w:cs="Arial"/>
          <w:color w:val="000000"/>
          <w:spacing w:val="4"/>
          <w:szCs w:val="20"/>
          <w:lang w:val="sl-SI"/>
        </w:rPr>
        <w:t xml:space="preserve"> </w:t>
      </w:r>
      <w:r w:rsidRPr="005771BD">
        <w:rPr>
          <w:rFonts w:eastAsia="Calibri" w:cs="Arial"/>
          <w:color w:val="000000"/>
          <w:szCs w:val="20"/>
          <w:lang w:val="sl-SI"/>
        </w:rPr>
        <w:t>za</w:t>
      </w:r>
      <w:r w:rsidRPr="005771BD">
        <w:rPr>
          <w:rFonts w:eastAsia="Calibri" w:cs="Arial"/>
          <w:color w:val="000000"/>
          <w:spacing w:val="6"/>
          <w:szCs w:val="20"/>
          <w:lang w:val="sl-SI"/>
        </w:rPr>
        <w:t xml:space="preserve"> </w:t>
      </w:r>
      <w:r w:rsidRPr="005771BD">
        <w:rPr>
          <w:rFonts w:eastAsia="Calibri" w:cs="Arial"/>
          <w:color w:val="000000"/>
          <w:szCs w:val="20"/>
          <w:lang w:val="sl-SI"/>
        </w:rPr>
        <w:t>kra</w:t>
      </w:r>
      <w:r w:rsidRPr="005771BD">
        <w:rPr>
          <w:rFonts w:eastAsia="Calibri" w:cs="Arial"/>
          <w:color w:val="000000"/>
          <w:spacing w:val="6"/>
          <w:szCs w:val="20"/>
          <w:lang w:val="sl-SI"/>
        </w:rPr>
        <w:t>t</w:t>
      </w:r>
      <w:r w:rsidRPr="005771BD">
        <w:rPr>
          <w:rFonts w:eastAsia="Calibri" w:cs="Arial"/>
          <w:color w:val="000000"/>
          <w:szCs w:val="20"/>
          <w:lang w:val="sl-SI"/>
        </w:rPr>
        <w:t>ek</w:t>
      </w:r>
      <w:r w:rsidRPr="005771BD">
        <w:rPr>
          <w:rFonts w:eastAsia="Calibri" w:cs="Arial"/>
          <w:color w:val="000000"/>
          <w:spacing w:val="2"/>
          <w:szCs w:val="20"/>
          <w:lang w:val="sl-SI"/>
        </w:rPr>
        <w:t xml:space="preserve"> </w:t>
      </w:r>
      <w:r w:rsidRPr="005771BD">
        <w:rPr>
          <w:rFonts w:eastAsia="Calibri" w:cs="Arial"/>
          <w:color w:val="000000"/>
          <w:spacing w:val="-1"/>
          <w:szCs w:val="20"/>
          <w:lang w:val="sl-SI"/>
        </w:rPr>
        <w:t>č</w:t>
      </w:r>
      <w:r w:rsidRPr="005771BD">
        <w:rPr>
          <w:rFonts w:eastAsia="Calibri" w:cs="Arial"/>
          <w:color w:val="000000"/>
          <w:szCs w:val="20"/>
          <w:lang w:val="sl-SI"/>
        </w:rPr>
        <w:t xml:space="preserve">as </w:t>
      </w:r>
      <w:r w:rsidRPr="005771BD">
        <w:rPr>
          <w:rFonts w:eastAsia="Calibri" w:cs="Arial"/>
          <w:color w:val="000000"/>
          <w:spacing w:val="5"/>
          <w:szCs w:val="20"/>
          <w:lang w:val="sl-SI"/>
        </w:rPr>
        <w:t>d</w:t>
      </w:r>
      <w:r w:rsidRPr="005771BD">
        <w:rPr>
          <w:rFonts w:eastAsia="Calibri" w:cs="Arial"/>
          <w:color w:val="000000"/>
          <w:szCs w:val="20"/>
          <w:lang w:val="sl-SI"/>
        </w:rPr>
        <w:t>v</w:t>
      </w:r>
      <w:r w:rsidRPr="005771BD">
        <w:rPr>
          <w:rFonts w:eastAsia="Calibri" w:cs="Arial"/>
          <w:color w:val="000000"/>
          <w:spacing w:val="-4"/>
          <w:szCs w:val="20"/>
          <w:lang w:val="sl-SI"/>
        </w:rPr>
        <w:t>i</w:t>
      </w:r>
      <w:r w:rsidRPr="005771BD">
        <w:rPr>
          <w:rFonts w:eastAsia="Calibri" w:cs="Arial"/>
          <w:color w:val="000000"/>
          <w:spacing w:val="5"/>
          <w:szCs w:val="20"/>
          <w:lang w:val="sl-SI"/>
        </w:rPr>
        <w:t>g</w:t>
      </w:r>
      <w:r w:rsidRPr="005771BD">
        <w:rPr>
          <w:rFonts w:eastAsia="Calibri" w:cs="Arial"/>
          <w:color w:val="000000"/>
          <w:spacing w:val="-5"/>
          <w:szCs w:val="20"/>
          <w:lang w:val="sl-SI"/>
        </w:rPr>
        <w:t>n</w:t>
      </w:r>
      <w:r w:rsidRPr="005771BD">
        <w:rPr>
          <w:rFonts w:eastAsia="Calibri" w:cs="Arial"/>
          <w:color w:val="000000"/>
          <w:szCs w:val="20"/>
          <w:lang w:val="sl-SI"/>
        </w:rPr>
        <w:t>e</w:t>
      </w:r>
      <w:r w:rsidRPr="005771BD">
        <w:rPr>
          <w:rFonts w:eastAsia="Calibri" w:cs="Arial"/>
          <w:color w:val="000000"/>
          <w:spacing w:val="10"/>
          <w:szCs w:val="20"/>
          <w:lang w:val="sl-SI"/>
        </w:rPr>
        <w:t xml:space="preserve"> </w:t>
      </w:r>
      <w:r w:rsidRPr="005771BD">
        <w:rPr>
          <w:rFonts w:eastAsia="Calibri" w:cs="Arial"/>
          <w:color w:val="000000"/>
          <w:spacing w:val="-5"/>
          <w:szCs w:val="20"/>
          <w:lang w:val="sl-SI"/>
        </w:rPr>
        <w:t>n</w:t>
      </w:r>
      <w:r w:rsidRPr="005771BD">
        <w:rPr>
          <w:rFonts w:eastAsia="Calibri" w:cs="Arial"/>
          <w:color w:val="000000"/>
          <w:szCs w:val="20"/>
          <w:lang w:val="sl-SI"/>
        </w:rPr>
        <w:t>ad</w:t>
      </w:r>
      <w:r w:rsidRPr="005771BD">
        <w:rPr>
          <w:rFonts w:eastAsia="Calibri" w:cs="Arial"/>
          <w:color w:val="000000"/>
          <w:spacing w:val="6"/>
          <w:szCs w:val="20"/>
          <w:lang w:val="sl-SI"/>
        </w:rPr>
        <w:t xml:space="preserve"> </w:t>
      </w:r>
      <w:r w:rsidRPr="005771BD">
        <w:rPr>
          <w:rFonts w:eastAsia="Calibri" w:cs="Arial"/>
          <w:color w:val="000000"/>
          <w:szCs w:val="20"/>
          <w:lang w:val="sl-SI"/>
        </w:rPr>
        <w:t>v</w:t>
      </w:r>
      <w:r w:rsidRPr="005771BD">
        <w:rPr>
          <w:rFonts w:eastAsia="Calibri" w:cs="Arial"/>
          <w:color w:val="000000"/>
          <w:spacing w:val="-4"/>
          <w:szCs w:val="20"/>
          <w:lang w:val="sl-SI"/>
        </w:rPr>
        <w:t>i</w:t>
      </w:r>
      <w:r w:rsidRPr="005771BD">
        <w:rPr>
          <w:rFonts w:eastAsia="Calibri" w:cs="Arial"/>
          <w:color w:val="000000"/>
          <w:spacing w:val="7"/>
          <w:szCs w:val="20"/>
          <w:lang w:val="sl-SI"/>
        </w:rPr>
        <w:t>š</w:t>
      </w:r>
      <w:r w:rsidRPr="005771BD">
        <w:rPr>
          <w:rFonts w:eastAsia="Calibri" w:cs="Arial"/>
          <w:color w:val="000000"/>
          <w:spacing w:val="-4"/>
          <w:szCs w:val="20"/>
          <w:lang w:val="sl-SI"/>
        </w:rPr>
        <w:t>i</w:t>
      </w:r>
      <w:r w:rsidRPr="005771BD">
        <w:rPr>
          <w:rFonts w:eastAsia="Calibri" w:cs="Arial"/>
          <w:color w:val="000000"/>
          <w:spacing w:val="5"/>
          <w:szCs w:val="20"/>
          <w:lang w:val="sl-SI"/>
        </w:rPr>
        <w:t>n</w:t>
      </w:r>
      <w:r w:rsidRPr="005771BD">
        <w:rPr>
          <w:rFonts w:eastAsia="Calibri" w:cs="Arial"/>
          <w:color w:val="000000"/>
          <w:szCs w:val="20"/>
          <w:lang w:val="sl-SI"/>
        </w:rPr>
        <w:t>o</w:t>
      </w:r>
      <w:r w:rsidRPr="005771BD">
        <w:rPr>
          <w:rFonts w:eastAsia="Calibri" w:cs="Arial"/>
          <w:color w:val="000000"/>
          <w:spacing w:val="2"/>
          <w:szCs w:val="20"/>
          <w:lang w:val="sl-SI"/>
        </w:rPr>
        <w:t xml:space="preserve"> </w:t>
      </w:r>
      <w:r w:rsidRPr="005771BD">
        <w:rPr>
          <w:rFonts w:eastAsia="Calibri" w:cs="Arial"/>
          <w:color w:val="000000"/>
          <w:spacing w:val="5"/>
          <w:szCs w:val="20"/>
          <w:lang w:val="sl-SI"/>
        </w:rPr>
        <w:t>o</w:t>
      </w:r>
      <w:r w:rsidRPr="005771BD">
        <w:rPr>
          <w:rFonts w:eastAsia="Calibri" w:cs="Arial"/>
          <w:color w:val="000000"/>
          <w:szCs w:val="20"/>
          <w:lang w:val="sl-SI"/>
        </w:rPr>
        <w:t>b</w:t>
      </w:r>
      <w:r w:rsidRPr="005771BD">
        <w:rPr>
          <w:rFonts w:eastAsia="Calibri" w:cs="Arial"/>
          <w:color w:val="000000"/>
          <w:spacing w:val="-4"/>
          <w:szCs w:val="20"/>
          <w:lang w:val="sl-SI"/>
        </w:rPr>
        <w:t>i</w:t>
      </w:r>
      <w:r w:rsidRPr="005771BD">
        <w:rPr>
          <w:rFonts w:eastAsia="Calibri" w:cs="Arial"/>
          <w:color w:val="000000"/>
          <w:spacing w:val="-1"/>
          <w:szCs w:val="20"/>
          <w:lang w:val="sl-SI"/>
        </w:rPr>
        <w:t>č</w:t>
      </w:r>
      <w:r w:rsidRPr="005771BD">
        <w:rPr>
          <w:rFonts w:eastAsia="Calibri" w:cs="Arial"/>
          <w:color w:val="000000"/>
          <w:spacing w:val="4"/>
          <w:szCs w:val="20"/>
          <w:lang w:val="sl-SI"/>
        </w:rPr>
        <w:t>a</w:t>
      </w:r>
      <w:r w:rsidRPr="005771BD">
        <w:rPr>
          <w:rFonts w:eastAsia="Calibri" w:cs="Arial"/>
          <w:color w:val="000000"/>
          <w:spacing w:val="-5"/>
          <w:szCs w:val="20"/>
          <w:lang w:val="sl-SI"/>
        </w:rPr>
        <w:t>j</w:t>
      </w:r>
      <w:r w:rsidRPr="005771BD">
        <w:rPr>
          <w:rFonts w:eastAsia="Calibri" w:cs="Arial"/>
          <w:color w:val="000000"/>
          <w:szCs w:val="20"/>
          <w:lang w:val="sl-SI"/>
        </w:rPr>
        <w:t>ne</w:t>
      </w:r>
      <w:r w:rsidRPr="005771BD">
        <w:rPr>
          <w:rFonts w:eastAsia="Calibri" w:cs="Arial"/>
          <w:color w:val="000000"/>
          <w:spacing w:val="7"/>
          <w:szCs w:val="20"/>
          <w:lang w:val="sl-SI"/>
        </w:rPr>
        <w:t xml:space="preserve"> </w:t>
      </w:r>
      <w:r w:rsidRPr="005771BD">
        <w:rPr>
          <w:rFonts w:eastAsia="Calibri" w:cs="Arial"/>
          <w:color w:val="000000"/>
          <w:szCs w:val="20"/>
          <w:lang w:val="sl-SI"/>
        </w:rPr>
        <w:t>v</w:t>
      </w:r>
      <w:r w:rsidRPr="005771BD">
        <w:rPr>
          <w:rFonts w:eastAsia="Calibri" w:cs="Arial"/>
          <w:color w:val="000000"/>
          <w:spacing w:val="-4"/>
          <w:szCs w:val="20"/>
          <w:lang w:val="sl-SI"/>
        </w:rPr>
        <w:t>i</w:t>
      </w:r>
      <w:r w:rsidRPr="005771BD">
        <w:rPr>
          <w:rFonts w:eastAsia="Calibri" w:cs="Arial"/>
          <w:color w:val="000000"/>
          <w:szCs w:val="20"/>
          <w:lang w:val="sl-SI"/>
        </w:rPr>
        <w:t>s</w:t>
      </w:r>
      <w:r w:rsidRPr="005771BD">
        <w:rPr>
          <w:rFonts w:eastAsia="Calibri" w:cs="Arial"/>
          <w:color w:val="000000"/>
          <w:spacing w:val="2"/>
          <w:szCs w:val="20"/>
          <w:lang w:val="sl-SI"/>
        </w:rPr>
        <w:t>o</w:t>
      </w:r>
      <w:r w:rsidRPr="005771BD">
        <w:rPr>
          <w:rFonts w:eastAsia="Calibri" w:cs="Arial"/>
          <w:color w:val="000000"/>
          <w:szCs w:val="20"/>
          <w:lang w:val="sl-SI"/>
        </w:rPr>
        <w:t>ke</w:t>
      </w:r>
      <w:r w:rsidRPr="005771BD">
        <w:rPr>
          <w:rFonts w:eastAsia="Calibri" w:cs="Arial"/>
          <w:color w:val="000000"/>
          <w:spacing w:val="2"/>
          <w:szCs w:val="20"/>
          <w:lang w:val="sl-SI"/>
        </w:rPr>
        <w:t xml:space="preserve"> </w:t>
      </w:r>
      <w:r w:rsidRPr="005771BD">
        <w:rPr>
          <w:rFonts w:eastAsia="Calibri" w:cs="Arial"/>
          <w:color w:val="000000"/>
          <w:spacing w:val="4"/>
          <w:szCs w:val="20"/>
          <w:lang w:val="sl-SI"/>
        </w:rPr>
        <w:t>p</w:t>
      </w:r>
      <w:r w:rsidRPr="005771BD">
        <w:rPr>
          <w:rFonts w:eastAsia="Calibri" w:cs="Arial"/>
          <w:color w:val="000000"/>
          <w:szCs w:val="20"/>
          <w:lang w:val="sl-SI"/>
        </w:rPr>
        <w:t>lime</w:t>
      </w:r>
      <w:r w:rsidRPr="005771BD">
        <w:rPr>
          <w:rFonts w:eastAsia="Calibri" w:cs="Arial"/>
          <w:color w:val="000000"/>
          <w:spacing w:val="3"/>
          <w:szCs w:val="20"/>
          <w:lang w:val="sl-SI"/>
        </w:rPr>
        <w:t xml:space="preserve"> </w:t>
      </w:r>
      <w:r w:rsidRPr="005771BD">
        <w:rPr>
          <w:rFonts w:eastAsia="Calibri" w:cs="Arial"/>
          <w:color w:val="000000"/>
          <w:spacing w:val="-4"/>
          <w:szCs w:val="20"/>
          <w:lang w:val="sl-SI"/>
        </w:rPr>
        <w:t>i</w:t>
      </w:r>
      <w:r w:rsidRPr="005771BD">
        <w:rPr>
          <w:rFonts w:eastAsia="Calibri" w:cs="Arial"/>
          <w:color w:val="000000"/>
          <w:szCs w:val="20"/>
          <w:lang w:val="sl-SI"/>
        </w:rPr>
        <w:t>n</w:t>
      </w:r>
      <w:r w:rsidRPr="005771BD">
        <w:rPr>
          <w:rFonts w:eastAsia="Calibri" w:cs="Arial"/>
          <w:color w:val="000000"/>
          <w:spacing w:val="7"/>
          <w:szCs w:val="20"/>
          <w:lang w:val="sl-SI"/>
        </w:rPr>
        <w:t xml:space="preserve"> </w:t>
      </w:r>
      <w:r w:rsidRPr="005771BD">
        <w:rPr>
          <w:rFonts w:eastAsia="Calibri" w:cs="Arial"/>
          <w:color w:val="000000"/>
          <w:szCs w:val="20"/>
          <w:lang w:val="sl-SI"/>
        </w:rPr>
        <w:t>p</w:t>
      </w:r>
      <w:r w:rsidRPr="005771BD">
        <w:rPr>
          <w:rFonts w:eastAsia="Calibri" w:cs="Arial"/>
          <w:color w:val="000000"/>
          <w:spacing w:val="4"/>
          <w:szCs w:val="20"/>
          <w:lang w:val="sl-SI"/>
        </w:rPr>
        <w:t>op</w:t>
      </w:r>
      <w:r w:rsidRPr="005771BD">
        <w:rPr>
          <w:rFonts w:eastAsia="Calibri" w:cs="Arial"/>
          <w:color w:val="000000"/>
          <w:spacing w:val="-9"/>
          <w:szCs w:val="20"/>
          <w:lang w:val="sl-SI"/>
        </w:rPr>
        <w:t>l</w:t>
      </w:r>
      <w:r w:rsidRPr="005771BD">
        <w:rPr>
          <w:rFonts w:eastAsia="Calibri" w:cs="Arial"/>
          <w:color w:val="000000"/>
          <w:spacing w:val="4"/>
          <w:szCs w:val="20"/>
          <w:lang w:val="sl-SI"/>
        </w:rPr>
        <w:t>a</w:t>
      </w:r>
      <w:r w:rsidRPr="005771BD">
        <w:rPr>
          <w:rFonts w:eastAsia="Calibri" w:cs="Arial"/>
          <w:color w:val="000000"/>
          <w:szCs w:val="20"/>
          <w:lang w:val="sl-SI"/>
        </w:rPr>
        <w:t>vi</w:t>
      </w:r>
      <w:r w:rsidRPr="005771BD">
        <w:rPr>
          <w:rFonts w:eastAsia="Calibri" w:cs="Arial"/>
          <w:color w:val="000000"/>
          <w:spacing w:val="4"/>
          <w:szCs w:val="20"/>
          <w:lang w:val="sl-SI"/>
        </w:rPr>
        <w:t xml:space="preserve"> </w:t>
      </w:r>
      <w:r w:rsidRPr="005771BD">
        <w:rPr>
          <w:rFonts w:eastAsia="Calibri" w:cs="Arial"/>
          <w:color w:val="000000"/>
          <w:szCs w:val="20"/>
          <w:lang w:val="sl-SI"/>
        </w:rPr>
        <w:t>n</w:t>
      </w:r>
      <w:r w:rsidRPr="005771BD">
        <w:rPr>
          <w:rFonts w:eastAsia="Calibri" w:cs="Arial"/>
          <w:color w:val="000000"/>
          <w:spacing w:val="-4"/>
          <w:szCs w:val="20"/>
          <w:lang w:val="sl-SI"/>
        </w:rPr>
        <w:t>i</w:t>
      </w:r>
      <w:r w:rsidRPr="005771BD">
        <w:rPr>
          <w:rFonts w:eastAsia="Calibri" w:cs="Arial"/>
          <w:color w:val="000000"/>
          <w:spacing w:val="4"/>
          <w:szCs w:val="20"/>
          <w:lang w:val="sl-SI"/>
        </w:rPr>
        <w:t>ž</w:t>
      </w:r>
      <w:r w:rsidRPr="005771BD">
        <w:rPr>
          <w:rFonts w:eastAsia="Calibri" w:cs="Arial"/>
          <w:color w:val="000000"/>
          <w:spacing w:val="-5"/>
          <w:szCs w:val="20"/>
          <w:lang w:val="sl-SI"/>
        </w:rPr>
        <w:t>j</w:t>
      </w:r>
      <w:r w:rsidRPr="005771BD">
        <w:rPr>
          <w:rFonts w:eastAsia="Calibri" w:cs="Arial"/>
          <w:color w:val="000000"/>
          <w:szCs w:val="20"/>
          <w:lang w:val="sl-SI"/>
        </w:rPr>
        <w:t>e pred</w:t>
      </w:r>
      <w:r w:rsidRPr="005771BD">
        <w:rPr>
          <w:rFonts w:eastAsia="Calibri" w:cs="Arial"/>
          <w:color w:val="000000"/>
          <w:spacing w:val="3"/>
          <w:szCs w:val="20"/>
          <w:lang w:val="sl-SI"/>
        </w:rPr>
        <w:t>e</w:t>
      </w:r>
      <w:r w:rsidRPr="005771BD">
        <w:rPr>
          <w:rFonts w:eastAsia="Calibri" w:cs="Arial"/>
          <w:color w:val="000000"/>
          <w:szCs w:val="20"/>
          <w:lang w:val="sl-SI"/>
        </w:rPr>
        <w:t>l</w:t>
      </w:r>
      <w:r>
        <w:rPr>
          <w:rFonts w:eastAsia="Calibri" w:cs="Arial"/>
          <w:color w:val="000000"/>
          <w:szCs w:val="20"/>
          <w:lang w:val="sl-SI"/>
        </w:rPr>
        <w:t>e</w:t>
      </w:r>
      <w:r w:rsidRPr="005771BD">
        <w:rPr>
          <w:rFonts w:eastAsia="Calibri" w:cs="Arial"/>
          <w:color w:val="000000"/>
          <w:spacing w:val="-7"/>
          <w:szCs w:val="20"/>
          <w:lang w:val="sl-SI"/>
        </w:rPr>
        <w:t xml:space="preserve"> </w:t>
      </w:r>
      <w:r w:rsidRPr="005771BD">
        <w:rPr>
          <w:rFonts w:eastAsia="Calibri" w:cs="Arial"/>
          <w:color w:val="000000"/>
          <w:spacing w:val="5"/>
          <w:szCs w:val="20"/>
          <w:lang w:val="sl-SI"/>
        </w:rPr>
        <w:t>o</w:t>
      </w:r>
      <w:r w:rsidRPr="005771BD">
        <w:rPr>
          <w:rFonts w:eastAsia="Calibri" w:cs="Arial"/>
          <w:color w:val="000000"/>
          <w:spacing w:val="-5"/>
          <w:szCs w:val="20"/>
          <w:lang w:val="sl-SI"/>
        </w:rPr>
        <w:t>b</w:t>
      </w:r>
      <w:r w:rsidRPr="005771BD">
        <w:rPr>
          <w:rFonts w:eastAsia="Calibri" w:cs="Arial"/>
          <w:color w:val="000000"/>
          <w:spacing w:val="4"/>
          <w:szCs w:val="20"/>
          <w:lang w:val="sl-SI"/>
        </w:rPr>
        <w:t>a</w:t>
      </w:r>
      <w:r w:rsidRPr="005771BD">
        <w:rPr>
          <w:rFonts w:eastAsia="Calibri" w:cs="Arial"/>
          <w:color w:val="000000"/>
          <w:spacing w:val="-4"/>
          <w:szCs w:val="20"/>
          <w:lang w:val="sl-SI"/>
        </w:rPr>
        <w:t>l</w:t>
      </w:r>
      <w:r w:rsidRPr="005771BD">
        <w:rPr>
          <w:rFonts w:eastAsia="Calibri" w:cs="Arial"/>
          <w:color w:val="000000"/>
          <w:szCs w:val="20"/>
          <w:lang w:val="sl-SI"/>
        </w:rPr>
        <w:t>e.</w:t>
      </w:r>
    </w:p>
    <w:p w:rsidR="003C1B05" w:rsidRPr="005771BD" w:rsidRDefault="003C1B05" w:rsidP="003C1B05">
      <w:pPr>
        <w:spacing w:after="200" w:line="276" w:lineRule="auto"/>
        <w:jc w:val="both"/>
        <w:rPr>
          <w:rFonts w:eastAsia="Calibri" w:cs="Arial"/>
          <w:i/>
          <w:color w:val="000000"/>
          <w:szCs w:val="20"/>
          <w:u w:val="single"/>
          <w:lang w:val="sl-SI"/>
        </w:rPr>
      </w:pPr>
      <w:r w:rsidRPr="005771BD">
        <w:rPr>
          <w:rFonts w:eastAsia="Calibri" w:cs="Arial"/>
          <w:i/>
          <w:color w:val="000000"/>
          <w:szCs w:val="20"/>
          <w:u w:val="single"/>
          <w:lang w:val="sl-SI"/>
        </w:rPr>
        <w:t>Mestne poplave</w:t>
      </w:r>
    </w:p>
    <w:p w:rsidR="003C1B05" w:rsidRPr="005771BD" w:rsidRDefault="003C1B05" w:rsidP="003C1B05">
      <w:pPr>
        <w:spacing w:after="200" w:line="276" w:lineRule="auto"/>
        <w:jc w:val="both"/>
        <w:rPr>
          <w:rFonts w:eastAsia="Calibri" w:cs="Arial"/>
          <w:color w:val="000000"/>
          <w:szCs w:val="20"/>
          <w:lang w:val="sl-SI"/>
        </w:rPr>
      </w:pPr>
      <w:r w:rsidRPr="005771BD">
        <w:rPr>
          <w:rFonts w:eastAsia="Calibri" w:cs="Arial"/>
          <w:color w:val="000000"/>
          <w:szCs w:val="20"/>
          <w:lang w:val="sl-SI"/>
        </w:rPr>
        <w:t>To so poplave</w:t>
      </w:r>
      <w:r>
        <w:rPr>
          <w:rFonts w:eastAsia="Calibri" w:cs="Arial"/>
          <w:color w:val="000000"/>
          <w:szCs w:val="20"/>
          <w:lang w:val="sl-SI"/>
        </w:rPr>
        <w:t xml:space="preserve"> zaradi</w:t>
      </w:r>
      <w:r w:rsidRPr="005771BD">
        <w:rPr>
          <w:rFonts w:eastAsia="Calibri" w:cs="Arial"/>
          <w:color w:val="000000"/>
          <w:szCs w:val="20"/>
          <w:lang w:val="sl-SI"/>
        </w:rPr>
        <w:t xml:space="preserve"> moč</w:t>
      </w:r>
      <w:r>
        <w:rPr>
          <w:rFonts w:eastAsia="Calibri" w:cs="Arial"/>
          <w:color w:val="000000"/>
          <w:szCs w:val="20"/>
          <w:lang w:val="sl-SI"/>
        </w:rPr>
        <w:t>nega</w:t>
      </w:r>
      <w:r w:rsidRPr="005771BD">
        <w:rPr>
          <w:rFonts w:eastAsia="Calibri" w:cs="Arial"/>
          <w:color w:val="000000"/>
          <w:szCs w:val="20"/>
          <w:lang w:val="sl-SI"/>
        </w:rPr>
        <w:t xml:space="preserve"> dež</w:t>
      </w:r>
      <w:r>
        <w:rPr>
          <w:rFonts w:eastAsia="Calibri" w:cs="Arial"/>
          <w:color w:val="000000"/>
          <w:szCs w:val="20"/>
          <w:lang w:val="sl-SI"/>
        </w:rPr>
        <w:t>ja</w:t>
      </w:r>
      <w:r w:rsidRPr="005771BD">
        <w:rPr>
          <w:rFonts w:eastAsia="Calibri" w:cs="Arial"/>
          <w:color w:val="000000"/>
          <w:szCs w:val="20"/>
          <w:lang w:val="sl-SI"/>
        </w:rPr>
        <w:t xml:space="preserve"> in neviht, ki povzročijo površinski odtok velikih količin in intenzitet. V mestih, kjer je veliko manj propustnih površin, pride do nezmožnosti odvajanja zadostnih količin padavinskih voda prek sistemov za odvod meteornih voda.</w:t>
      </w:r>
    </w:p>
    <w:p w:rsidR="003C1B05" w:rsidRPr="005771BD" w:rsidRDefault="003C1B05" w:rsidP="003C1B05">
      <w:pPr>
        <w:spacing w:after="200" w:line="276" w:lineRule="auto"/>
        <w:jc w:val="both"/>
        <w:rPr>
          <w:rFonts w:eastAsia="Calibri" w:cs="Arial"/>
          <w:szCs w:val="20"/>
          <w:lang w:val="sl-SI"/>
        </w:rPr>
      </w:pPr>
      <w:r w:rsidRPr="007F272F">
        <w:rPr>
          <w:rFonts w:eastAsia="Calibri" w:cs="Arial"/>
          <w:noProof/>
          <w:szCs w:val="20"/>
          <w:lang w:val="sl-SI" w:eastAsia="sl-SI"/>
        </w:rPr>
        <w:drawing>
          <wp:anchor distT="0" distB="0" distL="114300" distR="114300" simplePos="0" relativeHeight="251725824" behindDoc="0" locked="0" layoutInCell="1" allowOverlap="1" wp14:anchorId="3C906D76" wp14:editId="0BC412A6">
            <wp:simplePos x="0" y="0"/>
            <wp:positionH relativeFrom="column">
              <wp:posOffset>2817495</wp:posOffset>
            </wp:positionH>
            <wp:positionV relativeFrom="paragraph">
              <wp:posOffset>198755</wp:posOffset>
            </wp:positionV>
            <wp:extent cx="2534285" cy="1850390"/>
            <wp:effectExtent l="0" t="0" r="0" b="0"/>
            <wp:wrapSquare wrapText="bothSides"/>
            <wp:docPr id="131"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534285" cy="18503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9F7BAE">
        <w:rPr>
          <w:rFonts w:eastAsia="Calibri" w:cs="Arial"/>
          <w:noProof/>
          <w:szCs w:val="20"/>
          <w:lang w:val="sl-SI" w:eastAsia="sl-SI"/>
        </w:rPr>
        <w:drawing>
          <wp:inline distT="0" distB="0" distL="0" distR="0" wp14:anchorId="7C0C286B" wp14:editId="797780F6">
            <wp:extent cx="2377440" cy="1782700"/>
            <wp:effectExtent l="0" t="0" r="3810" b="8255"/>
            <wp:docPr id="134"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391914" cy="1793554"/>
                    </a:xfrm>
                    <a:prstGeom prst="rect">
                      <a:avLst/>
                    </a:prstGeom>
                    <a:ln>
                      <a:noFill/>
                    </a:ln>
                    <a:effectLst>
                      <a:softEdge rad="112500"/>
                    </a:effectLst>
                  </pic:spPr>
                </pic:pic>
              </a:graphicData>
            </a:graphic>
          </wp:inline>
        </w:drawing>
      </w:r>
    </w:p>
    <w:p w:rsidR="003C1B05" w:rsidRPr="005771BD" w:rsidRDefault="003C1B05" w:rsidP="003C1B05">
      <w:pPr>
        <w:spacing w:after="200" w:line="276" w:lineRule="auto"/>
        <w:rPr>
          <w:rFonts w:cs="Arial"/>
          <w:bCs/>
          <w:i/>
          <w:color w:val="000000"/>
          <w:szCs w:val="20"/>
          <w:lang w:val="sl-SI" w:eastAsia="sl-SI"/>
        </w:rPr>
      </w:pPr>
      <w:r w:rsidRPr="005771BD">
        <w:rPr>
          <w:rFonts w:cs="Arial"/>
          <w:bCs/>
          <w:i/>
          <w:szCs w:val="20"/>
          <w:lang w:val="sl-SI" w:eastAsia="sl-SI"/>
        </w:rPr>
        <w:t>Slika 1</w:t>
      </w:r>
      <w:r w:rsidR="006331C1">
        <w:rPr>
          <w:rFonts w:cs="Arial"/>
          <w:bCs/>
          <w:i/>
          <w:szCs w:val="20"/>
          <w:lang w:val="sl-SI" w:eastAsia="sl-SI"/>
        </w:rPr>
        <w:t>4</w:t>
      </w:r>
      <w:r w:rsidRPr="005771BD">
        <w:rPr>
          <w:rFonts w:cs="Arial"/>
          <w:bCs/>
          <w:i/>
          <w:szCs w:val="20"/>
          <w:lang w:val="sl-SI" w:eastAsia="sl-SI"/>
        </w:rPr>
        <w:t>.5: Poplavljene hiše v vasi Laze na Planinskem polju 18. in 20. februarja 2014  (foto: Lampic I, Hidrotehnik)</w:t>
      </w:r>
    </w:p>
    <w:p w:rsidR="003C1B05" w:rsidRPr="005771BD" w:rsidRDefault="003C1B05" w:rsidP="003C1B05">
      <w:pPr>
        <w:keepNext/>
        <w:keepLines/>
        <w:spacing w:before="200" w:after="200" w:line="276" w:lineRule="auto"/>
        <w:outlineLvl w:val="2"/>
        <w:rPr>
          <w:rFonts w:cs="Arial"/>
          <w:bCs/>
          <w:i/>
          <w:szCs w:val="20"/>
          <w:u w:val="single"/>
          <w:lang w:val="sl-SI"/>
        </w:rPr>
      </w:pPr>
      <w:r w:rsidRPr="005771BD">
        <w:rPr>
          <w:rFonts w:cs="Arial"/>
          <w:bCs/>
          <w:i/>
          <w:szCs w:val="20"/>
          <w:u w:val="single"/>
          <w:lang w:val="sl-SI"/>
        </w:rPr>
        <w:t>Tehnične poplave</w:t>
      </w:r>
    </w:p>
    <w:p w:rsidR="003C1B05" w:rsidRPr="005771BD" w:rsidRDefault="003C1B05" w:rsidP="003C1B05">
      <w:pPr>
        <w:spacing w:after="200" w:line="276" w:lineRule="auto"/>
        <w:jc w:val="both"/>
        <w:rPr>
          <w:rFonts w:eastAsia="Calibri" w:cs="Arial"/>
          <w:szCs w:val="20"/>
          <w:lang w:val="sl-SI"/>
        </w:rPr>
      </w:pPr>
      <w:r w:rsidRPr="005771BD">
        <w:rPr>
          <w:rFonts w:eastAsia="Calibri" w:cs="Arial"/>
          <w:szCs w:val="20"/>
          <w:lang w:val="sl-SI"/>
        </w:rPr>
        <w:t xml:space="preserve">Tehnične poplave </w:t>
      </w:r>
      <w:r>
        <w:rPr>
          <w:rFonts w:eastAsia="Calibri" w:cs="Arial"/>
          <w:szCs w:val="20"/>
          <w:lang w:val="sl-SI"/>
        </w:rPr>
        <w:t>nastanejo</w:t>
      </w:r>
      <w:r w:rsidRPr="005771BD">
        <w:rPr>
          <w:rFonts w:eastAsia="Calibri" w:cs="Arial"/>
          <w:szCs w:val="20"/>
          <w:lang w:val="sl-SI"/>
        </w:rPr>
        <w:t xml:space="preserve"> zaradi neustreznega delovanja ali porušitve objektov vodne infrastrukture (npr. visokovodnih zadrževalnikov) ali na elektroenergetski objektih (npr. HE). Ob pojavu se poveča rušilna moč vode na objekte vodne infrastrukture, kot so protipoplavni nasipi, ki se na posameznih mestih predrejo. Dogodek je sprva umirjen, ob porušitvah protipoplavnih nasipov lahko na manjših območjih postane nenaden dogodek, hipna prekinitev komunikacij, prizadeta kritična infrastruktura, učinek je podoben hudourniški poplavi</w:t>
      </w:r>
      <w:r>
        <w:rPr>
          <w:rFonts w:eastAsia="Calibri" w:cs="Arial"/>
          <w:szCs w:val="20"/>
          <w:lang w:val="sl-SI"/>
        </w:rPr>
        <w:t>.</w:t>
      </w:r>
    </w:p>
    <w:p w:rsidR="003C1B05" w:rsidRPr="005771BD" w:rsidRDefault="003C1B05" w:rsidP="003C1B05">
      <w:pPr>
        <w:keepNext/>
        <w:spacing w:after="200" w:line="276" w:lineRule="auto"/>
        <w:jc w:val="center"/>
        <w:rPr>
          <w:rFonts w:eastAsia="Calibri" w:cs="Arial"/>
          <w:szCs w:val="20"/>
          <w:lang w:val="sl-SI"/>
        </w:rPr>
      </w:pPr>
      <w:r w:rsidRPr="007F272F">
        <w:rPr>
          <w:rFonts w:eastAsia="Calibri" w:cs="Arial"/>
          <w:noProof/>
          <w:szCs w:val="20"/>
          <w:lang w:val="sl-SI" w:eastAsia="sl-SI"/>
        </w:rPr>
        <w:drawing>
          <wp:inline distT="0" distB="0" distL="0" distR="0" wp14:anchorId="789B5360" wp14:editId="79DA8D5F">
            <wp:extent cx="4325510" cy="2682258"/>
            <wp:effectExtent l="0" t="0" r="0" b="3810"/>
            <wp:docPr id="135"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4326600" cy="2682934"/>
                    </a:xfrm>
                    <a:prstGeom prst="rect">
                      <a:avLst/>
                    </a:prstGeom>
                    <a:ln>
                      <a:noFill/>
                    </a:ln>
                    <a:effectLst>
                      <a:softEdge rad="112500"/>
                    </a:effectLst>
                  </pic:spPr>
                </pic:pic>
              </a:graphicData>
            </a:graphic>
          </wp:inline>
        </w:drawing>
      </w:r>
    </w:p>
    <w:p w:rsidR="003C1B05" w:rsidRPr="005771BD" w:rsidRDefault="003C1B05" w:rsidP="003C1B05">
      <w:pPr>
        <w:spacing w:after="200" w:line="276" w:lineRule="auto"/>
        <w:rPr>
          <w:rFonts w:cs="Arial"/>
          <w:bCs/>
          <w:szCs w:val="20"/>
          <w:lang w:val="sl-SI" w:eastAsia="sl-SI"/>
        </w:rPr>
      </w:pPr>
      <w:r w:rsidRPr="005771BD">
        <w:rPr>
          <w:rFonts w:cs="Arial"/>
          <w:bCs/>
          <w:szCs w:val="20"/>
          <w:lang w:val="sl-SI" w:eastAsia="sl-SI"/>
        </w:rPr>
        <w:t>Slika 1</w:t>
      </w:r>
      <w:r w:rsidR="006331C1">
        <w:rPr>
          <w:rFonts w:cs="Arial"/>
          <w:bCs/>
          <w:szCs w:val="20"/>
          <w:lang w:val="sl-SI" w:eastAsia="sl-SI"/>
        </w:rPr>
        <w:t>4</w:t>
      </w:r>
      <w:r w:rsidRPr="005771BD">
        <w:rPr>
          <w:rFonts w:cs="Arial"/>
          <w:bCs/>
          <w:szCs w:val="20"/>
          <w:lang w:val="sl-SI" w:eastAsia="sl-SI"/>
        </w:rPr>
        <w:t>.6: Preboj nasipa v obvodni  kanal HE Zlatoličje  (foto: arhiv Mensuras</w:t>
      </w:r>
      <w:r>
        <w:rPr>
          <w:rFonts w:cs="Arial"/>
          <w:bCs/>
          <w:szCs w:val="20"/>
          <w:lang w:val="sl-SI" w:eastAsia="sl-SI"/>
        </w:rPr>
        <w:t>,</w:t>
      </w:r>
      <w:r w:rsidRPr="005771BD">
        <w:rPr>
          <w:rFonts w:cs="Arial"/>
          <w:bCs/>
          <w:szCs w:val="20"/>
          <w:lang w:val="sl-SI" w:eastAsia="sl-SI"/>
        </w:rPr>
        <w:t xml:space="preserve"> d.</w:t>
      </w:r>
      <w:r>
        <w:rPr>
          <w:rFonts w:cs="Arial"/>
          <w:bCs/>
          <w:szCs w:val="20"/>
          <w:lang w:val="sl-SI" w:eastAsia="sl-SI"/>
        </w:rPr>
        <w:t xml:space="preserve"> </w:t>
      </w:r>
      <w:r w:rsidRPr="005771BD">
        <w:rPr>
          <w:rFonts w:cs="Arial"/>
          <w:bCs/>
          <w:szCs w:val="20"/>
          <w:lang w:val="sl-SI" w:eastAsia="sl-SI"/>
        </w:rPr>
        <w:t>o.</w:t>
      </w:r>
      <w:r>
        <w:rPr>
          <w:rFonts w:cs="Arial"/>
          <w:bCs/>
          <w:szCs w:val="20"/>
          <w:lang w:val="sl-SI" w:eastAsia="sl-SI"/>
        </w:rPr>
        <w:t xml:space="preserve"> </w:t>
      </w:r>
      <w:r w:rsidRPr="005771BD">
        <w:rPr>
          <w:rFonts w:cs="Arial"/>
          <w:bCs/>
          <w:szCs w:val="20"/>
          <w:lang w:val="sl-SI" w:eastAsia="sl-SI"/>
        </w:rPr>
        <w:t>o.)</w:t>
      </w:r>
    </w:p>
    <w:p w:rsidR="003C1B05" w:rsidRPr="005771BD" w:rsidRDefault="003C1B05" w:rsidP="003C1B05">
      <w:pPr>
        <w:keepNext/>
        <w:keepLines/>
        <w:spacing w:after="200" w:line="276" w:lineRule="auto"/>
        <w:outlineLvl w:val="0"/>
        <w:rPr>
          <w:rFonts w:cs="Arial"/>
          <w:b/>
          <w:bCs/>
          <w:szCs w:val="20"/>
          <w:lang w:val="sl-SI"/>
        </w:rPr>
      </w:pPr>
      <w:r w:rsidRPr="005771BD">
        <w:rPr>
          <w:rFonts w:cs="Arial"/>
          <w:b/>
          <w:bCs/>
          <w:szCs w:val="20"/>
          <w:lang w:val="sl-SI"/>
        </w:rPr>
        <w:t>1</w:t>
      </w:r>
      <w:r w:rsidR="006331C1">
        <w:rPr>
          <w:rFonts w:cs="Arial"/>
          <w:b/>
          <w:bCs/>
          <w:szCs w:val="20"/>
          <w:lang w:val="sl-SI"/>
        </w:rPr>
        <w:t>4</w:t>
      </w:r>
      <w:r w:rsidRPr="005771BD">
        <w:rPr>
          <w:rFonts w:cs="Arial"/>
          <w:b/>
          <w:bCs/>
          <w:szCs w:val="20"/>
          <w:lang w:val="sl-SI"/>
        </w:rPr>
        <w:t>.2.3 Poplavni dogodki 2007</w:t>
      </w:r>
      <w:r>
        <w:rPr>
          <w:rFonts w:cs="Arial"/>
          <w:b/>
          <w:bCs/>
          <w:szCs w:val="20"/>
          <w:lang w:val="sl-SI"/>
        </w:rPr>
        <w:t>–</w:t>
      </w:r>
      <w:r w:rsidRPr="005771BD">
        <w:rPr>
          <w:rFonts w:cs="Arial"/>
          <w:b/>
          <w:bCs/>
          <w:szCs w:val="20"/>
          <w:lang w:val="sl-SI"/>
        </w:rPr>
        <w:t xml:space="preserve">2014 </w:t>
      </w:r>
    </w:p>
    <w:p w:rsidR="003C1B05" w:rsidRPr="005771BD" w:rsidRDefault="003C1B05" w:rsidP="003C1B05">
      <w:pPr>
        <w:spacing w:after="200" w:line="276" w:lineRule="auto"/>
        <w:jc w:val="both"/>
        <w:rPr>
          <w:rFonts w:eastAsia="Calibri" w:cs="Arial"/>
          <w:szCs w:val="20"/>
          <w:lang w:val="sl-SI"/>
        </w:rPr>
      </w:pPr>
      <w:r w:rsidRPr="005771BD">
        <w:rPr>
          <w:rFonts w:eastAsia="Calibri" w:cs="Arial"/>
          <w:szCs w:val="20"/>
          <w:lang w:val="sl-SI"/>
        </w:rPr>
        <w:t xml:space="preserve">V Sloveniji imamo popis poplavnih dogodkov od leta 2007 do 2014. </w:t>
      </w:r>
      <w:r w:rsidRPr="005771BD">
        <w:rPr>
          <w:rFonts w:eastAsia="Calibri" w:cs="Arial"/>
          <w:color w:val="000000"/>
          <w:szCs w:val="20"/>
          <w:lang w:val="sl-SI"/>
        </w:rPr>
        <w:t>Vir podatkov za ta popis so podatki Centra za obveščanje RS Uprave RS za zaščito in reševanje, analizirani v Agenciji RS za okolje.</w:t>
      </w:r>
      <w:r w:rsidRPr="005771BD">
        <w:rPr>
          <w:rFonts w:eastAsia="Calibri" w:cs="Arial"/>
          <w:szCs w:val="20"/>
          <w:lang w:val="sl-SI"/>
        </w:rPr>
        <w:t xml:space="preserve"> Popis obsega poplave manjšega obsega in poplave z izrazito škodo. </w:t>
      </w:r>
    </w:p>
    <w:p w:rsidR="003C1B05" w:rsidRPr="005771BD" w:rsidRDefault="003C1B05" w:rsidP="003C1B05">
      <w:pPr>
        <w:spacing w:after="200" w:line="276" w:lineRule="auto"/>
        <w:jc w:val="center"/>
        <w:rPr>
          <w:rFonts w:eastAsia="Calibri" w:cs="Arial"/>
          <w:b/>
          <w:szCs w:val="20"/>
          <w:lang w:val="sl-SI"/>
        </w:rPr>
      </w:pPr>
      <w:r w:rsidRPr="007F272F">
        <w:rPr>
          <w:rFonts w:eastAsia="Calibri" w:cs="Arial"/>
          <w:noProof/>
          <w:szCs w:val="20"/>
          <w:lang w:val="sl-SI" w:eastAsia="sl-SI"/>
        </w:rPr>
        <w:drawing>
          <wp:inline distT="0" distB="0" distL="0" distR="0" wp14:anchorId="506E6D52" wp14:editId="3764CDB6">
            <wp:extent cx="3862426" cy="2631845"/>
            <wp:effectExtent l="76200" t="76200" r="138430" b="130810"/>
            <wp:docPr id="136"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3873252" cy="263922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C1B05" w:rsidRPr="005771BD" w:rsidRDefault="003C1B05" w:rsidP="003C1B05">
      <w:pPr>
        <w:spacing w:after="200" w:line="276" w:lineRule="auto"/>
        <w:rPr>
          <w:rFonts w:eastAsia="Calibri" w:cs="Arial"/>
          <w:i/>
          <w:szCs w:val="20"/>
          <w:lang w:val="sl-SI"/>
        </w:rPr>
      </w:pPr>
      <w:r w:rsidRPr="005771BD">
        <w:rPr>
          <w:rFonts w:eastAsia="Calibri" w:cs="Arial"/>
          <w:i/>
          <w:szCs w:val="20"/>
          <w:lang w:val="sl-SI"/>
        </w:rPr>
        <w:t>Slika 1</w:t>
      </w:r>
      <w:r w:rsidR="006331C1">
        <w:rPr>
          <w:rFonts w:eastAsia="Calibri" w:cs="Arial"/>
          <w:i/>
          <w:szCs w:val="20"/>
          <w:lang w:val="sl-SI"/>
        </w:rPr>
        <w:t>4</w:t>
      </w:r>
      <w:r w:rsidRPr="005771BD">
        <w:rPr>
          <w:rFonts w:eastAsia="Calibri" w:cs="Arial"/>
          <w:i/>
          <w:szCs w:val="20"/>
          <w:lang w:val="sl-SI"/>
        </w:rPr>
        <w:t>.7: Poplavni dogodki na območju RS od 2007</w:t>
      </w:r>
      <w:r>
        <w:rPr>
          <w:rFonts w:eastAsia="Calibri" w:cs="Arial"/>
          <w:i/>
          <w:szCs w:val="20"/>
          <w:lang w:val="sl-SI"/>
        </w:rPr>
        <w:t>–</w:t>
      </w:r>
      <w:r w:rsidRPr="005771BD">
        <w:rPr>
          <w:rFonts w:eastAsia="Calibri" w:cs="Arial"/>
          <w:i/>
          <w:szCs w:val="20"/>
          <w:lang w:val="sl-SI"/>
        </w:rPr>
        <w:t>2014 (ARSO, 2015)</w:t>
      </w:r>
    </w:p>
    <w:p w:rsidR="003C1B05" w:rsidRPr="005771BD" w:rsidRDefault="003C1B05" w:rsidP="003C1B05">
      <w:pPr>
        <w:spacing w:after="200" w:line="276" w:lineRule="auto"/>
        <w:jc w:val="both"/>
        <w:rPr>
          <w:rFonts w:eastAsia="Calibri" w:cs="Arial"/>
          <w:color w:val="000000"/>
          <w:szCs w:val="20"/>
          <w:lang w:val="sl-SI"/>
        </w:rPr>
      </w:pPr>
      <w:r w:rsidRPr="005771BD">
        <w:rPr>
          <w:rFonts w:eastAsia="Calibri" w:cs="Arial"/>
          <w:color w:val="000000"/>
          <w:szCs w:val="20"/>
          <w:lang w:val="sl-SI"/>
        </w:rPr>
        <w:t xml:space="preserve">Dosegi poplavnih dogodkov v letu 1980, junija in avgusta leta 1987, novembra in decembra 1990, leta 1998, leta 2007, marca, avgusta in decembra leta 2009 in leta 2010 so zbrani tudi v poligonskih podatkovnih slojih in objavljeni </w:t>
      </w:r>
      <w:r>
        <w:rPr>
          <w:rFonts w:eastAsia="Calibri" w:cs="Arial"/>
          <w:color w:val="000000"/>
          <w:szCs w:val="20"/>
          <w:lang w:val="sl-SI"/>
        </w:rPr>
        <w:t>v</w:t>
      </w:r>
      <w:r w:rsidRPr="005771BD">
        <w:rPr>
          <w:rFonts w:eastAsia="Calibri" w:cs="Arial"/>
          <w:color w:val="000000"/>
          <w:szCs w:val="20"/>
          <w:lang w:val="sl-SI"/>
        </w:rPr>
        <w:t xml:space="preserve"> Atlasu okolja.</w:t>
      </w:r>
    </w:p>
    <w:p w:rsidR="003C1B05" w:rsidRPr="005771BD" w:rsidRDefault="003C1B05" w:rsidP="003C1B05">
      <w:pPr>
        <w:keepNext/>
        <w:spacing w:after="200" w:line="276" w:lineRule="auto"/>
        <w:jc w:val="center"/>
        <w:rPr>
          <w:rFonts w:eastAsia="Calibri" w:cs="Arial"/>
          <w:i/>
          <w:szCs w:val="20"/>
          <w:u w:val="single"/>
          <w:lang w:val="sl-SI"/>
        </w:rPr>
      </w:pPr>
      <w:r w:rsidRPr="007F272F">
        <w:rPr>
          <w:rFonts w:eastAsia="Calibri" w:cs="Arial"/>
          <w:noProof/>
          <w:szCs w:val="20"/>
          <w:lang w:val="sl-SI" w:eastAsia="sl-SI"/>
        </w:rPr>
        <w:drawing>
          <wp:inline distT="0" distB="0" distL="0" distR="0" wp14:anchorId="3134A0AD" wp14:editId="4B04D35B">
            <wp:extent cx="5127955" cy="2499772"/>
            <wp:effectExtent l="133350" t="133350" r="149225" b="167640"/>
            <wp:docPr id="13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5134360" cy="25028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C1B05" w:rsidRPr="005771BD" w:rsidRDefault="003C1B05" w:rsidP="003C1B05">
      <w:pPr>
        <w:spacing w:after="200" w:line="276" w:lineRule="auto"/>
        <w:rPr>
          <w:rFonts w:cs="Arial"/>
          <w:bCs/>
          <w:i/>
          <w:szCs w:val="20"/>
          <w:lang w:val="sl-SI" w:eastAsia="sl-SI"/>
        </w:rPr>
      </w:pPr>
      <w:r w:rsidRPr="005771BD">
        <w:rPr>
          <w:rFonts w:cs="Arial"/>
          <w:bCs/>
          <w:i/>
          <w:szCs w:val="20"/>
          <w:lang w:val="sl-SI" w:eastAsia="sl-SI"/>
        </w:rPr>
        <w:t>Slika 1</w:t>
      </w:r>
      <w:r w:rsidR="006331C1">
        <w:rPr>
          <w:rFonts w:cs="Arial"/>
          <w:bCs/>
          <w:i/>
          <w:szCs w:val="20"/>
          <w:lang w:val="sl-SI" w:eastAsia="sl-SI"/>
        </w:rPr>
        <w:t>4</w:t>
      </w:r>
      <w:r w:rsidRPr="005771BD">
        <w:rPr>
          <w:rFonts w:cs="Arial"/>
          <w:bCs/>
          <w:i/>
          <w:szCs w:val="20"/>
          <w:lang w:val="sl-SI" w:eastAsia="sl-SI"/>
        </w:rPr>
        <w:t>.8: Prikaz obsega poplavnih dogodkov 1980</w:t>
      </w:r>
      <w:r>
        <w:rPr>
          <w:rFonts w:cs="Arial"/>
          <w:bCs/>
          <w:i/>
          <w:szCs w:val="20"/>
          <w:lang w:val="sl-SI" w:eastAsia="sl-SI"/>
        </w:rPr>
        <w:t>–</w:t>
      </w:r>
      <w:r w:rsidRPr="005771BD">
        <w:rPr>
          <w:rFonts w:cs="Arial"/>
          <w:bCs/>
          <w:i/>
          <w:szCs w:val="20"/>
          <w:lang w:val="sl-SI" w:eastAsia="sl-SI"/>
        </w:rPr>
        <w:t xml:space="preserve">2010  </w:t>
      </w:r>
    </w:p>
    <w:p w:rsidR="003C1B05" w:rsidRPr="005771BD" w:rsidRDefault="003C1B05" w:rsidP="003C1B05">
      <w:pPr>
        <w:spacing w:after="200" w:line="276" w:lineRule="auto"/>
        <w:rPr>
          <w:rFonts w:eastAsia="Calibri" w:cs="Arial"/>
          <w:b/>
          <w:szCs w:val="20"/>
          <w:lang w:val="sl-SI"/>
        </w:rPr>
      </w:pPr>
    </w:p>
    <w:p w:rsidR="003C1B05" w:rsidRPr="005771BD" w:rsidRDefault="003C1B05" w:rsidP="003C1B05">
      <w:pPr>
        <w:spacing w:after="200" w:line="276" w:lineRule="auto"/>
        <w:rPr>
          <w:rFonts w:eastAsia="Calibri" w:cs="Arial"/>
          <w:b/>
          <w:szCs w:val="20"/>
          <w:lang w:val="sl-SI"/>
        </w:rPr>
      </w:pPr>
      <w:r w:rsidRPr="005771BD">
        <w:rPr>
          <w:rFonts w:eastAsia="Calibri" w:cs="Arial"/>
          <w:b/>
          <w:szCs w:val="20"/>
          <w:lang w:val="sl-SI"/>
        </w:rPr>
        <w:t>1</w:t>
      </w:r>
      <w:r w:rsidR="006331C1">
        <w:rPr>
          <w:rFonts w:eastAsia="Calibri" w:cs="Arial"/>
          <w:b/>
          <w:szCs w:val="20"/>
          <w:lang w:val="sl-SI"/>
        </w:rPr>
        <w:t>4</w:t>
      </w:r>
      <w:r w:rsidRPr="005771BD">
        <w:rPr>
          <w:rFonts w:eastAsia="Calibri" w:cs="Arial"/>
          <w:b/>
          <w:szCs w:val="20"/>
          <w:lang w:val="sl-SI"/>
        </w:rPr>
        <w:t>.2.4 Škodne posledice poplav</w:t>
      </w:r>
    </w:p>
    <w:p w:rsidR="003C1B05" w:rsidRPr="005771BD" w:rsidRDefault="003C1B05" w:rsidP="008F2957">
      <w:pPr>
        <w:spacing w:after="200" w:line="276" w:lineRule="auto"/>
        <w:jc w:val="both"/>
        <w:rPr>
          <w:rFonts w:eastAsia="Calibri" w:cs="Arial"/>
          <w:szCs w:val="20"/>
          <w:lang w:val="sl-SI"/>
        </w:rPr>
      </w:pPr>
      <w:r w:rsidRPr="005771BD">
        <w:rPr>
          <w:rFonts w:eastAsia="Calibri" w:cs="Arial"/>
          <w:szCs w:val="20"/>
          <w:lang w:val="sl-SI"/>
        </w:rPr>
        <w:t>Pretekli poplavni dogodki so podrobneje obravnavani v Predhodni oceni poplavne ogroženosti (IzVRS, 2011)</w:t>
      </w:r>
      <w:r w:rsidRPr="005771BD">
        <w:rPr>
          <w:rFonts w:eastAsia="Calibri" w:cs="Arial"/>
          <w:szCs w:val="20"/>
          <w:vertAlign w:val="superscript"/>
          <w:lang w:val="sl-SI"/>
        </w:rPr>
        <w:footnoteReference w:id="31"/>
      </w:r>
      <w:r w:rsidRPr="005771BD">
        <w:rPr>
          <w:rFonts w:eastAsia="Calibri" w:cs="Arial"/>
          <w:szCs w:val="20"/>
          <w:lang w:val="sl-SI"/>
        </w:rPr>
        <w:t>. V poročilu prikazujemo večje poplavne dogodke, ki so se zgodili od leta 2009.</w:t>
      </w:r>
    </w:p>
    <w:p w:rsidR="003C1B05" w:rsidRPr="005771BD" w:rsidRDefault="003C1B05" w:rsidP="008F2957">
      <w:pPr>
        <w:spacing w:after="200" w:line="276" w:lineRule="auto"/>
        <w:jc w:val="both"/>
        <w:rPr>
          <w:rFonts w:eastAsia="Calibri" w:cs="Arial"/>
          <w:szCs w:val="20"/>
          <w:lang w:val="sl-SI"/>
        </w:rPr>
      </w:pPr>
      <w:r w:rsidRPr="005771BD">
        <w:rPr>
          <w:rFonts w:eastAsia="Calibri" w:cs="Arial"/>
          <w:szCs w:val="20"/>
          <w:lang w:val="sl-SI"/>
        </w:rPr>
        <w:t xml:space="preserve">V </w:t>
      </w:r>
      <w:r w:rsidRPr="005771BD">
        <w:rPr>
          <w:rFonts w:eastAsia="Calibri" w:cs="Arial"/>
          <w:b/>
          <w:szCs w:val="20"/>
          <w:lang w:val="sl-SI"/>
        </w:rPr>
        <w:t>letu 2009</w:t>
      </w:r>
      <w:r w:rsidRPr="005771BD">
        <w:rPr>
          <w:rFonts w:eastAsia="Calibri" w:cs="Arial"/>
          <w:szCs w:val="20"/>
          <w:lang w:val="sl-SI"/>
        </w:rPr>
        <w:t xml:space="preserve"> sta bila dva večja poplavna dogodka</w:t>
      </w:r>
      <w:r>
        <w:rPr>
          <w:rFonts w:eastAsia="Calibri" w:cs="Arial"/>
          <w:szCs w:val="20"/>
          <w:lang w:val="sl-SI"/>
        </w:rPr>
        <w:t>,</w:t>
      </w:r>
      <w:r w:rsidRPr="005771BD">
        <w:rPr>
          <w:rFonts w:eastAsia="Calibri" w:cs="Arial"/>
          <w:szCs w:val="20"/>
          <w:lang w:val="sl-SI"/>
        </w:rPr>
        <w:t xml:space="preserve"> in sicer v marcu in decembru. V marcu je bilo prizadeto porečje Vipave in Idrijce s skupno škodo na vodni infrastrukturi 1,75 mio EUR. V decembru je poplava zajela tretjino ozemlja Slovenije. Neposredna škoda je znašala 25 mio EUR, 72</w:t>
      </w:r>
      <w:r>
        <w:rPr>
          <w:rFonts w:eastAsia="Calibri" w:cs="Arial"/>
          <w:szCs w:val="20"/>
          <w:lang w:val="sl-SI"/>
        </w:rPr>
        <w:t xml:space="preserve"> </w:t>
      </w:r>
      <w:r w:rsidRPr="005771BD">
        <w:rPr>
          <w:rFonts w:eastAsia="Calibri" w:cs="Arial"/>
          <w:szCs w:val="20"/>
          <w:lang w:val="sl-SI"/>
        </w:rPr>
        <w:t>% na vodni infrastrukturi, 93</w:t>
      </w:r>
      <w:r>
        <w:rPr>
          <w:rFonts w:eastAsia="Calibri" w:cs="Arial"/>
          <w:szCs w:val="20"/>
          <w:lang w:val="sl-SI"/>
        </w:rPr>
        <w:t xml:space="preserve"> </w:t>
      </w:r>
      <w:r w:rsidRPr="005771BD">
        <w:rPr>
          <w:rFonts w:eastAsia="Calibri" w:cs="Arial"/>
          <w:szCs w:val="20"/>
          <w:lang w:val="sl-SI"/>
        </w:rPr>
        <w:t xml:space="preserve">% celotne škode je bilo na porečju </w:t>
      </w:r>
      <w:r>
        <w:rPr>
          <w:rFonts w:eastAsia="Calibri" w:cs="Arial"/>
          <w:szCs w:val="20"/>
          <w:lang w:val="sl-SI"/>
        </w:rPr>
        <w:t>z</w:t>
      </w:r>
      <w:r w:rsidRPr="005771BD">
        <w:rPr>
          <w:rFonts w:eastAsia="Calibri" w:cs="Arial"/>
          <w:szCs w:val="20"/>
          <w:lang w:val="sl-SI"/>
        </w:rPr>
        <w:t>gornje Save in Soče.</w:t>
      </w:r>
    </w:p>
    <w:p w:rsidR="003C1B05" w:rsidRPr="005771BD" w:rsidRDefault="003C1B05" w:rsidP="008F2957">
      <w:pPr>
        <w:spacing w:after="200" w:line="276" w:lineRule="auto"/>
        <w:jc w:val="both"/>
        <w:rPr>
          <w:rFonts w:eastAsia="Calibri" w:cs="Arial"/>
          <w:szCs w:val="20"/>
          <w:lang w:val="sl-SI"/>
        </w:rPr>
      </w:pPr>
      <w:r w:rsidRPr="005771BD">
        <w:rPr>
          <w:rFonts w:eastAsia="Calibri" w:cs="Arial"/>
          <w:szCs w:val="20"/>
          <w:lang w:val="sl-SI"/>
        </w:rPr>
        <w:t xml:space="preserve">Izjemne dolgotrajne padavine so v </w:t>
      </w:r>
      <w:r w:rsidRPr="005771BD">
        <w:rPr>
          <w:rFonts w:eastAsia="Calibri" w:cs="Arial"/>
          <w:b/>
          <w:szCs w:val="20"/>
          <w:lang w:val="sl-SI"/>
        </w:rPr>
        <w:t>letu 2010</w:t>
      </w:r>
      <w:r w:rsidRPr="005771BD">
        <w:rPr>
          <w:rFonts w:eastAsia="Calibri" w:cs="Arial"/>
          <w:szCs w:val="20"/>
          <w:lang w:val="sl-SI"/>
        </w:rPr>
        <w:t xml:space="preserve"> povzročile poplave hudo</w:t>
      </w:r>
      <w:r>
        <w:rPr>
          <w:rFonts w:eastAsia="Calibri" w:cs="Arial"/>
          <w:szCs w:val="20"/>
          <w:lang w:val="sl-SI"/>
        </w:rPr>
        <w:t>u</w:t>
      </w:r>
      <w:r w:rsidRPr="005771BD">
        <w:rPr>
          <w:rFonts w:eastAsia="Calibri" w:cs="Arial"/>
          <w:szCs w:val="20"/>
          <w:lang w:val="sl-SI"/>
        </w:rPr>
        <w:t>rnikov, vodotokov in kraških vodotokov na treh četrtinah območja Slovenije (170 občin). Neposredna škoda je znašala 188 mio EUR, 62</w:t>
      </w:r>
      <w:r>
        <w:rPr>
          <w:rFonts w:eastAsia="Calibri" w:cs="Arial"/>
          <w:szCs w:val="20"/>
          <w:lang w:val="sl-SI"/>
        </w:rPr>
        <w:t xml:space="preserve"> </w:t>
      </w:r>
      <w:r w:rsidRPr="005771BD">
        <w:rPr>
          <w:rFonts w:eastAsia="Calibri" w:cs="Arial"/>
          <w:szCs w:val="20"/>
          <w:lang w:val="sl-SI"/>
        </w:rPr>
        <w:t>% na vodni infrastrukturi, od tega 35</w:t>
      </w:r>
      <w:r>
        <w:rPr>
          <w:rFonts w:eastAsia="Calibri" w:cs="Arial"/>
          <w:szCs w:val="20"/>
          <w:lang w:val="sl-SI"/>
        </w:rPr>
        <w:t xml:space="preserve"> </w:t>
      </w:r>
      <w:r w:rsidRPr="005771BD">
        <w:rPr>
          <w:rFonts w:eastAsia="Calibri" w:cs="Arial"/>
          <w:szCs w:val="20"/>
          <w:lang w:val="sl-SI"/>
        </w:rPr>
        <w:t xml:space="preserve">% na porečju </w:t>
      </w:r>
      <w:r>
        <w:rPr>
          <w:rFonts w:eastAsia="Calibri" w:cs="Arial"/>
          <w:szCs w:val="20"/>
          <w:lang w:val="sl-SI"/>
        </w:rPr>
        <w:t>s</w:t>
      </w:r>
      <w:r w:rsidRPr="005771BD">
        <w:rPr>
          <w:rFonts w:eastAsia="Calibri" w:cs="Arial"/>
          <w:szCs w:val="20"/>
          <w:lang w:val="sl-SI"/>
        </w:rPr>
        <w:t>rednje Save.</w:t>
      </w:r>
    </w:p>
    <w:p w:rsidR="003C1B05" w:rsidRPr="005771BD" w:rsidRDefault="003C1B05" w:rsidP="003C1B05">
      <w:pPr>
        <w:spacing w:after="200" w:line="276" w:lineRule="auto"/>
        <w:jc w:val="both"/>
        <w:rPr>
          <w:rFonts w:eastAsia="Calibri" w:cs="Arial"/>
          <w:szCs w:val="20"/>
          <w:lang w:val="sl-SI"/>
        </w:rPr>
      </w:pPr>
      <w:r w:rsidRPr="005771BD">
        <w:rPr>
          <w:rFonts w:eastAsia="Calibri" w:cs="Arial"/>
          <w:szCs w:val="20"/>
          <w:lang w:val="sl-SI"/>
        </w:rPr>
        <w:t xml:space="preserve">Poplavni dogodek </w:t>
      </w:r>
      <w:r w:rsidRPr="005771BD">
        <w:rPr>
          <w:rFonts w:eastAsia="Calibri" w:cs="Arial"/>
          <w:b/>
          <w:szCs w:val="20"/>
          <w:lang w:val="sl-SI"/>
        </w:rPr>
        <w:t>leta 2012</w:t>
      </w:r>
      <w:r w:rsidRPr="005771BD">
        <w:rPr>
          <w:rFonts w:eastAsia="Calibri" w:cs="Arial"/>
          <w:szCs w:val="20"/>
          <w:lang w:val="sl-SI"/>
        </w:rPr>
        <w:t xml:space="preserve"> je zajel tri četrtine ozemlja Slovenije z izjemo </w:t>
      </w:r>
      <w:r>
        <w:rPr>
          <w:rFonts w:eastAsia="Calibri" w:cs="Arial"/>
          <w:szCs w:val="20"/>
          <w:lang w:val="sl-SI"/>
        </w:rPr>
        <w:t>p</w:t>
      </w:r>
      <w:r w:rsidRPr="005771BD">
        <w:rPr>
          <w:rFonts w:eastAsia="Calibri" w:cs="Arial"/>
          <w:szCs w:val="20"/>
          <w:lang w:val="sl-SI"/>
        </w:rPr>
        <w:t xml:space="preserve">omurske regije, </w:t>
      </w:r>
      <w:r>
        <w:rPr>
          <w:rFonts w:eastAsia="Calibri" w:cs="Arial"/>
          <w:szCs w:val="20"/>
          <w:lang w:val="sl-SI"/>
        </w:rPr>
        <w:t>j</w:t>
      </w:r>
      <w:r w:rsidRPr="005771BD">
        <w:rPr>
          <w:rFonts w:eastAsia="Calibri" w:cs="Arial"/>
          <w:szCs w:val="20"/>
          <w:lang w:val="sl-SI"/>
        </w:rPr>
        <w:t xml:space="preserve">ugovzhodne Slovenije in </w:t>
      </w:r>
      <w:r>
        <w:rPr>
          <w:rFonts w:eastAsia="Calibri" w:cs="Arial"/>
          <w:szCs w:val="20"/>
          <w:lang w:val="sl-SI"/>
        </w:rPr>
        <w:t>o</w:t>
      </w:r>
      <w:r w:rsidRPr="005771BD">
        <w:rPr>
          <w:rFonts w:eastAsia="Calibri" w:cs="Arial"/>
          <w:szCs w:val="20"/>
          <w:lang w:val="sl-SI"/>
        </w:rPr>
        <w:t>balno</w:t>
      </w:r>
      <w:r>
        <w:rPr>
          <w:rFonts w:eastAsia="Calibri" w:cs="Arial"/>
          <w:szCs w:val="20"/>
          <w:lang w:val="sl-SI"/>
        </w:rPr>
        <w:t>-k</w:t>
      </w:r>
      <w:r w:rsidRPr="005771BD">
        <w:rPr>
          <w:rFonts w:eastAsia="Calibri" w:cs="Arial"/>
          <w:szCs w:val="20"/>
          <w:lang w:val="sl-SI"/>
        </w:rPr>
        <w:t xml:space="preserve">raške regije. Prizadetih ali poplavljenih ali poškodovanih je bilo 3.608 stanovanjskih objektov, 658 upravnih in gospodarskih objektov in 10 šol, evidentiranih je bilo 397 zemeljskih plazov, pri reševanju in odpravljanju posledic poplav je sodelovalo 20.048 pripadnikov sil za zaščito in reševanje (gasilcev, pripadnikov CZ, policistov, vojakov), komunalnih in elektro podjetij </w:t>
      </w:r>
      <w:r>
        <w:rPr>
          <w:rFonts w:eastAsia="Calibri" w:cs="Arial"/>
          <w:szCs w:val="20"/>
          <w:lang w:val="sl-SI"/>
        </w:rPr>
        <w:t>ter</w:t>
      </w:r>
      <w:r w:rsidRPr="005771BD">
        <w:rPr>
          <w:rFonts w:eastAsia="Calibri" w:cs="Arial"/>
          <w:szCs w:val="20"/>
          <w:lang w:val="sl-SI"/>
        </w:rPr>
        <w:t xml:space="preserve"> drugih prostovoljcev. </w:t>
      </w:r>
    </w:p>
    <w:p w:rsidR="003C1B05" w:rsidRPr="005771BD" w:rsidRDefault="003C1B05" w:rsidP="003C1B05">
      <w:pPr>
        <w:spacing w:after="200" w:line="276" w:lineRule="auto"/>
        <w:jc w:val="both"/>
        <w:rPr>
          <w:rFonts w:eastAsia="Calibri" w:cs="Arial"/>
          <w:szCs w:val="20"/>
          <w:lang w:val="sl-SI"/>
        </w:rPr>
      </w:pPr>
    </w:p>
    <w:p w:rsidR="003C1B05" w:rsidRPr="005771BD" w:rsidRDefault="003C1B05" w:rsidP="003C1B05">
      <w:pPr>
        <w:spacing w:after="200" w:line="276" w:lineRule="auto"/>
        <w:jc w:val="both"/>
        <w:rPr>
          <w:rFonts w:eastAsia="Calibri" w:cs="Arial"/>
          <w:szCs w:val="20"/>
          <w:lang w:val="sl-SI"/>
        </w:rPr>
      </w:pPr>
    </w:p>
    <w:p w:rsidR="003C1B05" w:rsidRPr="005771BD" w:rsidRDefault="003C1B05" w:rsidP="003C1B05">
      <w:pPr>
        <w:spacing w:after="200" w:line="276" w:lineRule="auto"/>
        <w:jc w:val="both"/>
        <w:rPr>
          <w:rFonts w:eastAsia="Calibri" w:cs="Arial"/>
          <w:szCs w:val="20"/>
          <w:lang w:val="sl-SI"/>
        </w:rPr>
      </w:pPr>
    </w:p>
    <w:p w:rsidR="003C1B05" w:rsidRPr="005771BD" w:rsidRDefault="003C1B05" w:rsidP="003C1B05">
      <w:pPr>
        <w:spacing w:after="200" w:line="276" w:lineRule="auto"/>
        <w:jc w:val="both"/>
        <w:rPr>
          <w:rFonts w:eastAsia="Calibri" w:cs="Arial"/>
          <w:szCs w:val="20"/>
          <w:lang w:val="sl-SI"/>
        </w:rPr>
      </w:pPr>
    </w:p>
    <w:p w:rsidR="003C1B05" w:rsidRPr="005771BD" w:rsidRDefault="003C1B05" w:rsidP="003C1B05">
      <w:pPr>
        <w:spacing w:after="200" w:line="276" w:lineRule="auto"/>
        <w:jc w:val="both"/>
        <w:rPr>
          <w:rFonts w:eastAsia="Calibri" w:cs="Arial"/>
          <w:szCs w:val="20"/>
          <w:lang w:val="sl-SI"/>
        </w:rPr>
      </w:pPr>
    </w:p>
    <w:p w:rsidR="003C1B05" w:rsidRPr="005771BD" w:rsidRDefault="003C1B05" w:rsidP="003C1B05">
      <w:pPr>
        <w:spacing w:after="200" w:line="276" w:lineRule="auto"/>
        <w:jc w:val="both"/>
        <w:rPr>
          <w:rFonts w:eastAsia="Calibri" w:cs="Arial"/>
          <w:bCs/>
          <w:i/>
          <w:szCs w:val="20"/>
          <w:lang w:val="sl-SI"/>
        </w:rPr>
      </w:pPr>
      <w:r w:rsidRPr="005771BD">
        <w:rPr>
          <w:rFonts w:eastAsia="Calibri" w:cs="Arial"/>
          <w:bCs/>
          <w:i/>
          <w:szCs w:val="20"/>
          <w:lang w:val="sl-SI"/>
        </w:rPr>
        <w:t>Preglednica 1</w:t>
      </w:r>
      <w:r w:rsidR="006331C1">
        <w:rPr>
          <w:rFonts w:eastAsia="Calibri" w:cs="Arial"/>
          <w:bCs/>
          <w:i/>
          <w:szCs w:val="20"/>
          <w:lang w:val="sl-SI"/>
        </w:rPr>
        <w:t>4</w:t>
      </w:r>
      <w:r w:rsidRPr="005771BD">
        <w:rPr>
          <w:rFonts w:eastAsia="Calibri" w:cs="Arial"/>
          <w:bCs/>
          <w:i/>
          <w:szCs w:val="20"/>
          <w:lang w:val="sl-SI"/>
        </w:rPr>
        <w:t>.4: Ocenjena letna škoda zaradi poplav v obdobju 1990</w:t>
      </w:r>
      <w:r>
        <w:rPr>
          <w:rFonts w:eastAsia="Calibri" w:cs="Arial"/>
          <w:bCs/>
          <w:i/>
          <w:szCs w:val="20"/>
          <w:lang w:val="sl-SI"/>
        </w:rPr>
        <w:t>–</w:t>
      </w:r>
      <w:r w:rsidRPr="005771BD">
        <w:rPr>
          <w:rFonts w:eastAsia="Calibri" w:cs="Arial"/>
          <w:bCs/>
          <w:i/>
          <w:szCs w:val="20"/>
          <w:lang w:val="sl-SI"/>
        </w:rPr>
        <w:t>2010</w:t>
      </w:r>
    </w:p>
    <w:p w:rsidR="003C1B05" w:rsidRPr="005771BD" w:rsidRDefault="003C1B05" w:rsidP="003C1B05">
      <w:pPr>
        <w:spacing w:after="200" w:line="276" w:lineRule="auto"/>
        <w:jc w:val="center"/>
        <w:rPr>
          <w:rFonts w:eastAsia="Calibri" w:cs="Arial"/>
          <w:szCs w:val="20"/>
          <w:lang w:val="sl-SI" w:eastAsia="sl-SI"/>
        </w:rPr>
      </w:pPr>
      <w:r w:rsidRPr="007F272F">
        <w:rPr>
          <w:rFonts w:eastAsia="Calibri" w:cs="Arial"/>
          <w:noProof/>
          <w:szCs w:val="20"/>
          <w:lang w:val="sl-SI" w:eastAsia="sl-SI"/>
        </w:rPr>
        <w:drawing>
          <wp:inline distT="0" distB="0" distL="0" distR="0" wp14:anchorId="132D20FA" wp14:editId="4556E545">
            <wp:extent cx="4991100" cy="3392082"/>
            <wp:effectExtent l="19050" t="19050" r="19050" b="18415"/>
            <wp:docPr id="140" name="Pictur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6" cstate="print">
                      <a:extLst>
                        <a:ext uri="{28A0092B-C50C-407E-A947-70E740481C1C}">
                          <a14:useLocalDpi xmlns:a14="http://schemas.microsoft.com/office/drawing/2010/main" val="0"/>
                        </a:ext>
                      </a:extLst>
                    </a:blip>
                    <a:srcRect b="7440"/>
                    <a:stretch>
                      <a:fillRect/>
                    </a:stretch>
                  </pic:blipFill>
                  <pic:spPr bwMode="auto">
                    <a:xfrm>
                      <a:off x="0" y="0"/>
                      <a:ext cx="5012803" cy="3406832"/>
                    </a:xfrm>
                    <a:prstGeom prst="rect">
                      <a:avLst/>
                    </a:prstGeom>
                    <a:noFill/>
                    <a:ln w="6350" cmpd="sng">
                      <a:solidFill>
                        <a:srgbClr val="000000"/>
                      </a:solidFill>
                      <a:miter lim="800000"/>
                      <a:headEnd/>
                      <a:tailEnd/>
                    </a:ln>
                    <a:effectLst/>
                  </pic:spPr>
                </pic:pic>
              </a:graphicData>
            </a:graphic>
          </wp:inline>
        </w:drawing>
      </w:r>
    </w:p>
    <w:p w:rsidR="003C1B05" w:rsidRPr="005771BD" w:rsidRDefault="003C1B05" w:rsidP="003C1B05">
      <w:pPr>
        <w:spacing w:after="200" w:line="276" w:lineRule="auto"/>
        <w:jc w:val="both"/>
        <w:rPr>
          <w:rFonts w:eastAsia="Calibri" w:cs="Arial"/>
          <w:szCs w:val="20"/>
          <w:lang w:val="sl-SI"/>
        </w:rPr>
      </w:pPr>
      <w:r w:rsidRPr="005771BD">
        <w:rPr>
          <w:rFonts w:eastAsia="Calibri" w:cs="Arial"/>
          <w:szCs w:val="20"/>
          <w:lang w:val="sl-SI"/>
        </w:rPr>
        <w:t xml:space="preserve">Med </w:t>
      </w:r>
      <w:r w:rsidRPr="005771BD">
        <w:rPr>
          <w:rFonts w:eastAsia="Calibri" w:cs="Arial"/>
          <w:b/>
          <w:szCs w:val="20"/>
          <w:lang w:val="sl-SI"/>
        </w:rPr>
        <w:t>6. in 14. novembrom 2014</w:t>
      </w:r>
      <w:r w:rsidRPr="005771BD">
        <w:rPr>
          <w:rFonts w:eastAsia="Calibri" w:cs="Arial"/>
          <w:szCs w:val="20"/>
          <w:lang w:val="sl-SI"/>
        </w:rPr>
        <w:t xml:space="preserve"> so poplave prizadele območja </w:t>
      </w:r>
      <w:r>
        <w:rPr>
          <w:rFonts w:eastAsia="Calibri" w:cs="Arial"/>
          <w:szCs w:val="20"/>
          <w:lang w:val="sl-SI"/>
        </w:rPr>
        <w:t>g</w:t>
      </w:r>
      <w:r w:rsidRPr="005771BD">
        <w:rPr>
          <w:rFonts w:eastAsia="Calibri" w:cs="Arial"/>
          <w:szCs w:val="20"/>
          <w:lang w:val="sl-SI"/>
        </w:rPr>
        <w:t xml:space="preserve">orenjske, </w:t>
      </w:r>
      <w:r>
        <w:rPr>
          <w:rFonts w:eastAsia="Calibri" w:cs="Arial"/>
          <w:szCs w:val="20"/>
          <w:lang w:val="sl-SI"/>
        </w:rPr>
        <w:t>k</w:t>
      </w:r>
      <w:r w:rsidRPr="005771BD">
        <w:rPr>
          <w:rFonts w:eastAsia="Calibri" w:cs="Arial"/>
          <w:szCs w:val="20"/>
          <w:lang w:val="sl-SI"/>
        </w:rPr>
        <w:t xml:space="preserve">oroške, </w:t>
      </w:r>
      <w:r>
        <w:rPr>
          <w:rFonts w:eastAsia="Calibri" w:cs="Arial"/>
          <w:szCs w:val="20"/>
          <w:lang w:val="sl-SI"/>
        </w:rPr>
        <w:t>l</w:t>
      </w:r>
      <w:r w:rsidRPr="005771BD">
        <w:rPr>
          <w:rFonts w:eastAsia="Calibri" w:cs="Arial"/>
          <w:szCs w:val="20"/>
          <w:lang w:val="sl-SI"/>
        </w:rPr>
        <w:t xml:space="preserve">jubljanske, </w:t>
      </w:r>
      <w:r>
        <w:rPr>
          <w:rFonts w:eastAsia="Calibri" w:cs="Arial"/>
          <w:szCs w:val="20"/>
          <w:lang w:val="sl-SI"/>
        </w:rPr>
        <w:t>n</w:t>
      </w:r>
      <w:r w:rsidRPr="005771BD">
        <w:rPr>
          <w:rFonts w:eastAsia="Calibri" w:cs="Arial"/>
          <w:szCs w:val="20"/>
          <w:lang w:val="sl-SI"/>
        </w:rPr>
        <w:t xml:space="preserve">otranjske, </w:t>
      </w:r>
      <w:r>
        <w:rPr>
          <w:rFonts w:eastAsia="Calibri" w:cs="Arial"/>
          <w:szCs w:val="20"/>
          <w:lang w:val="sl-SI"/>
        </w:rPr>
        <w:t>v</w:t>
      </w:r>
      <w:r w:rsidRPr="005771BD">
        <w:rPr>
          <w:rFonts w:eastAsia="Calibri" w:cs="Arial"/>
          <w:szCs w:val="20"/>
          <w:lang w:val="sl-SI"/>
        </w:rPr>
        <w:t>zhodno</w:t>
      </w:r>
      <w:r>
        <w:rPr>
          <w:rFonts w:eastAsia="Calibri" w:cs="Arial"/>
          <w:szCs w:val="20"/>
          <w:lang w:val="sl-SI"/>
        </w:rPr>
        <w:t>š</w:t>
      </w:r>
      <w:r w:rsidRPr="005771BD">
        <w:rPr>
          <w:rFonts w:eastAsia="Calibri" w:cs="Arial"/>
          <w:szCs w:val="20"/>
          <w:lang w:val="sl-SI"/>
        </w:rPr>
        <w:t xml:space="preserve">tajerske, </w:t>
      </w:r>
      <w:r>
        <w:rPr>
          <w:rFonts w:eastAsia="Calibri" w:cs="Arial"/>
          <w:szCs w:val="20"/>
          <w:lang w:val="sl-SI"/>
        </w:rPr>
        <w:t>z</w:t>
      </w:r>
      <w:r w:rsidRPr="005771BD">
        <w:rPr>
          <w:rFonts w:eastAsia="Calibri" w:cs="Arial"/>
          <w:szCs w:val="20"/>
          <w:lang w:val="sl-SI"/>
        </w:rPr>
        <w:t>ahodno</w:t>
      </w:r>
      <w:r>
        <w:rPr>
          <w:rFonts w:eastAsia="Calibri" w:cs="Arial"/>
          <w:szCs w:val="20"/>
          <w:lang w:val="sl-SI"/>
        </w:rPr>
        <w:t>š</w:t>
      </w:r>
      <w:r w:rsidRPr="005771BD">
        <w:rPr>
          <w:rFonts w:eastAsia="Calibri" w:cs="Arial"/>
          <w:szCs w:val="20"/>
          <w:lang w:val="sl-SI"/>
        </w:rPr>
        <w:t xml:space="preserve">tajerske in </w:t>
      </w:r>
      <w:r>
        <w:rPr>
          <w:rFonts w:eastAsia="Calibri" w:cs="Arial"/>
          <w:szCs w:val="20"/>
          <w:lang w:val="sl-SI"/>
        </w:rPr>
        <w:t>z</w:t>
      </w:r>
      <w:r w:rsidRPr="005771BD">
        <w:rPr>
          <w:rFonts w:eastAsia="Calibri" w:cs="Arial"/>
          <w:szCs w:val="20"/>
          <w:lang w:val="sl-SI"/>
        </w:rPr>
        <w:t xml:space="preserve">asavske regije. Skupna škoda je znašala 22.3 mio </w:t>
      </w:r>
      <w:r>
        <w:rPr>
          <w:rFonts w:eastAsia="Calibri" w:cs="Arial"/>
          <w:szCs w:val="20"/>
          <w:lang w:val="sl-SI"/>
        </w:rPr>
        <w:t>evrov</w:t>
      </w:r>
      <w:r w:rsidRPr="005771BD">
        <w:rPr>
          <w:rFonts w:eastAsia="Calibri" w:cs="Arial"/>
          <w:szCs w:val="20"/>
          <w:lang w:val="sl-SI"/>
        </w:rPr>
        <w:t xml:space="preserve">.  </w:t>
      </w:r>
    </w:p>
    <w:p w:rsidR="003C1B05" w:rsidRPr="005771BD" w:rsidRDefault="003C1B05" w:rsidP="003C1B05">
      <w:pPr>
        <w:spacing w:after="200" w:line="276" w:lineRule="auto"/>
        <w:jc w:val="both"/>
        <w:rPr>
          <w:rFonts w:eastAsia="Calibri" w:cs="Arial"/>
          <w:szCs w:val="20"/>
          <w:lang w:val="sl-SI"/>
        </w:rPr>
      </w:pPr>
      <w:r w:rsidRPr="005771BD">
        <w:rPr>
          <w:rFonts w:eastAsia="Calibri" w:cs="Arial"/>
          <w:szCs w:val="20"/>
          <w:lang w:val="sl-SI"/>
        </w:rPr>
        <w:t xml:space="preserve">Med </w:t>
      </w:r>
      <w:r w:rsidRPr="005771BD">
        <w:rPr>
          <w:rFonts w:eastAsia="Calibri" w:cs="Arial"/>
          <w:b/>
          <w:szCs w:val="20"/>
          <w:lang w:val="sl-SI"/>
        </w:rPr>
        <w:t xml:space="preserve">21. </w:t>
      </w:r>
      <w:r>
        <w:rPr>
          <w:rFonts w:eastAsia="Calibri" w:cs="Arial"/>
          <w:b/>
          <w:szCs w:val="20"/>
          <w:lang w:val="sl-SI"/>
        </w:rPr>
        <w:t>i</w:t>
      </w:r>
      <w:r w:rsidRPr="005771BD">
        <w:rPr>
          <w:rFonts w:eastAsia="Calibri" w:cs="Arial"/>
          <w:b/>
          <w:szCs w:val="20"/>
          <w:lang w:val="sl-SI"/>
        </w:rPr>
        <w:t>n 24. oktobrom 2014</w:t>
      </w:r>
      <w:r w:rsidRPr="005771BD">
        <w:rPr>
          <w:rFonts w:eastAsia="Calibri" w:cs="Arial"/>
          <w:szCs w:val="20"/>
          <w:lang w:val="sl-SI"/>
        </w:rPr>
        <w:t xml:space="preserve"> so poplave prizadele območja </w:t>
      </w:r>
      <w:r>
        <w:rPr>
          <w:rFonts w:eastAsia="Calibri" w:cs="Arial"/>
          <w:szCs w:val="20"/>
          <w:lang w:val="sl-SI"/>
        </w:rPr>
        <w:t>g</w:t>
      </w:r>
      <w:r w:rsidRPr="005771BD">
        <w:rPr>
          <w:rFonts w:eastAsia="Calibri" w:cs="Arial"/>
          <w:szCs w:val="20"/>
          <w:lang w:val="sl-SI"/>
        </w:rPr>
        <w:t xml:space="preserve">orenjske, </w:t>
      </w:r>
      <w:r>
        <w:rPr>
          <w:rFonts w:eastAsia="Calibri" w:cs="Arial"/>
          <w:szCs w:val="20"/>
          <w:lang w:val="sl-SI"/>
        </w:rPr>
        <w:t>l</w:t>
      </w:r>
      <w:r w:rsidRPr="005771BD">
        <w:rPr>
          <w:rFonts w:eastAsia="Calibri" w:cs="Arial"/>
          <w:szCs w:val="20"/>
          <w:lang w:val="sl-SI"/>
        </w:rPr>
        <w:t xml:space="preserve">jubljanske, </w:t>
      </w:r>
      <w:r>
        <w:rPr>
          <w:rFonts w:eastAsia="Calibri" w:cs="Arial"/>
          <w:szCs w:val="20"/>
          <w:lang w:val="sl-SI"/>
        </w:rPr>
        <w:t>s</w:t>
      </w:r>
      <w:r w:rsidRPr="005771BD">
        <w:rPr>
          <w:rFonts w:eastAsia="Calibri" w:cs="Arial"/>
          <w:szCs w:val="20"/>
          <w:lang w:val="sl-SI"/>
        </w:rPr>
        <w:t>everno</w:t>
      </w:r>
      <w:r>
        <w:rPr>
          <w:rFonts w:eastAsia="Calibri" w:cs="Arial"/>
          <w:szCs w:val="20"/>
          <w:lang w:val="sl-SI"/>
        </w:rPr>
        <w:t>p</w:t>
      </w:r>
      <w:r w:rsidRPr="005771BD">
        <w:rPr>
          <w:rFonts w:eastAsia="Calibri" w:cs="Arial"/>
          <w:szCs w:val="20"/>
          <w:lang w:val="sl-SI"/>
        </w:rPr>
        <w:t xml:space="preserve">rimorske, </w:t>
      </w:r>
      <w:r>
        <w:rPr>
          <w:rFonts w:eastAsia="Calibri" w:cs="Arial"/>
          <w:szCs w:val="20"/>
          <w:lang w:val="sl-SI"/>
        </w:rPr>
        <w:t>v</w:t>
      </w:r>
      <w:r w:rsidRPr="005771BD">
        <w:rPr>
          <w:rFonts w:eastAsia="Calibri" w:cs="Arial"/>
          <w:szCs w:val="20"/>
          <w:lang w:val="sl-SI"/>
        </w:rPr>
        <w:t>zhodno</w:t>
      </w:r>
      <w:r>
        <w:rPr>
          <w:rFonts w:eastAsia="Calibri" w:cs="Arial"/>
          <w:szCs w:val="20"/>
          <w:lang w:val="sl-SI"/>
        </w:rPr>
        <w:t>š</w:t>
      </w:r>
      <w:r w:rsidRPr="005771BD">
        <w:rPr>
          <w:rFonts w:eastAsia="Calibri" w:cs="Arial"/>
          <w:szCs w:val="20"/>
          <w:lang w:val="sl-SI"/>
        </w:rPr>
        <w:t xml:space="preserve">tajerske, </w:t>
      </w:r>
      <w:r>
        <w:rPr>
          <w:rFonts w:eastAsia="Calibri" w:cs="Arial"/>
          <w:szCs w:val="20"/>
          <w:lang w:val="sl-SI"/>
        </w:rPr>
        <w:t>z</w:t>
      </w:r>
      <w:r w:rsidRPr="005771BD">
        <w:rPr>
          <w:rFonts w:eastAsia="Calibri" w:cs="Arial"/>
          <w:szCs w:val="20"/>
          <w:lang w:val="sl-SI"/>
        </w:rPr>
        <w:t>ahodno</w:t>
      </w:r>
      <w:r>
        <w:rPr>
          <w:rFonts w:eastAsia="Calibri" w:cs="Arial"/>
          <w:szCs w:val="20"/>
          <w:lang w:val="sl-SI"/>
        </w:rPr>
        <w:t>š</w:t>
      </w:r>
      <w:r w:rsidRPr="005771BD">
        <w:rPr>
          <w:rFonts w:eastAsia="Calibri" w:cs="Arial"/>
          <w:szCs w:val="20"/>
          <w:lang w:val="sl-SI"/>
        </w:rPr>
        <w:t xml:space="preserve">tajerske in </w:t>
      </w:r>
      <w:r>
        <w:rPr>
          <w:rFonts w:eastAsia="Calibri" w:cs="Arial"/>
          <w:szCs w:val="20"/>
          <w:lang w:val="sl-SI"/>
        </w:rPr>
        <w:t>z</w:t>
      </w:r>
      <w:r w:rsidRPr="005771BD">
        <w:rPr>
          <w:rFonts w:eastAsia="Calibri" w:cs="Arial"/>
          <w:szCs w:val="20"/>
          <w:lang w:val="sl-SI"/>
        </w:rPr>
        <w:t xml:space="preserve">asavske regije. Skupna škoda je znašala 50,3 mio </w:t>
      </w:r>
      <w:r>
        <w:rPr>
          <w:rFonts w:eastAsia="Calibri" w:cs="Arial"/>
          <w:szCs w:val="20"/>
          <w:lang w:val="sl-SI"/>
        </w:rPr>
        <w:t>evrov</w:t>
      </w:r>
      <w:r w:rsidRPr="005771BD">
        <w:rPr>
          <w:rFonts w:eastAsia="Calibri" w:cs="Arial"/>
          <w:szCs w:val="20"/>
          <w:lang w:val="sl-SI"/>
        </w:rPr>
        <w:t>.</w:t>
      </w:r>
    </w:p>
    <w:p w:rsidR="003C1B05" w:rsidRPr="005771BD" w:rsidRDefault="003C1B05" w:rsidP="003C1B05">
      <w:pPr>
        <w:spacing w:before="100" w:beforeAutospacing="1" w:after="200" w:line="276" w:lineRule="auto"/>
        <w:jc w:val="both"/>
        <w:rPr>
          <w:rFonts w:cs="Arial"/>
          <w:szCs w:val="20"/>
          <w:lang w:val="sl-SI" w:eastAsia="sl-SI"/>
        </w:rPr>
      </w:pPr>
      <w:r w:rsidRPr="005771BD">
        <w:rPr>
          <w:rFonts w:cs="Arial"/>
          <w:szCs w:val="20"/>
          <w:lang w:val="sl-SI" w:eastAsia="sl-SI"/>
        </w:rPr>
        <w:t xml:space="preserve">Med </w:t>
      </w:r>
      <w:r w:rsidRPr="005771BD">
        <w:rPr>
          <w:rFonts w:cs="Arial"/>
          <w:b/>
          <w:szCs w:val="20"/>
          <w:lang w:val="sl-SI" w:eastAsia="sl-SI"/>
        </w:rPr>
        <w:t>12. in 16. 9. 2014</w:t>
      </w:r>
      <w:r w:rsidRPr="005771BD">
        <w:rPr>
          <w:rFonts w:cs="Arial"/>
          <w:szCs w:val="20"/>
          <w:lang w:val="sl-SI" w:eastAsia="sl-SI"/>
        </w:rPr>
        <w:t xml:space="preserve"> so poplave prizadele območja </w:t>
      </w:r>
      <w:r>
        <w:rPr>
          <w:rFonts w:cs="Arial"/>
          <w:szCs w:val="20"/>
          <w:lang w:val="sl-SI" w:eastAsia="sl-SI"/>
        </w:rPr>
        <w:t>d</w:t>
      </w:r>
      <w:r w:rsidRPr="005771BD">
        <w:rPr>
          <w:rFonts w:cs="Arial"/>
          <w:szCs w:val="20"/>
          <w:lang w:val="sl-SI" w:eastAsia="sl-SI"/>
        </w:rPr>
        <w:t xml:space="preserve">olenjske, </w:t>
      </w:r>
      <w:r>
        <w:rPr>
          <w:rFonts w:cs="Arial"/>
          <w:szCs w:val="20"/>
          <w:lang w:val="sl-SI" w:eastAsia="sl-SI"/>
        </w:rPr>
        <w:t>g</w:t>
      </w:r>
      <w:r w:rsidRPr="005771BD">
        <w:rPr>
          <w:rFonts w:cs="Arial"/>
          <w:szCs w:val="20"/>
          <w:lang w:val="sl-SI" w:eastAsia="sl-SI"/>
        </w:rPr>
        <w:t xml:space="preserve">orenjske, </w:t>
      </w:r>
      <w:r>
        <w:rPr>
          <w:rFonts w:cs="Arial"/>
          <w:szCs w:val="20"/>
          <w:lang w:val="sl-SI" w:eastAsia="sl-SI"/>
        </w:rPr>
        <w:t>k</w:t>
      </w:r>
      <w:r w:rsidRPr="005771BD">
        <w:rPr>
          <w:rFonts w:cs="Arial"/>
          <w:szCs w:val="20"/>
          <w:lang w:val="sl-SI" w:eastAsia="sl-SI"/>
        </w:rPr>
        <w:t xml:space="preserve">oroške, </w:t>
      </w:r>
      <w:r>
        <w:rPr>
          <w:rFonts w:cs="Arial"/>
          <w:szCs w:val="20"/>
          <w:lang w:val="sl-SI" w:eastAsia="sl-SI"/>
        </w:rPr>
        <w:t>l</w:t>
      </w:r>
      <w:r w:rsidRPr="005771BD">
        <w:rPr>
          <w:rFonts w:cs="Arial"/>
          <w:szCs w:val="20"/>
          <w:lang w:val="sl-SI" w:eastAsia="sl-SI"/>
        </w:rPr>
        <w:t xml:space="preserve">jubljanske, </w:t>
      </w:r>
      <w:r>
        <w:rPr>
          <w:rFonts w:cs="Arial"/>
          <w:szCs w:val="20"/>
          <w:lang w:val="sl-SI" w:eastAsia="sl-SI"/>
        </w:rPr>
        <w:t>p</w:t>
      </w:r>
      <w:r w:rsidRPr="005771BD">
        <w:rPr>
          <w:rFonts w:cs="Arial"/>
          <w:szCs w:val="20"/>
          <w:lang w:val="sl-SI" w:eastAsia="sl-SI"/>
        </w:rPr>
        <w:t xml:space="preserve">odravske, </w:t>
      </w:r>
      <w:r>
        <w:rPr>
          <w:rFonts w:cs="Arial"/>
          <w:szCs w:val="20"/>
          <w:lang w:val="sl-SI" w:eastAsia="sl-SI"/>
        </w:rPr>
        <w:t>p</w:t>
      </w:r>
      <w:r w:rsidRPr="005771BD">
        <w:rPr>
          <w:rFonts w:cs="Arial"/>
          <w:szCs w:val="20"/>
          <w:lang w:val="sl-SI" w:eastAsia="sl-SI"/>
        </w:rPr>
        <w:t xml:space="preserve">omurske, </w:t>
      </w:r>
      <w:r>
        <w:rPr>
          <w:rFonts w:cs="Arial"/>
          <w:szCs w:val="20"/>
          <w:lang w:val="sl-SI" w:eastAsia="sl-SI"/>
        </w:rPr>
        <w:t>p</w:t>
      </w:r>
      <w:r w:rsidRPr="005771BD">
        <w:rPr>
          <w:rFonts w:cs="Arial"/>
          <w:szCs w:val="20"/>
          <w:lang w:val="sl-SI" w:eastAsia="sl-SI"/>
        </w:rPr>
        <w:t xml:space="preserve">osavske, </w:t>
      </w:r>
      <w:r>
        <w:rPr>
          <w:rFonts w:cs="Arial"/>
          <w:szCs w:val="20"/>
          <w:lang w:val="sl-SI" w:eastAsia="sl-SI"/>
        </w:rPr>
        <w:t>v</w:t>
      </w:r>
      <w:r w:rsidRPr="005771BD">
        <w:rPr>
          <w:rFonts w:cs="Arial"/>
          <w:szCs w:val="20"/>
          <w:lang w:val="sl-SI" w:eastAsia="sl-SI"/>
        </w:rPr>
        <w:t>zhodno</w:t>
      </w:r>
      <w:r>
        <w:rPr>
          <w:rFonts w:cs="Arial"/>
          <w:szCs w:val="20"/>
          <w:lang w:val="sl-SI" w:eastAsia="sl-SI"/>
        </w:rPr>
        <w:t>š</w:t>
      </w:r>
      <w:r w:rsidRPr="005771BD">
        <w:rPr>
          <w:rFonts w:cs="Arial"/>
          <w:szCs w:val="20"/>
          <w:lang w:val="sl-SI" w:eastAsia="sl-SI"/>
        </w:rPr>
        <w:t xml:space="preserve">tajerske, </w:t>
      </w:r>
      <w:r>
        <w:rPr>
          <w:rFonts w:cs="Arial"/>
          <w:szCs w:val="20"/>
          <w:lang w:val="sl-SI" w:eastAsia="sl-SI"/>
        </w:rPr>
        <w:t>z</w:t>
      </w:r>
      <w:r w:rsidRPr="005771BD">
        <w:rPr>
          <w:rFonts w:cs="Arial"/>
          <w:szCs w:val="20"/>
          <w:lang w:val="sl-SI" w:eastAsia="sl-SI"/>
        </w:rPr>
        <w:t>ahodno</w:t>
      </w:r>
      <w:r>
        <w:rPr>
          <w:rFonts w:cs="Arial"/>
          <w:szCs w:val="20"/>
          <w:lang w:val="sl-SI" w:eastAsia="sl-SI"/>
        </w:rPr>
        <w:t>š</w:t>
      </w:r>
      <w:r w:rsidRPr="005771BD">
        <w:rPr>
          <w:rFonts w:cs="Arial"/>
          <w:szCs w:val="20"/>
          <w:lang w:val="sl-SI" w:eastAsia="sl-SI"/>
        </w:rPr>
        <w:t xml:space="preserve">tajerske in </w:t>
      </w:r>
      <w:r>
        <w:rPr>
          <w:rFonts w:cs="Arial"/>
          <w:szCs w:val="20"/>
          <w:lang w:val="sl-SI" w:eastAsia="sl-SI"/>
        </w:rPr>
        <w:t>z</w:t>
      </w:r>
      <w:r w:rsidRPr="005771BD">
        <w:rPr>
          <w:rFonts w:cs="Arial"/>
          <w:szCs w:val="20"/>
          <w:lang w:val="sl-SI" w:eastAsia="sl-SI"/>
        </w:rPr>
        <w:t xml:space="preserve">asavske regije. Skupna škoda je znašala 153,9 mio </w:t>
      </w:r>
      <w:r>
        <w:rPr>
          <w:rFonts w:cs="Arial"/>
          <w:szCs w:val="20"/>
          <w:lang w:val="sl-SI" w:eastAsia="sl-SI"/>
        </w:rPr>
        <w:t>evrov</w:t>
      </w:r>
      <w:r w:rsidRPr="005771BD">
        <w:rPr>
          <w:rFonts w:cs="Arial"/>
          <w:szCs w:val="20"/>
          <w:lang w:val="sl-SI" w:eastAsia="sl-SI"/>
        </w:rPr>
        <w:t xml:space="preserve">. </w:t>
      </w:r>
    </w:p>
    <w:p w:rsidR="003C1B05" w:rsidRPr="005771BD" w:rsidRDefault="003C1B05" w:rsidP="003C1B05">
      <w:pPr>
        <w:spacing w:before="100" w:beforeAutospacing="1" w:after="200" w:line="276" w:lineRule="auto"/>
        <w:jc w:val="both"/>
        <w:rPr>
          <w:rFonts w:cs="Arial"/>
          <w:szCs w:val="20"/>
          <w:lang w:val="sl-SI" w:eastAsia="sl-SI"/>
        </w:rPr>
      </w:pPr>
      <w:r w:rsidRPr="005771BD">
        <w:rPr>
          <w:rFonts w:cs="Arial"/>
          <w:szCs w:val="20"/>
          <w:lang w:val="sl-SI" w:eastAsia="sl-SI"/>
        </w:rPr>
        <w:t xml:space="preserve">Med </w:t>
      </w:r>
      <w:r w:rsidRPr="005771BD">
        <w:rPr>
          <w:rFonts w:cs="Arial"/>
          <w:b/>
          <w:szCs w:val="20"/>
          <w:lang w:val="sl-SI" w:eastAsia="sl-SI"/>
        </w:rPr>
        <w:t>30. 1. in 27. 2. 2014</w:t>
      </w:r>
      <w:r w:rsidRPr="005771BD">
        <w:rPr>
          <w:rFonts w:cs="Arial"/>
          <w:szCs w:val="20"/>
          <w:lang w:val="sl-SI" w:eastAsia="sl-SI"/>
        </w:rPr>
        <w:t xml:space="preserve"> so poplave in žled prizadele območja </w:t>
      </w:r>
      <w:r>
        <w:rPr>
          <w:rFonts w:cs="Arial"/>
          <w:szCs w:val="20"/>
          <w:lang w:val="sl-SI" w:eastAsia="sl-SI"/>
        </w:rPr>
        <w:t>g</w:t>
      </w:r>
      <w:r w:rsidRPr="005771BD">
        <w:rPr>
          <w:rFonts w:cs="Arial"/>
          <w:szCs w:val="20"/>
          <w:lang w:val="sl-SI" w:eastAsia="sl-SI"/>
        </w:rPr>
        <w:t xml:space="preserve">orenjske, </w:t>
      </w:r>
      <w:r>
        <w:rPr>
          <w:rFonts w:cs="Arial"/>
          <w:szCs w:val="20"/>
          <w:lang w:val="sl-SI" w:eastAsia="sl-SI"/>
        </w:rPr>
        <w:t>k</w:t>
      </w:r>
      <w:r w:rsidRPr="005771BD">
        <w:rPr>
          <w:rFonts w:cs="Arial"/>
          <w:szCs w:val="20"/>
          <w:lang w:val="sl-SI" w:eastAsia="sl-SI"/>
        </w:rPr>
        <w:t xml:space="preserve">oroške, </w:t>
      </w:r>
      <w:r>
        <w:rPr>
          <w:rFonts w:cs="Arial"/>
          <w:szCs w:val="20"/>
          <w:lang w:val="sl-SI" w:eastAsia="sl-SI"/>
        </w:rPr>
        <w:t>n</w:t>
      </w:r>
      <w:r w:rsidRPr="005771BD">
        <w:rPr>
          <w:rFonts w:cs="Arial"/>
          <w:szCs w:val="20"/>
          <w:lang w:val="sl-SI" w:eastAsia="sl-SI"/>
        </w:rPr>
        <w:t xml:space="preserve">otranjske, </w:t>
      </w:r>
      <w:r>
        <w:rPr>
          <w:rFonts w:cs="Arial"/>
          <w:szCs w:val="20"/>
          <w:lang w:val="sl-SI" w:eastAsia="sl-SI"/>
        </w:rPr>
        <w:t>l</w:t>
      </w:r>
      <w:r w:rsidRPr="005771BD">
        <w:rPr>
          <w:rFonts w:cs="Arial"/>
          <w:szCs w:val="20"/>
          <w:lang w:val="sl-SI" w:eastAsia="sl-SI"/>
        </w:rPr>
        <w:t xml:space="preserve">jubljanske, </w:t>
      </w:r>
      <w:r>
        <w:rPr>
          <w:rFonts w:cs="Arial"/>
          <w:szCs w:val="20"/>
          <w:lang w:val="sl-SI" w:eastAsia="sl-SI"/>
        </w:rPr>
        <w:t>p</w:t>
      </w:r>
      <w:r w:rsidRPr="005771BD">
        <w:rPr>
          <w:rFonts w:cs="Arial"/>
          <w:szCs w:val="20"/>
          <w:lang w:val="sl-SI" w:eastAsia="sl-SI"/>
        </w:rPr>
        <w:t xml:space="preserve">odravske, </w:t>
      </w:r>
      <w:r>
        <w:rPr>
          <w:rFonts w:cs="Arial"/>
          <w:szCs w:val="20"/>
          <w:lang w:val="sl-SI" w:eastAsia="sl-SI"/>
        </w:rPr>
        <w:t>p</w:t>
      </w:r>
      <w:r w:rsidRPr="005771BD">
        <w:rPr>
          <w:rFonts w:cs="Arial"/>
          <w:szCs w:val="20"/>
          <w:lang w:val="sl-SI" w:eastAsia="sl-SI"/>
        </w:rPr>
        <w:t xml:space="preserve">osavske, </w:t>
      </w:r>
      <w:r>
        <w:rPr>
          <w:rFonts w:cs="Arial"/>
          <w:szCs w:val="20"/>
          <w:lang w:val="sl-SI" w:eastAsia="sl-SI"/>
        </w:rPr>
        <w:t>s</w:t>
      </w:r>
      <w:r w:rsidRPr="005771BD">
        <w:rPr>
          <w:rFonts w:cs="Arial"/>
          <w:szCs w:val="20"/>
          <w:lang w:val="sl-SI" w:eastAsia="sl-SI"/>
        </w:rPr>
        <w:t>everno</w:t>
      </w:r>
      <w:r>
        <w:rPr>
          <w:rFonts w:cs="Arial"/>
          <w:szCs w:val="20"/>
          <w:lang w:val="sl-SI" w:eastAsia="sl-SI"/>
        </w:rPr>
        <w:t>p</w:t>
      </w:r>
      <w:r w:rsidRPr="005771BD">
        <w:rPr>
          <w:rFonts w:cs="Arial"/>
          <w:szCs w:val="20"/>
          <w:lang w:val="sl-SI" w:eastAsia="sl-SI"/>
        </w:rPr>
        <w:t xml:space="preserve">rimorske, </w:t>
      </w:r>
      <w:r>
        <w:rPr>
          <w:rFonts w:cs="Arial"/>
          <w:szCs w:val="20"/>
          <w:lang w:val="sl-SI" w:eastAsia="sl-SI"/>
        </w:rPr>
        <w:t>v</w:t>
      </w:r>
      <w:r w:rsidRPr="005771BD">
        <w:rPr>
          <w:rFonts w:cs="Arial"/>
          <w:szCs w:val="20"/>
          <w:lang w:val="sl-SI" w:eastAsia="sl-SI"/>
        </w:rPr>
        <w:t>zhodno</w:t>
      </w:r>
      <w:r>
        <w:rPr>
          <w:rFonts w:cs="Arial"/>
          <w:szCs w:val="20"/>
          <w:lang w:val="sl-SI" w:eastAsia="sl-SI"/>
        </w:rPr>
        <w:t>š</w:t>
      </w:r>
      <w:r w:rsidRPr="005771BD">
        <w:rPr>
          <w:rFonts w:cs="Arial"/>
          <w:szCs w:val="20"/>
          <w:lang w:val="sl-SI" w:eastAsia="sl-SI"/>
        </w:rPr>
        <w:t xml:space="preserve">tajerske, </w:t>
      </w:r>
      <w:r>
        <w:rPr>
          <w:rFonts w:cs="Arial"/>
          <w:szCs w:val="20"/>
          <w:lang w:val="sl-SI" w:eastAsia="sl-SI"/>
        </w:rPr>
        <w:t>z</w:t>
      </w:r>
      <w:r w:rsidRPr="005771BD">
        <w:rPr>
          <w:rFonts w:cs="Arial"/>
          <w:szCs w:val="20"/>
          <w:lang w:val="sl-SI" w:eastAsia="sl-SI"/>
        </w:rPr>
        <w:t>ahodno</w:t>
      </w:r>
      <w:r>
        <w:rPr>
          <w:rFonts w:cs="Arial"/>
          <w:szCs w:val="20"/>
          <w:lang w:val="sl-SI" w:eastAsia="sl-SI"/>
        </w:rPr>
        <w:t>š</w:t>
      </w:r>
      <w:r w:rsidRPr="005771BD">
        <w:rPr>
          <w:rFonts w:cs="Arial"/>
          <w:szCs w:val="20"/>
          <w:lang w:val="sl-SI" w:eastAsia="sl-SI"/>
        </w:rPr>
        <w:t xml:space="preserve">tajerske in </w:t>
      </w:r>
      <w:r>
        <w:rPr>
          <w:rFonts w:cs="Arial"/>
          <w:szCs w:val="20"/>
          <w:lang w:val="sl-SI" w:eastAsia="sl-SI"/>
        </w:rPr>
        <w:t>z</w:t>
      </w:r>
      <w:r w:rsidRPr="005771BD">
        <w:rPr>
          <w:rFonts w:cs="Arial"/>
          <w:szCs w:val="20"/>
          <w:lang w:val="sl-SI" w:eastAsia="sl-SI"/>
        </w:rPr>
        <w:t xml:space="preserve">asavske regije ter povzročile za 429.4 mio </w:t>
      </w:r>
      <w:r>
        <w:rPr>
          <w:rFonts w:cs="Arial"/>
          <w:szCs w:val="20"/>
          <w:lang w:val="sl-SI" w:eastAsia="sl-SI"/>
        </w:rPr>
        <w:t>evrov</w:t>
      </w:r>
      <w:r w:rsidRPr="005771BD">
        <w:rPr>
          <w:rFonts w:cs="Arial"/>
          <w:szCs w:val="20"/>
          <w:lang w:val="sl-SI" w:eastAsia="sl-SI"/>
        </w:rPr>
        <w:t xml:space="preserve"> škode</w:t>
      </w:r>
      <w:r w:rsidR="00A11C91">
        <w:rPr>
          <w:rFonts w:cs="Arial"/>
          <w:szCs w:val="20"/>
          <w:lang w:val="sl-SI" w:eastAsia="sl-SI"/>
        </w:rPr>
        <w:t>, od tega je bilo škode zaradi poplav 27 mi</w:t>
      </w:r>
      <w:r w:rsidR="00CB5442">
        <w:rPr>
          <w:rFonts w:cs="Arial"/>
          <w:szCs w:val="20"/>
          <w:lang w:val="sl-SI" w:eastAsia="sl-SI"/>
        </w:rPr>
        <w:t xml:space="preserve">o </w:t>
      </w:r>
      <w:r w:rsidR="00A11C91">
        <w:rPr>
          <w:rFonts w:cs="Arial"/>
          <w:szCs w:val="20"/>
          <w:lang w:val="sl-SI" w:eastAsia="sl-SI"/>
        </w:rPr>
        <w:t>evrov.</w:t>
      </w:r>
    </w:p>
    <w:p w:rsidR="003C1B05" w:rsidRPr="005771BD" w:rsidRDefault="003C1B05" w:rsidP="003C1B05">
      <w:pPr>
        <w:spacing w:after="200" w:line="276" w:lineRule="auto"/>
        <w:jc w:val="both"/>
        <w:rPr>
          <w:rFonts w:eastAsia="Calibri" w:cs="Arial"/>
          <w:szCs w:val="20"/>
          <w:lang w:val="sl-SI"/>
        </w:rPr>
      </w:pPr>
      <w:r w:rsidRPr="005771BD">
        <w:rPr>
          <w:rFonts w:eastAsia="Calibri" w:cs="Arial"/>
          <w:szCs w:val="20"/>
          <w:lang w:val="sl-SI"/>
        </w:rPr>
        <w:t xml:space="preserve">Žledolom v februarju sicer ni povzročil večjega poplavljanja zaradi učinkovitega interventnega dela pristojnih organov (civilna zaščita, javne službe itd), vendar so posledice občutne še danes. Številna erozijska žarišča, iz katerih se zemljine prenašajo v struge vodotokov, zmanjšujejo pretočnost vodotokov in </w:t>
      </w:r>
      <w:r>
        <w:rPr>
          <w:rFonts w:eastAsia="Calibri" w:cs="Arial"/>
          <w:szCs w:val="20"/>
          <w:lang w:val="sl-SI"/>
        </w:rPr>
        <w:t>so</w:t>
      </w:r>
      <w:r w:rsidRPr="005771BD">
        <w:rPr>
          <w:rFonts w:eastAsia="Calibri" w:cs="Arial"/>
          <w:szCs w:val="20"/>
          <w:lang w:val="sl-SI"/>
        </w:rPr>
        <w:t xml:space="preserve"> zato za vzpostavitev zadovoljive pretočnosti vodotokov </w:t>
      </w:r>
      <w:r>
        <w:rPr>
          <w:rFonts w:eastAsia="Calibri" w:cs="Arial"/>
          <w:szCs w:val="20"/>
          <w:lang w:val="sl-SI"/>
        </w:rPr>
        <w:t>po</w:t>
      </w:r>
      <w:r w:rsidRPr="005771BD">
        <w:rPr>
          <w:rFonts w:eastAsia="Calibri" w:cs="Arial"/>
          <w:szCs w:val="20"/>
          <w:lang w:val="sl-SI"/>
        </w:rPr>
        <w:t>trebn</w:t>
      </w:r>
      <w:r>
        <w:rPr>
          <w:rFonts w:eastAsia="Calibri" w:cs="Arial"/>
          <w:szCs w:val="20"/>
          <w:lang w:val="sl-SI"/>
        </w:rPr>
        <w:t>a</w:t>
      </w:r>
      <w:r w:rsidRPr="005771BD">
        <w:rPr>
          <w:rFonts w:eastAsia="Calibri" w:cs="Arial"/>
          <w:szCs w:val="20"/>
          <w:lang w:val="sl-SI"/>
        </w:rPr>
        <w:t xml:space="preserve"> dodatna sredstva.</w:t>
      </w:r>
    </w:p>
    <w:p w:rsidR="003C1B05" w:rsidRPr="005771BD" w:rsidRDefault="003C1B05" w:rsidP="003C1B05">
      <w:pPr>
        <w:spacing w:after="200" w:line="276" w:lineRule="auto"/>
        <w:jc w:val="both"/>
        <w:rPr>
          <w:rFonts w:eastAsia="Calibri" w:cs="Arial"/>
          <w:szCs w:val="20"/>
          <w:lang w:val="sl-SI"/>
        </w:rPr>
      </w:pPr>
      <w:r w:rsidRPr="005771BD">
        <w:rPr>
          <w:rFonts w:eastAsia="Calibri" w:cs="Arial"/>
          <w:szCs w:val="20"/>
          <w:lang w:val="sl-SI"/>
        </w:rPr>
        <w:t>Ocenjeno je, da poplave v zadnjih 25 letih povzročijo okoli 100 do 150 mio EUR škode na leto. Samo v zadnjih osmih letih so popisane škode ob večjih poplavnih dogodkih znašale več kot milijardo EUR.</w:t>
      </w:r>
    </w:p>
    <w:p w:rsidR="003C1B05" w:rsidRPr="005771BD" w:rsidRDefault="003C1B05" w:rsidP="003C1B05">
      <w:pPr>
        <w:spacing w:before="60" w:after="120" w:line="276" w:lineRule="auto"/>
        <w:rPr>
          <w:rFonts w:eastAsia="Calibri" w:cs="Arial"/>
          <w:i/>
          <w:szCs w:val="20"/>
          <w:lang w:val="sl-SI"/>
        </w:rPr>
      </w:pPr>
      <w:bookmarkStart w:id="48" w:name="_Toc434908320"/>
      <w:r w:rsidRPr="005771BD">
        <w:rPr>
          <w:rFonts w:cs="Arial"/>
          <w:bCs/>
          <w:i/>
          <w:szCs w:val="20"/>
          <w:lang w:val="sl-SI" w:eastAsia="sl-SI"/>
        </w:rPr>
        <w:t>Preglednica 1</w:t>
      </w:r>
      <w:r w:rsidR="006331C1">
        <w:rPr>
          <w:rFonts w:cs="Arial"/>
          <w:bCs/>
          <w:i/>
          <w:szCs w:val="20"/>
          <w:lang w:val="sl-SI" w:eastAsia="sl-SI"/>
        </w:rPr>
        <w:t>4</w:t>
      </w:r>
      <w:r w:rsidRPr="005771BD">
        <w:rPr>
          <w:rFonts w:cs="Arial"/>
          <w:bCs/>
          <w:i/>
          <w:szCs w:val="20"/>
          <w:lang w:val="sl-SI" w:eastAsia="sl-SI"/>
        </w:rPr>
        <w:t>.5: Popisana škoda ob večjih poplavnih dogodkih v Republiki Sloveniji v obdobju 2007</w:t>
      </w:r>
      <w:r>
        <w:rPr>
          <w:rFonts w:cs="Arial"/>
          <w:bCs/>
          <w:i/>
          <w:szCs w:val="20"/>
          <w:lang w:val="sl-SI" w:eastAsia="sl-SI"/>
        </w:rPr>
        <w:t>–</w:t>
      </w:r>
      <w:r w:rsidRPr="005771BD">
        <w:rPr>
          <w:rFonts w:cs="Arial"/>
          <w:bCs/>
          <w:i/>
          <w:szCs w:val="20"/>
          <w:lang w:val="sl-SI" w:eastAsia="sl-SI"/>
        </w:rPr>
        <w:t>2014</w:t>
      </w:r>
      <w:r w:rsidRPr="005771BD">
        <w:rPr>
          <w:rFonts w:cs="Arial"/>
          <w:bCs/>
          <w:i/>
          <w:szCs w:val="20"/>
          <w:vertAlign w:val="superscript"/>
          <w:lang w:val="sl-SI" w:eastAsia="sl-SI"/>
        </w:rPr>
        <w:footnoteReference w:id="32"/>
      </w:r>
      <w:bookmarkEnd w:id="48"/>
      <w:r w:rsidRPr="005771BD">
        <w:rPr>
          <w:rFonts w:eastAsia="Calibri" w:cs="Arial"/>
          <w:i/>
          <w:szCs w:val="20"/>
          <w:lang w:val="sl-SI"/>
        </w:rPr>
        <w:tab/>
      </w:r>
    </w:p>
    <w:tbl>
      <w:tblPr>
        <w:tblStyle w:val="Tabelamrea11"/>
        <w:tblW w:w="0" w:type="auto"/>
        <w:tblLook w:val="04A0" w:firstRow="1" w:lastRow="0" w:firstColumn="1" w:lastColumn="0" w:noHBand="0" w:noVBand="1"/>
      </w:tblPr>
      <w:tblGrid>
        <w:gridCol w:w="3901"/>
        <w:gridCol w:w="1973"/>
        <w:gridCol w:w="2840"/>
      </w:tblGrid>
      <w:tr w:rsidR="003C1B05" w:rsidRPr="005771BD" w:rsidTr="003C1B05">
        <w:trPr>
          <w:trHeight w:val="113"/>
        </w:trPr>
        <w:tc>
          <w:tcPr>
            <w:tcW w:w="3901" w:type="dxa"/>
            <w:shd w:val="clear" w:color="auto" w:fill="F1F1F1" w:themeFill="accent1" w:themeFillTint="66"/>
          </w:tcPr>
          <w:p w:rsidR="003C1B05" w:rsidRPr="005771BD" w:rsidRDefault="003C1B05" w:rsidP="003C1B05">
            <w:pPr>
              <w:spacing w:before="60" w:line="276" w:lineRule="auto"/>
              <w:jc w:val="both"/>
              <w:rPr>
                <w:rFonts w:eastAsia="Calibri" w:cs="Arial"/>
                <w:b/>
                <w:szCs w:val="20"/>
                <w:lang w:val="sl-SI"/>
              </w:rPr>
            </w:pPr>
            <w:r w:rsidRPr="005771BD">
              <w:rPr>
                <w:rFonts w:eastAsia="Calibri" w:cs="Arial"/>
                <w:b/>
                <w:szCs w:val="20"/>
                <w:lang w:val="sl-SI"/>
              </w:rPr>
              <w:t>Dogodek</w:t>
            </w:r>
          </w:p>
        </w:tc>
        <w:tc>
          <w:tcPr>
            <w:tcW w:w="1973" w:type="dxa"/>
            <w:shd w:val="clear" w:color="auto" w:fill="F1F1F1" w:themeFill="accent1" w:themeFillTint="66"/>
          </w:tcPr>
          <w:p w:rsidR="003C1B05" w:rsidRPr="005771BD" w:rsidRDefault="003C1B05" w:rsidP="003C1B05">
            <w:pPr>
              <w:spacing w:before="60" w:line="276" w:lineRule="auto"/>
              <w:jc w:val="both"/>
              <w:rPr>
                <w:rFonts w:eastAsia="Calibri" w:cs="Arial"/>
                <w:b/>
                <w:szCs w:val="20"/>
                <w:lang w:val="sl-SI"/>
              </w:rPr>
            </w:pPr>
            <w:r w:rsidRPr="005771BD">
              <w:rPr>
                <w:rFonts w:eastAsia="Calibri" w:cs="Arial"/>
                <w:b/>
                <w:szCs w:val="20"/>
                <w:lang w:val="sl-SI"/>
              </w:rPr>
              <w:t>Ocenjena škoda (mio EUR)</w:t>
            </w:r>
          </w:p>
        </w:tc>
        <w:tc>
          <w:tcPr>
            <w:tcW w:w="2840" w:type="dxa"/>
            <w:shd w:val="clear" w:color="auto" w:fill="F1F1F1" w:themeFill="accent1" w:themeFillTint="66"/>
          </w:tcPr>
          <w:p w:rsidR="003C1B05" w:rsidRPr="005771BD" w:rsidRDefault="003C1B05" w:rsidP="003C1B05">
            <w:pPr>
              <w:spacing w:before="60" w:line="276" w:lineRule="auto"/>
              <w:jc w:val="both"/>
              <w:rPr>
                <w:rFonts w:eastAsia="Calibri" w:cs="Arial"/>
                <w:b/>
                <w:szCs w:val="20"/>
                <w:highlight w:val="yellow"/>
                <w:lang w:val="sl-SI"/>
              </w:rPr>
            </w:pPr>
            <w:r w:rsidRPr="005771BD">
              <w:rPr>
                <w:rFonts w:eastAsia="Calibri" w:cs="Arial"/>
                <w:b/>
                <w:szCs w:val="20"/>
                <w:lang w:val="sl-SI"/>
              </w:rPr>
              <w:t>Ocenjena škoda na vodotokih in vodni infrastrukturi (mio EUR)</w:t>
            </w:r>
            <w:r w:rsidRPr="005771BD">
              <w:rPr>
                <w:rFonts w:eastAsia="Calibri" w:cs="Arial"/>
                <w:szCs w:val="20"/>
                <w:vertAlign w:val="superscript"/>
                <w:lang w:val="sl-SI"/>
              </w:rPr>
              <w:footnoteReference w:id="33"/>
            </w:r>
          </w:p>
        </w:tc>
      </w:tr>
      <w:tr w:rsidR="003C1B05" w:rsidRPr="005771BD" w:rsidTr="003C1B05">
        <w:trPr>
          <w:trHeight w:val="113"/>
        </w:trPr>
        <w:tc>
          <w:tcPr>
            <w:tcW w:w="3901" w:type="dxa"/>
          </w:tcPr>
          <w:p w:rsidR="003C1B05" w:rsidRPr="005771BD" w:rsidRDefault="003C1B05" w:rsidP="003C1B05">
            <w:pPr>
              <w:spacing w:before="60" w:line="276" w:lineRule="auto"/>
              <w:jc w:val="both"/>
              <w:rPr>
                <w:rFonts w:eastAsia="Calibri" w:cs="Arial"/>
                <w:szCs w:val="20"/>
                <w:lang w:val="sl-SI"/>
              </w:rPr>
            </w:pPr>
            <w:r w:rsidRPr="005771BD">
              <w:rPr>
                <w:rFonts w:eastAsia="Calibri" w:cs="Arial"/>
                <w:szCs w:val="20"/>
                <w:lang w:val="sl-SI"/>
              </w:rPr>
              <w:t>Poplave septembra 2007</w:t>
            </w:r>
          </w:p>
        </w:tc>
        <w:tc>
          <w:tcPr>
            <w:tcW w:w="1973" w:type="dxa"/>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187</w:t>
            </w:r>
            <w:r w:rsidRPr="005771BD">
              <w:rPr>
                <w:rFonts w:eastAsia="Calibri" w:cs="Arial"/>
                <w:szCs w:val="20"/>
                <w:vertAlign w:val="superscript"/>
                <w:lang w:val="sl-SI"/>
              </w:rPr>
              <w:footnoteReference w:id="34"/>
            </w:r>
          </w:p>
        </w:tc>
        <w:tc>
          <w:tcPr>
            <w:tcW w:w="2840" w:type="dxa"/>
          </w:tcPr>
          <w:p w:rsidR="003C1B05" w:rsidRPr="005771BD" w:rsidRDefault="003C1B05" w:rsidP="003C1B05">
            <w:pPr>
              <w:spacing w:before="60" w:line="276" w:lineRule="auto"/>
              <w:jc w:val="center"/>
              <w:rPr>
                <w:rFonts w:eastAsia="Calibri" w:cs="Arial"/>
                <w:szCs w:val="20"/>
                <w:highlight w:val="yellow"/>
                <w:lang w:val="sl-SI"/>
              </w:rPr>
            </w:pPr>
            <w:r w:rsidRPr="005771BD">
              <w:rPr>
                <w:rFonts w:eastAsia="Calibri" w:cs="Arial"/>
                <w:szCs w:val="20"/>
                <w:lang w:val="sl-SI"/>
              </w:rPr>
              <w:t>76</w:t>
            </w:r>
            <w:r w:rsidRPr="005771BD">
              <w:rPr>
                <w:rFonts w:eastAsia="Calibri" w:cs="Arial"/>
                <w:szCs w:val="20"/>
                <w:vertAlign w:val="superscript"/>
                <w:lang w:val="sl-SI"/>
              </w:rPr>
              <w:footnoteReference w:id="35"/>
            </w:r>
          </w:p>
        </w:tc>
      </w:tr>
      <w:tr w:rsidR="003C1B05" w:rsidRPr="005771BD" w:rsidTr="003C1B05">
        <w:trPr>
          <w:trHeight w:val="113"/>
        </w:trPr>
        <w:tc>
          <w:tcPr>
            <w:tcW w:w="3901" w:type="dxa"/>
          </w:tcPr>
          <w:p w:rsidR="003C1B05" w:rsidRPr="005771BD" w:rsidRDefault="003C1B05" w:rsidP="003C1B05">
            <w:pPr>
              <w:spacing w:before="60" w:line="276" w:lineRule="auto"/>
              <w:jc w:val="both"/>
              <w:rPr>
                <w:rFonts w:eastAsia="Calibri" w:cs="Arial"/>
                <w:b/>
                <w:szCs w:val="20"/>
                <w:lang w:val="sl-SI"/>
              </w:rPr>
            </w:pPr>
            <w:r w:rsidRPr="005771BD">
              <w:rPr>
                <w:rFonts w:eastAsia="Calibri" w:cs="Arial"/>
                <w:szCs w:val="20"/>
                <w:lang w:val="sl-SI"/>
              </w:rPr>
              <w:t>Poplave decembra 2009</w:t>
            </w:r>
          </w:p>
        </w:tc>
        <w:tc>
          <w:tcPr>
            <w:tcW w:w="1973" w:type="dxa"/>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25</w:t>
            </w:r>
            <w:r w:rsidRPr="005771BD">
              <w:rPr>
                <w:rFonts w:eastAsia="Calibri" w:cs="Arial"/>
                <w:szCs w:val="20"/>
                <w:vertAlign w:val="superscript"/>
                <w:lang w:val="sl-SI"/>
              </w:rPr>
              <w:footnoteReference w:id="36"/>
            </w:r>
          </w:p>
        </w:tc>
        <w:tc>
          <w:tcPr>
            <w:tcW w:w="2840" w:type="dxa"/>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18</w:t>
            </w:r>
            <w:r w:rsidRPr="005771BD">
              <w:rPr>
                <w:rFonts w:eastAsia="Calibri" w:cs="Arial"/>
                <w:szCs w:val="20"/>
                <w:vertAlign w:val="superscript"/>
                <w:lang w:val="sl-SI"/>
              </w:rPr>
              <w:footnoteReference w:id="37"/>
            </w:r>
          </w:p>
        </w:tc>
      </w:tr>
      <w:tr w:rsidR="003C1B05" w:rsidRPr="005771BD" w:rsidTr="003C1B05">
        <w:trPr>
          <w:trHeight w:val="113"/>
        </w:trPr>
        <w:tc>
          <w:tcPr>
            <w:tcW w:w="3901" w:type="dxa"/>
          </w:tcPr>
          <w:p w:rsidR="003C1B05" w:rsidRPr="005771BD" w:rsidRDefault="003C1B05" w:rsidP="003C1B05">
            <w:pPr>
              <w:spacing w:before="60" w:line="276" w:lineRule="auto"/>
              <w:jc w:val="both"/>
              <w:rPr>
                <w:rFonts w:eastAsia="Calibri" w:cs="Arial"/>
                <w:b/>
                <w:szCs w:val="20"/>
                <w:lang w:val="sl-SI"/>
              </w:rPr>
            </w:pPr>
            <w:r w:rsidRPr="005771BD">
              <w:rPr>
                <w:rFonts w:eastAsia="Calibri" w:cs="Arial"/>
                <w:szCs w:val="20"/>
                <w:lang w:val="sl-SI"/>
              </w:rPr>
              <w:t>Poplave</w:t>
            </w:r>
            <w:r w:rsidRPr="005771BD">
              <w:rPr>
                <w:rFonts w:eastAsia="Calibri" w:cs="Arial"/>
                <w:b/>
                <w:szCs w:val="20"/>
                <w:lang w:val="sl-SI"/>
              </w:rPr>
              <w:t xml:space="preserve"> </w:t>
            </w:r>
            <w:r w:rsidRPr="005771BD">
              <w:rPr>
                <w:rFonts w:eastAsia="Calibri" w:cs="Arial"/>
                <w:szCs w:val="20"/>
                <w:lang w:val="sl-SI"/>
              </w:rPr>
              <w:t>septembra 2010</w:t>
            </w:r>
          </w:p>
        </w:tc>
        <w:tc>
          <w:tcPr>
            <w:tcW w:w="1973" w:type="dxa"/>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207</w:t>
            </w:r>
            <w:r w:rsidRPr="005771BD">
              <w:rPr>
                <w:rFonts w:eastAsia="Calibri" w:cs="Arial"/>
                <w:szCs w:val="20"/>
                <w:vertAlign w:val="superscript"/>
                <w:lang w:val="sl-SI"/>
              </w:rPr>
              <w:footnoteReference w:id="38"/>
            </w:r>
          </w:p>
        </w:tc>
        <w:tc>
          <w:tcPr>
            <w:tcW w:w="2840" w:type="dxa"/>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117</w:t>
            </w:r>
            <w:r w:rsidRPr="005771BD">
              <w:rPr>
                <w:rFonts w:eastAsia="Calibri" w:cs="Arial"/>
                <w:szCs w:val="20"/>
                <w:vertAlign w:val="superscript"/>
                <w:lang w:val="sl-SI"/>
              </w:rPr>
              <w:footnoteReference w:id="39"/>
            </w:r>
          </w:p>
        </w:tc>
      </w:tr>
      <w:tr w:rsidR="003C1B05" w:rsidRPr="005771BD" w:rsidTr="003C1B05">
        <w:trPr>
          <w:trHeight w:val="113"/>
        </w:trPr>
        <w:tc>
          <w:tcPr>
            <w:tcW w:w="3901" w:type="dxa"/>
          </w:tcPr>
          <w:p w:rsidR="003C1B05" w:rsidRPr="005771BD" w:rsidRDefault="003C1B05" w:rsidP="003C1B05">
            <w:pPr>
              <w:spacing w:before="60" w:line="276" w:lineRule="auto"/>
              <w:jc w:val="both"/>
              <w:rPr>
                <w:rFonts w:eastAsia="Calibri" w:cs="Arial"/>
                <w:szCs w:val="20"/>
                <w:lang w:val="sl-SI"/>
              </w:rPr>
            </w:pPr>
            <w:r w:rsidRPr="005771BD">
              <w:rPr>
                <w:rFonts w:eastAsia="Calibri" w:cs="Arial"/>
                <w:szCs w:val="20"/>
                <w:lang w:val="sl-SI"/>
              </w:rPr>
              <w:t>Poplave novembra 2012</w:t>
            </w:r>
          </w:p>
        </w:tc>
        <w:tc>
          <w:tcPr>
            <w:tcW w:w="1973" w:type="dxa"/>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311</w:t>
            </w:r>
            <w:r w:rsidRPr="005771BD">
              <w:rPr>
                <w:rFonts w:eastAsia="Calibri" w:cs="Arial"/>
                <w:szCs w:val="20"/>
                <w:vertAlign w:val="superscript"/>
                <w:lang w:val="sl-SI"/>
              </w:rPr>
              <w:footnoteReference w:id="40"/>
            </w:r>
          </w:p>
        </w:tc>
        <w:tc>
          <w:tcPr>
            <w:tcW w:w="2840" w:type="dxa"/>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195</w:t>
            </w:r>
            <w:r w:rsidRPr="005771BD">
              <w:rPr>
                <w:rFonts w:eastAsia="Calibri" w:cs="Arial"/>
                <w:szCs w:val="20"/>
                <w:vertAlign w:val="superscript"/>
                <w:lang w:val="sl-SI"/>
              </w:rPr>
              <w:footnoteReference w:id="41"/>
            </w:r>
          </w:p>
        </w:tc>
      </w:tr>
      <w:tr w:rsidR="003C1B05" w:rsidRPr="005771BD" w:rsidTr="003C1B05">
        <w:trPr>
          <w:trHeight w:val="113"/>
        </w:trPr>
        <w:tc>
          <w:tcPr>
            <w:tcW w:w="3901" w:type="dxa"/>
          </w:tcPr>
          <w:p w:rsidR="003C1B05" w:rsidRPr="005771BD" w:rsidRDefault="003C1B05" w:rsidP="003C1B05">
            <w:pPr>
              <w:spacing w:before="60" w:line="276" w:lineRule="auto"/>
              <w:jc w:val="both"/>
              <w:rPr>
                <w:rFonts w:eastAsia="Calibri" w:cs="Arial"/>
                <w:szCs w:val="20"/>
                <w:lang w:val="sl-SI"/>
              </w:rPr>
            </w:pPr>
            <w:r w:rsidRPr="005771BD">
              <w:rPr>
                <w:rFonts w:eastAsia="Calibri" w:cs="Arial"/>
                <w:szCs w:val="20"/>
                <w:lang w:val="sl-SI"/>
              </w:rPr>
              <w:t>Poplave, visok sneg in žled januarja in februarja 2014</w:t>
            </w:r>
          </w:p>
        </w:tc>
        <w:tc>
          <w:tcPr>
            <w:tcW w:w="1973" w:type="dxa"/>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429</w:t>
            </w:r>
            <w:r w:rsidRPr="005771BD">
              <w:rPr>
                <w:rFonts w:eastAsia="Calibri" w:cs="Arial"/>
                <w:szCs w:val="20"/>
                <w:vertAlign w:val="superscript"/>
                <w:lang w:val="sl-SI"/>
              </w:rPr>
              <w:footnoteReference w:id="42"/>
            </w:r>
          </w:p>
        </w:tc>
        <w:tc>
          <w:tcPr>
            <w:tcW w:w="2840" w:type="dxa"/>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27</w:t>
            </w:r>
            <w:r w:rsidRPr="005771BD">
              <w:rPr>
                <w:rFonts w:eastAsia="Calibri" w:cs="Arial"/>
                <w:szCs w:val="20"/>
                <w:vertAlign w:val="superscript"/>
                <w:lang w:val="sl-SI"/>
              </w:rPr>
              <w:footnoteReference w:id="43"/>
            </w:r>
          </w:p>
        </w:tc>
      </w:tr>
      <w:tr w:rsidR="003C1B05" w:rsidRPr="005771BD" w:rsidTr="003C1B05">
        <w:trPr>
          <w:trHeight w:val="113"/>
        </w:trPr>
        <w:tc>
          <w:tcPr>
            <w:tcW w:w="3901" w:type="dxa"/>
          </w:tcPr>
          <w:p w:rsidR="003C1B05" w:rsidRPr="005771BD" w:rsidRDefault="003C1B05" w:rsidP="003C1B05">
            <w:pPr>
              <w:spacing w:before="60" w:line="276" w:lineRule="auto"/>
              <w:jc w:val="both"/>
              <w:rPr>
                <w:rFonts w:eastAsia="Calibri" w:cs="Arial"/>
                <w:szCs w:val="20"/>
                <w:lang w:val="sl-SI"/>
              </w:rPr>
            </w:pPr>
            <w:r w:rsidRPr="005771BD">
              <w:rPr>
                <w:rFonts w:eastAsia="Calibri" w:cs="Arial"/>
                <w:szCs w:val="20"/>
                <w:lang w:val="sl-SI"/>
              </w:rPr>
              <w:t>Poplave septembra 2014</w:t>
            </w:r>
          </w:p>
        </w:tc>
        <w:tc>
          <w:tcPr>
            <w:tcW w:w="1973" w:type="dxa"/>
            <w:shd w:val="clear" w:color="auto" w:fill="auto"/>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154</w:t>
            </w:r>
            <w:r w:rsidRPr="005771BD">
              <w:rPr>
                <w:rFonts w:eastAsia="Calibri" w:cs="Arial"/>
                <w:szCs w:val="20"/>
                <w:vertAlign w:val="superscript"/>
                <w:lang w:val="sl-SI"/>
              </w:rPr>
              <w:footnoteReference w:id="44"/>
            </w:r>
          </w:p>
        </w:tc>
        <w:tc>
          <w:tcPr>
            <w:tcW w:w="2840" w:type="dxa"/>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124</w:t>
            </w:r>
            <w:r w:rsidRPr="005771BD">
              <w:rPr>
                <w:rFonts w:eastAsia="Calibri" w:cs="Arial"/>
                <w:szCs w:val="20"/>
                <w:vertAlign w:val="superscript"/>
                <w:lang w:val="sl-SI"/>
              </w:rPr>
              <w:footnoteReference w:id="45"/>
            </w:r>
          </w:p>
        </w:tc>
      </w:tr>
      <w:tr w:rsidR="003C1B05" w:rsidRPr="005771BD" w:rsidTr="003C1B05">
        <w:trPr>
          <w:trHeight w:val="113"/>
        </w:trPr>
        <w:tc>
          <w:tcPr>
            <w:tcW w:w="3901" w:type="dxa"/>
          </w:tcPr>
          <w:p w:rsidR="003C1B05" w:rsidRPr="005771BD" w:rsidRDefault="003C1B05" w:rsidP="003C1B05">
            <w:pPr>
              <w:spacing w:before="60" w:line="276" w:lineRule="auto"/>
              <w:jc w:val="both"/>
              <w:rPr>
                <w:rFonts w:eastAsia="Calibri" w:cs="Arial"/>
                <w:szCs w:val="20"/>
                <w:lang w:val="sl-SI"/>
              </w:rPr>
            </w:pPr>
            <w:r w:rsidRPr="005771BD">
              <w:rPr>
                <w:rFonts w:eastAsia="Calibri" w:cs="Arial"/>
                <w:szCs w:val="20"/>
                <w:lang w:val="sl-SI"/>
              </w:rPr>
              <w:t>Poplave oktobra 2014</w:t>
            </w:r>
          </w:p>
        </w:tc>
        <w:tc>
          <w:tcPr>
            <w:tcW w:w="1973" w:type="dxa"/>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50</w:t>
            </w:r>
            <w:r w:rsidRPr="005771BD">
              <w:rPr>
                <w:rFonts w:eastAsia="Calibri" w:cs="Arial"/>
                <w:szCs w:val="20"/>
                <w:vertAlign w:val="superscript"/>
                <w:lang w:val="sl-SI"/>
              </w:rPr>
              <w:footnoteReference w:id="46"/>
            </w:r>
          </w:p>
        </w:tc>
        <w:tc>
          <w:tcPr>
            <w:tcW w:w="2840" w:type="dxa"/>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36</w:t>
            </w:r>
            <w:r w:rsidRPr="005771BD">
              <w:rPr>
                <w:rFonts w:eastAsia="Calibri" w:cs="Arial"/>
                <w:szCs w:val="20"/>
                <w:vertAlign w:val="superscript"/>
                <w:lang w:val="sl-SI"/>
              </w:rPr>
              <w:footnoteReference w:id="47"/>
            </w:r>
          </w:p>
        </w:tc>
      </w:tr>
      <w:tr w:rsidR="003C1B05" w:rsidRPr="005771BD" w:rsidTr="003C1B05">
        <w:trPr>
          <w:trHeight w:val="113"/>
        </w:trPr>
        <w:tc>
          <w:tcPr>
            <w:tcW w:w="3901" w:type="dxa"/>
            <w:tcBorders>
              <w:bottom w:val="single" w:sz="4" w:space="0" w:color="auto"/>
            </w:tcBorders>
          </w:tcPr>
          <w:p w:rsidR="003C1B05" w:rsidRPr="005771BD" w:rsidRDefault="003C1B05" w:rsidP="003C1B05">
            <w:pPr>
              <w:spacing w:before="60" w:line="276" w:lineRule="auto"/>
              <w:jc w:val="both"/>
              <w:rPr>
                <w:rFonts w:eastAsia="Calibri" w:cs="Arial"/>
                <w:szCs w:val="20"/>
                <w:lang w:val="sl-SI"/>
              </w:rPr>
            </w:pPr>
            <w:r w:rsidRPr="005771BD">
              <w:rPr>
                <w:rFonts w:eastAsia="Calibri" w:cs="Arial"/>
                <w:szCs w:val="20"/>
                <w:lang w:val="sl-SI"/>
              </w:rPr>
              <w:t>Poplave novembra 2014</w:t>
            </w:r>
          </w:p>
        </w:tc>
        <w:tc>
          <w:tcPr>
            <w:tcW w:w="1973" w:type="dxa"/>
            <w:tcBorders>
              <w:bottom w:val="single" w:sz="4" w:space="0" w:color="auto"/>
            </w:tcBorders>
          </w:tcPr>
          <w:p w:rsidR="003C1B05" w:rsidRPr="005771BD" w:rsidRDefault="003C1B05" w:rsidP="003C1B05">
            <w:pPr>
              <w:spacing w:before="60" w:line="276" w:lineRule="auto"/>
              <w:jc w:val="center"/>
              <w:rPr>
                <w:rFonts w:eastAsia="Calibri" w:cs="Arial"/>
                <w:szCs w:val="20"/>
                <w:highlight w:val="yellow"/>
                <w:lang w:val="sl-SI"/>
              </w:rPr>
            </w:pPr>
            <w:r w:rsidRPr="005771BD">
              <w:rPr>
                <w:rFonts w:eastAsia="Calibri" w:cs="Arial"/>
                <w:szCs w:val="20"/>
                <w:lang w:val="sl-SI"/>
              </w:rPr>
              <w:t>25</w:t>
            </w:r>
            <w:r w:rsidRPr="005771BD">
              <w:rPr>
                <w:rFonts w:eastAsia="Calibri" w:cs="Arial"/>
                <w:szCs w:val="20"/>
                <w:vertAlign w:val="superscript"/>
                <w:lang w:val="sl-SI"/>
              </w:rPr>
              <w:footnoteReference w:id="48"/>
            </w:r>
          </w:p>
        </w:tc>
        <w:tc>
          <w:tcPr>
            <w:tcW w:w="2840" w:type="dxa"/>
            <w:tcBorders>
              <w:bottom w:val="single" w:sz="4" w:space="0" w:color="auto"/>
            </w:tcBorders>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16</w:t>
            </w:r>
            <w:r w:rsidRPr="005771BD">
              <w:rPr>
                <w:rFonts w:eastAsia="Calibri" w:cs="Arial"/>
                <w:szCs w:val="20"/>
                <w:vertAlign w:val="superscript"/>
                <w:lang w:val="sl-SI"/>
              </w:rPr>
              <w:footnoteReference w:id="49"/>
            </w:r>
          </w:p>
        </w:tc>
      </w:tr>
      <w:tr w:rsidR="003C1B05" w:rsidRPr="005771BD" w:rsidTr="003C1B05">
        <w:trPr>
          <w:trHeight w:val="113"/>
        </w:trPr>
        <w:tc>
          <w:tcPr>
            <w:tcW w:w="3901" w:type="dxa"/>
            <w:shd w:val="clear" w:color="auto" w:fill="F1F1F1" w:themeFill="accent1" w:themeFillTint="66"/>
          </w:tcPr>
          <w:p w:rsidR="003C1B05" w:rsidRPr="005771BD" w:rsidRDefault="003C1B05" w:rsidP="003C1B05">
            <w:pPr>
              <w:spacing w:before="60" w:line="276" w:lineRule="auto"/>
              <w:jc w:val="both"/>
              <w:rPr>
                <w:rFonts w:eastAsia="Calibri" w:cs="Arial"/>
                <w:b/>
                <w:szCs w:val="20"/>
                <w:lang w:val="sl-SI"/>
              </w:rPr>
            </w:pPr>
            <w:r w:rsidRPr="005771BD">
              <w:rPr>
                <w:rFonts w:eastAsia="Calibri" w:cs="Arial"/>
                <w:b/>
                <w:szCs w:val="20"/>
                <w:lang w:val="sl-SI"/>
              </w:rPr>
              <w:t>Skupaj</w:t>
            </w:r>
          </w:p>
        </w:tc>
        <w:tc>
          <w:tcPr>
            <w:tcW w:w="1973" w:type="dxa"/>
            <w:shd w:val="clear" w:color="auto" w:fill="F1F1F1" w:themeFill="accent1" w:themeFillTint="66"/>
          </w:tcPr>
          <w:p w:rsidR="003C1B05" w:rsidRPr="005771BD" w:rsidRDefault="003C1B05" w:rsidP="003C1B05">
            <w:pPr>
              <w:spacing w:before="60" w:line="276" w:lineRule="auto"/>
              <w:jc w:val="center"/>
              <w:rPr>
                <w:rFonts w:eastAsia="Calibri" w:cs="Arial"/>
                <w:szCs w:val="20"/>
                <w:lang w:val="sl-SI"/>
              </w:rPr>
            </w:pPr>
            <w:r w:rsidRPr="005771BD">
              <w:rPr>
                <w:rFonts w:eastAsia="Calibri" w:cs="Arial"/>
                <w:szCs w:val="20"/>
                <w:lang w:val="sl-SI"/>
              </w:rPr>
              <w:t>1.388</w:t>
            </w:r>
          </w:p>
        </w:tc>
        <w:tc>
          <w:tcPr>
            <w:tcW w:w="2840" w:type="dxa"/>
            <w:shd w:val="clear" w:color="auto" w:fill="F1F1F1" w:themeFill="accent1" w:themeFillTint="66"/>
          </w:tcPr>
          <w:p w:rsidR="003C1B05" w:rsidRPr="005771BD" w:rsidRDefault="003C1B05" w:rsidP="003C1B05">
            <w:pPr>
              <w:spacing w:before="60" w:line="276" w:lineRule="auto"/>
              <w:jc w:val="center"/>
              <w:rPr>
                <w:rFonts w:eastAsia="Calibri" w:cs="Arial"/>
                <w:b/>
                <w:szCs w:val="20"/>
                <w:lang w:val="sl-SI"/>
              </w:rPr>
            </w:pPr>
            <w:r w:rsidRPr="005771BD">
              <w:rPr>
                <w:rFonts w:eastAsia="Calibri" w:cs="Arial"/>
                <w:b/>
                <w:szCs w:val="20"/>
                <w:lang w:val="sl-SI"/>
              </w:rPr>
              <w:t>609</w:t>
            </w:r>
          </w:p>
        </w:tc>
      </w:tr>
    </w:tbl>
    <w:p w:rsidR="003C1B05" w:rsidRPr="005771BD" w:rsidRDefault="003C1B05" w:rsidP="003C1B05">
      <w:pPr>
        <w:spacing w:after="200" w:line="276" w:lineRule="auto"/>
        <w:jc w:val="both"/>
        <w:rPr>
          <w:rFonts w:eastAsia="Calibri" w:cs="Arial"/>
          <w:szCs w:val="20"/>
          <w:lang w:val="sl-SI"/>
        </w:rPr>
      </w:pPr>
    </w:p>
    <w:p w:rsidR="003C1B05" w:rsidRPr="005771BD" w:rsidRDefault="00107DE0" w:rsidP="003C1B05">
      <w:pPr>
        <w:spacing w:after="200" w:line="276" w:lineRule="auto"/>
        <w:rPr>
          <w:rFonts w:eastAsia="Calibri" w:cs="Arial"/>
          <w:szCs w:val="20"/>
          <w:lang w:val="sl-SI"/>
        </w:rPr>
      </w:pPr>
      <w:r w:rsidRPr="005771BD">
        <w:rPr>
          <w:rFonts w:eastAsia="Calibri" w:cs="Arial"/>
          <w:szCs w:val="20"/>
          <w:lang w:val="sl-SI"/>
        </w:rPr>
        <w:t xml:space="preserve">V nadaljevanju sta podrobneje </w:t>
      </w:r>
      <w:r>
        <w:rPr>
          <w:rFonts w:eastAsia="Calibri" w:cs="Arial"/>
          <w:szCs w:val="20"/>
          <w:lang w:val="sl-SI"/>
        </w:rPr>
        <w:t>opisana</w:t>
      </w:r>
      <w:r w:rsidRPr="005771BD">
        <w:rPr>
          <w:rFonts w:eastAsia="Calibri" w:cs="Arial"/>
          <w:szCs w:val="20"/>
          <w:lang w:val="sl-SI"/>
        </w:rPr>
        <w:t xml:space="preserve"> dva poplavna dogodka (poplave 2010 in 2012) z največjo zabeleženo škodo.</w:t>
      </w:r>
    </w:p>
    <w:p w:rsidR="003C1B05" w:rsidRPr="005771BD" w:rsidRDefault="003C1B05" w:rsidP="00107DE0">
      <w:pPr>
        <w:spacing w:after="200" w:line="276" w:lineRule="auto"/>
        <w:jc w:val="both"/>
        <w:rPr>
          <w:rFonts w:cs="Arial"/>
          <w:bCs/>
          <w:i/>
          <w:szCs w:val="20"/>
          <w:u w:val="single"/>
          <w:lang w:val="sl-SI"/>
        </w:rPr>
      </w:pPr>
      <w:r w:rsidRPr="005771BD">
        <w:rPr>
          <w:rFonts w:eastAsia="Calibri" w:cs="Arial"/>
          <w:szCs w:val="20"/>
          <w:lang w:val="sl-SI"/>
        </w:rPr>
        <w:br w:type="column"/>
      </w:r>
      <w:r w:rsidRPr="005771BD">
        <w:rPr>
          <w:rFonts w:cs="Arial"/>
          <w:bCs/>
          <w:i/>
          <w:szCs w:val="20"/>
          <w:u w:val="single"/>
          <w:lang w:val="sl-SI"/>
        </w:rPr>
        <w:t xml:space="preserve">Poplave od 17. do  21. septembra 2010 </w:t>
      </w:r>
    </w:p>
    <w:p w:rsidR="003C1B05" w:rsidRPr="005771BD" w:rsidRDefault="003C1B05" w:rsidP="003C1B05">
      <w:pPr>
        <w:spacing w:after="200" w:line="276" w:lineRule="auto"/>
        <w:jc w:val="both"/>
        <w:rPr>
          <w:rFonts w:eastAsia="Calibri" w:cs="Arial"/>
          <w:szCs w:val="20"/>
          <w:lang w:val="sl-SI"/>
        </w:rPr>
      </w:pPr>
      <w:r w:rsidRPr="005771BD">
        <w:rPr>
          <w:rFonts w:eastAsia="Calibri" w:cs="Arial"/>
          <w:szCs w:val="20"/>
          <w:lang w:val="sl-SI"/>
        </w:rPr>
        <w:t>Iz Hidrološkega poročila o povodnji v dneh od 17. do 21. septembra 2010 (ARSO, 2010)</w:t>
      </w:r>
      <w:r w:rsidRPr="005771BD">
        <w:rPr>
          <w:rFonts w:eastAsia="Calibri" w:cs="Arial"/>
          <w:szCs w:val="20"/>
          <w:vertAlign w:val="superscript"/>
          <w:lang w:val="sl-SI"/>
        </w:rPr>
        <w:footnoteReference w:id="50"/>
      </w:r>
      <w:r w:rsidRPr="005771BD">
        <w:rPr>
          <w:rFonts w:eastAsia="Calibri" w:cs="Arial"/>
          <w:szCs w:val="20"/>
          <w:lang w:val="sl-SI"/>
        </w:rPr>
        <w:t xml:space="preserve"> je razvidno, da so Slovenijo v petek, 17. 9. 2010</w:t>
      </w:r>
      <w:r>
        <w:rPr>
          <w:rFonts w:eastAsia="Calibri" w:cs="Arial"/>
          <w:szCs w:val="20"/>
          <w:lang w:val="sl-SI"/>
        </w:rPr>
        <w:t>,</w:t>
      </w:r>
      <w:r w:rsidRPr="005771BD">
        <w:rPr>
          <w:rFonts w:eastAsia="Calibri" w:cs="Arial"/>
          <w:szCs w:val="20"/>
          <w:lang w:val="sl-SI"/>
        </w:rPr>
        <w:t xml:space="preserve"> zajele močne in obilne padavine, ki so trajale do 19. 9. 2010. Največ dežja je padlo v zahodni in osrednji Sloveniji. V noči na 18. september so se padavine še okrepile, v nekaterih delih Slovenije so se pojavljale še nevihte. Čez dan so padavine nekoliko oslab</w:t>
      </w:r>
      <w:r>
        <w:rPr>
          <w:rFonts w:eastAsia="Calibri" w:cs="Arial"/>
          <w:szCs w:val="20"/>
          <w:lang w:val="sl-SI"/>
        </w:rPr>
        <w:t>e</w:t>
      </w:r>
      <w:r w:rsidRPr="005771BD">
        <w:rPr>
          <w:rFonts w:eastAsia="Calibri" w:cs="Arial"/>
          <w:szCs w:val="20"/>
          <w:lang w:val="sl-SI"/>
        </w:rPr>
        <w:t>le, a so se proti večeru zope</w:t>
      </w:r>
      <w:r>
        <w:rPr>
          <w:rFonts w:eastAsia="Calibri" w:cs="Arial"/>
          <w:szCs w:val="20"/>
          <w:lang w:val="sl-SI"/>
        </w:rPr>
        <w:t>t</w:t>
      </w:r>
      <w:r w:rsidRPr="005771BD">
        <w:rPr>
          <w:rFonts w:eastAsia="Calibri" w:cs="Arial"/>
          <w:szCs w:val="20"/>
          <w:lang w:val="sl-SI"/>
        </w:rPr>
        <w:t xml:space="preserve"> okrepile. V noči na 19. september so padavine ponovno zajele celotno Slovenijo. Največ padavin je padlo na območju med Ajdovščino in Idrijo, lokalno prek 500 mm. Marsikje v osrednji in zahodni Sloveniji je padavinska vsota presegla 200 mm, na številnih postajah je večina padavin padla v 24-urnem obdobju. Padavine so povzročile razlivanje vodotokov skoraj povsod v Sloveniji. Obsežne poplave so zajele porečj</w:t>
      </w:r>
      <w:r>
        <w:rPr>
          <w:rFonts w:eastAsia="Calibri" w:cs="Arial"/>
          <w:szCs w:val="20"/>
          <w:lang w:val="sl-SI"/>
        </w:rPr>
        <w:t>a</w:t>
      </w:r>
      <w:r w:rsidRPr="005771BD">
        <w:rPr>
          <w:rFonts w:eastAsia="Calibri" w:cs="Arial"/>
          <w:szCs w:val="20"/>
          <w:lang w:val="sl-SI"/>
        </w:rPr>
        <w:t xml:space="preserve"> Krke, Vipave, Idrijce, Poljanske Sore, Savinje in Save v spodnjem toku, kraška polja na Dolenjskem in Notranjskem ter Ljubljansko barje. </w:t>
      </w:r>
    </w:p>
    <w:p w:rsidR="003C1B05" w:rsidRPr="005771BD" w:rsidRDefault="003C1B05" w:rsidP="003C1B05">
      <w:pPr>
        <w:keepNext/>
        <w:spacing w:after="200" w:line="276" w:lineRule="auto"/>
        <w:jc w:val="center"/>
        <w:rPr>
          <w:rFonts w:eastAsia="Calibri" w:cs="Arial"/>
          <w:szCs w:val="20"/>
          <w:lang w:val="sl-SI"/>
        </w:rPr>
      </w:pPr>
      <w:r w:rsidRPr="007F272F">
        <w:rPr>
          <w:rFonts w:eastAsia="Calibri" w:cs="Arial"/>
          <w:noProof/>
          <w:szCs w:val="20"/>
          <w:lang w:val="sl-SI" w:eastAsia="sl-SI"/>
        </w:rPr>
        <w:drawing>
          <wp:inline distT="0" distB="0" distL="0" distR="0" wp14:anchorId="71A34C55" wp14:editId="20B45E67">
            <wp:extent cx="4667416" cy="2823787"/>
            <wp:effectExtent l="0" t="0" r="0" b="0"/>
            <wp:docPr id="141"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4665793" cy="2822805"/>
                    </a:xfrm>
                    <a:prstGeom prst="rect">
                      <a:avLst/>
                    </a:prstGeom>
                    <a:ln>
                      <a:noFill/>
                    </a:ln>
                    <a:effectLst>
                      <a:softEdge rad="112500"/>
                    </a:effectLst>
                  </pic:spPr>
                </pic:pic>
              </a:graphicData>
            </a:graphic>
          </wp:inline>
        </w:drawing>
      </w:r>
    </w:p>
    <w:p w:rsidR="003C1B05" w:rsidRPr="005771BD" w:rsidRDefault="003C1B05" w:rsidP="003C1B05">
      <w:pPr>
        <w:tabs>
          <w:tab w:val="center" w:pos="2552"/>
          <w:tab w:val="left" w:pos="7905"/>
        </w:tabs>
        <w:spacing w:after="360" w:line="276" w:lineRule="auto"/>
        <w:jc w:val="both"/>
        <w:rPr>
          <w:rFonts w:cs="Arial"/>
          <w:bCs/>
          <w:i/>
          <w:szCs w:val="20"/>
          <w:lang w:val="sl-SI" w:eastAsia="sl-SI"/>
        </w:rPr>
      </w:pPr>
      <w:r w:rsidRPr="005771BD">
        <w:rPr>
          <w:rFonts w:cs="Arial"/>
          <w:bCs/>
          <w:i/>
          <w:szCs w:val="20"/>
          <w:lang w:val="sl-SI" w:eastAsia="sl-SI"/>
        </w:rPr>
        <w:tab/>
        <w:t>Slika 1</w:t>
      </w:r>
      <w:r w:rsidR="006331C1">
        <w:rPr>
          <w:rFonts w:cs="Arial"/>
          <w:bCs/>
          <w:i/>
          <w:szCs w:val="20"/>
          <w:lang w:val="sl-SI" w:eastAsia="sl-SI"/>
        </w:rPr>
        <w:t>4</w:t>
      </w:r>
      <w:r w:rsidRPr="005771BD">
        <w:rPr>
          <w:rFonts w:cs="Arial"/>
          <w:bCs/>
          <w:i/>
          <w:szCs w:val="20"/>
          <w:lang w:val="sl-SI" w:eastAsia="sl-SI"/>
        </w:rPr>
        <w:t xml:space="preserve">.9: Poplave 2010, Ljubljana Vič (Foto: MORS/ dokumentacija Dela) </w:t>
      </w:r>
      <w:r w:rsidRPr="005771BD">
        <w:rPr>
          <w:rFonts w:cs="Arial"/>
          <w:bCs/>
          <w:i/>
          <w:szCs w:val="20"/>
          <w:lang w:val="sl-SI" w:eastAsia="sl-SI"/>
        </w:rPr>
        <w:tab/>
      </w:r>
    </w:p>
    <w:p w:rsidR="003C1B05" w:rsidRPr="005771BD" w:rsidRDefault="003C1B05" w:rsidP="003C1B05">
      <w:pPr>
        <w:spacing w:after="200" w:line="276" w:lineRule="auto"/>
        <w:jc w:val="both"/>
        <w:rPr>
          <w:rFonts w:eastAsia="Calibri" w:cs="Arial"/>
          <w:szCs w:val="20"/>
          <w:lang w:val="sl-SI"/>
        </w:rPr>
      </w:pPr>
      <w:r w:rsidRPr="005771BD">
        <w:rPr>
          <w:rFonts w:eastAsia="Calibri" w:cs="Arial"/>
          <w:szCs w:val="20"/>
          <w:lang w:val="sl-SI"/>
        </w:rPr>
        <w:t>Reke so začele naraščati 17.</w:t>
      </w:r>
      <w:r>
        <w:rPr>
          <w:rFonts w:eastAsia="Calibri" w:cs="Arial"/>
          <w:szCs w:val="20"/>
          <w:lang w:val="sl-SI"/>
        </w:rPr>
        <w:t xml:space="preserve"> </w:t>
      </w:r>
      <w:r w:rsidRPr="005771BD">
        <w:rPr>
          <w:rFonts w:eastAsia="Calibri" w:cs="Arial"/>
          <w:szCs w:val="20"/>
          <w:lang w:val="sl-SI"/>
        </w:rPr>
        <w:t xml:space="preserve">septembra, </w:t>
      </w:r>
      <w:r w:rsidRPr="005771BD">
        <w:rPr>
          <w:rFonts w:eastAsia="Calibri" w:cs="Arial"/>
          <w:color w:val="000000"/>
          <w:szCs w:val="20"/>
          <w:lang w:val="sl-SI"/>
        </w:rPr>
        <w:t>najprej v zgornjem Posočju in Gradaščica, na katerih so bili že popoldan doseženi veliki pretoki</w:t>
      </w:r>
      <w:r w:rsidRPr="005771BD">
        <w:rPr>
          <w:rFonts w:eastAsia="Calibri" w:cs="Arial"/>
          <w:szCs w:val="20"/>
          <w:lang w:val="sl-SI"/>
        </w:rPr>
        <w:t xml:space="preserve">. V večernih urah istega dne so dosegli prvo konico pretoki v zgornjem toku Save, v naslednjih dneh pa sta </w:t>
      </w:r>
      <w:r>
        <w:rPr>
          <w:rFonts w:eastAsia="Calibri" w:cs="Arial"/>
          <w:szCs w:val="20"/>
          <w:lang w:val="sl-SI"/>
        </w:rPr>
        <w:t xml:space="preserve">bili </w:t>
      </w:r>
      <w:r w:rsidRPr="005771BD">
        <w:rPr>
          <w:rFonts w:eastAsia="Calibri" w:cs="Arial"/>
          <w:szCs w:val="20"/>
          <w:lang w:val="sl-SI"/>
        </w:rPr>
        <w:t xml:space="preserve">še dve večji konici pretokov. Naslednji dan so se močno povečali pretoki na Soči, Idrijci, Ljubljanici, Krki, reki Reki, Vipavi, Ledavi, Ščavnici in Veliki Krki. Poplavljala je tudi Poljanska Sora v Žireh. Visokovodne konice so se 18. in 19. </w:t>
      </w:r>
      <w:r>
        <w:rPr>
          <w:rFonts w:eastAsia="Calibri" w:cs="Arial"/>
          <w:szCs w:val="20"/>
          <w:lang w:val="sl-SI"/>
        </w:rPr>
        <w:t>s</w:t>
      </w:r>
      <w:r w:rsidRPr="005771BD">
        <w:rPr>
          <w:rFonts w:eastAsia="Calibri" w:cs="Arial"/>
          <w:szCs w:val="20"/>
          <w:lang w:val="sl-SI"/>
        </w:rPr>
        <w:t>eptembra še večkrat dvignile in spustile. Analiza volumnov poplavnih valov, ki je bila izvedena za vodomerne postaje, za katere so na voljo dolgoletni nizi podatkov (Hidrološko poročilo o povodnji v dneh med 17. in 21. 9 .</w:t>
      </w:r>
      <w:r>
        <w:rPr>
          <w:rFonts w:eastAsia="Calibri" w:cs="Arial"/>
          <w:szCs w:val="20"/>
          <w:lang w:val="sl-SI"/>
        </w:rPr>
        <w:t xml:space="preserve"> </w:t>
      </w:r>
      <w:r w:rsidRPr="005771BD">
        <w:rPr>
          <w:rFonts w:eastAsia="Calibri" w:cs="Arial"/>
          <w:szCs w:val="20"/>
          <w:lang w:val="sl-SI"/>
        </w:rPr>
        <w:t xml:space="preserve">2010)  je pokazala, da je bil dogodek izjemne razsežnosti, saj so poplave in razlitje vodotokov zajele celotno Slovenijo. Za postajo Laško na Savinji se je izkazalo, da je poplava v dneh od 17. do 20. septembra 2010 četrta največja poplava od 1907 leta naprej. Vipava je imela od zgodnjih jutranjih ur 18. septembra do 19. septembra dopoldne velik pretok, ki se je v dopoldanskih urah znižal le za okoli 20 m3/s, nato pa v poznih večernih urah spet narasel za dobrih 30 m3/s, ko je Vipava dosegla največji pretok. Na vodomerni postaji Vipava je bil </w:t>
      </w:r>
      <w:r>
        <w:rPr>
          <w:rFonts w:eastAsia="Calibri" w:cs="Arial"/>
          <w:szCs w:val="20"/>
          <w:lang w:val="sl-SI"/>
        </w:rPr>
        <w:t>največji</w:t>
      </w:r>
      <w:r w:rsidRPr="005771BD">
        <w:rPr>
          <w:rFonts w:eastAsia="Calibri" w:cs="Arial"/>
          <w:szCs w:val="20"/>
          <w:lang w:val="sl-SI"/>
        </w:rPr>
        <w:t xml:space="preserve"> pretok 437 m3/s, na vodomerni postaji Vipava Dolenje pa 213 m3/s, kar je po letu 1991 največji izmerjeni pretok. Reka Reka je pri Cerkvenikovem mlinu dosegla največji pretok 19. septembra. </w:t>
      </w:r>
      <w:r>
        <w:rPr>
          <w:rFonts w:eastAsia="Calibri" w:cs="Arial"/>
          <w:szCs w:val="20"/>
          <w:lang w:val="sl-SI"/>
        </w:rPr>
        <w:t>Tega dne</w:t>
      </w:r>
      <w:r w:rsidRPr="005771BD">
        <w:rPr>
          <w:rFonts w:eastAsia="Calibri" w:cs="Arial"/>
          <w:szCs w:val="20"/>
          <w:lang w:val="sl-SI"/>
        </w:rPr>
        <w:t xml:space="preserve"> so bili pretoki največji v srednjem in spodnjem delu Save in njenih pritokih. Povečeval</w:t>
      </w:r>
      <w:r>
        <w:rPr>
          <w:rFonts w:eastAsia="Calibri" w:cs="Arial"/>
          <w:szCs w:val="20"/>
          <w:lang w:val="sl-SI"/>
        </w:rPr>
        <w:t>i</w:t>
      </w:r>
      <w:r w:rsidRPr="005771BD">
        <w:rPr>
          <w:rFonts w:eastAsia="Calibri" w:cs="Arial"/>
          <w:szCs w:val="20"/>
          <w:lang w:val="sl-SI"/>
        </w:rPr>
        <w:t xml:space="preserve"> s</w:t>
      </w:r>
      <w:r>
        <w:rPr>
          <w:rFonts w:eastAsia="Calibri" w:cs="Arial"/>
          <w:szCs w:val="20"/>
          <w:lang w:val="sl-SI"/>
        </w:rPr>
        <w:t>o</w:t>
      </w:r>
      <w:r w:rsidRPr="005771BD">
        <w:rPr>
          <w:rFonts w:eastAsia="Calibri" w:cs="Arial"/>
          <w:szCs w:val="20"/>
          <w:lang w:val="sl-SI"/>
        </w:rPr>
        <w:t xml:space="preserve"> se pretok</w:t>
      </w:r>
      <w:r>
        <w:rPr>
          <w:rFonts w:eastAsia="Calibri" w:cs="Arial"/>
          <w:szCs w:val="20"/>
          <w:lang w:val="sl-SI"/>
        </w:rPr>
        <w:t>i</w:t>
      </w:r>
      <w:r w:rsidRPr="005771BD">
        <w:rPr>
          <w:rFonts w:eastAsia="Calibri" w:cs="Arial"/>
          <w:szCs w:val="20"/>
          <w:lang w:val="sl-SI"/>
        </w:rPr>
        <w:t xml:space="preserve"> Ljubljanice in Krke ter Save v spodnjem toku. Največji pretok je bil na Ljubljanici in Savi v spodnjem toku dosežen 19. septembra. Krka v Podbočju je imela največji pretok 20. septembra. Reke in zaledne vode so v tem času izjemno poplavljale v svojih spodnjih tokovih</w:t>
      </w:r>
      <w:r>
        <w:rPr>
          <w:rFonts w:eastAsia="Calibri" w:cs="Arial"/>
          <w:szCs w:val="20"/>
          <w:lang w:val="sl-SI"/>
        </w:rPr>
        <w:t>.</w:t>
      </w:r>
    </w:p>
    <w:p w:rsidR="003C1B05" w:rsidRPr="005771BD" w:rsidRDefault="003C1B05" w:rsidP="003C1B05">
      <w:pPr>
        <w:spacing w:after="200" w:line="276" w:lineRule="auto"/>
        <w:rPr>
          <w:rFonts w:eastAsia="Calibri" w:cs="Arial"/>
          <w:szCs w:val="20"/>
          <w:lang w:val="sl-SI"/>
        </w:rPr>
      </w:pPr>
    </w:p>
    <w:p w:rsidR="003C1B05" w:rsidRPr="005771BD" w:rsidRDefault="003C1B05" w:rsidP="003C1B05">
      <w:pPr>
        <w:keepNext/>
        <w:autoSpaceDE w:val="0"/>
        <w:autoSpaceDN w:val="0"/>
        <w:adjustRightInd w:val="0"/>
        <w:spacing w:after="200" w:line="276" w:lineRule="auto"/>
        <w:jc w:val="center"/>
        <w:rPr>
          <w:rFonts w:eastAsia="Calibri" w:cs="Arial"/>
          <w:color w:val="000000"/>
          <w:szCs w:val="20"/>
          <w:lang w:val="sl-SI"/>
        </w:rPr>
      </w:pPr>
      <w:r w:rsidRPr="007F272F">
        <w:rPr>
          <w:rFonts w:eastAsia="Calibri" w:cs="Arial"/>
          <w:noProof/>
          <w:color w:val="000000"/>
          <w:szCs w:val="20"/>
          <w:lang w:val="sl-SI" w:eastAsia="sl-SI"/>
        </w:rPr>
        <w:drawing>
          <wp:inline distT="0" distB="0" distL="0" distR="0" wp14:anchorId="4296631E" wp14:editId="1E655D9A">
            <wp:extent cx="2453425" cy="1853199"/>
            <wp:effectExtent l="0" t="0" r="4445" b="0"/>
            <wp:docPr id="142"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2456708" cy="1855679"/>
                    </a:xfrm>
                    <a:prstGeom prst="rect">
                      <a:avLst/>
                    </a:prstGeom>
                  </pic:spPr>
                </pic:pic>
              </a:graphicData>
            </a:graphic>
          </wp:inline>
        </w:drawing>
      </w:r>
      <w:r w:rsidRPr="009F7BAE">
        <w:rPr>
          <w:rFonts w:eastAsia="Calibri" w:cs="Arial"/>
          <w:noProof/>
          <w:color w:val="000000"/>
          <w:szCs w:val="20"/>
          <w:lang w:val="sl-SI" w:eastAsia="sl-SI"/>
        </w:rPr>
        <w:drawing>
          <wp:inline distT="0" distB="0" distL="0" distR="0" wp14:anchorId="31C49F68" wp14:editId="5F24370A">
            <wp:extent cx="2449312" cy="1848118"/>
            <wp:effectExtent l="0" t="0" r="8255" b="0"/>
            <wp:docPr id="148"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2458763" cy="1855250"/>
                    </a:xfrm>
                    <a:prstGeom prst="rect">
                      <a:avLst/>
                    </a:prstGeom>
                  </pic:spPr>
                </pic:pic>
              </a:graphicData>
            </a:graphic>
          </wp:inline>
        </w:drawing>
      </w:r>
    </w:p>
    <w:p w:rsidR="003C1B05" w:rsidRPr="005771BD" w:rsidRDefault="003C1B05" w:rsidP="003C1B05">
      <w:pPr>
        <w:keepNext/>
        <w:autoSpaceDE w:val="0"/>
        <w:autoSpaceDN w:val="0"/>
        <w:adjustRightInd w:val="0"/>
        <w:spacing w:after="200" w:line="276" w:lineRule="auto"/>
        <w:jc w:val="center"/>
        <w:rPr>
          <w:rFonts w:eastAsia="Calibri" w:cs="Arial"/>
          <w:color w:val="000000"/>
          <w:szCs w:val="20"/>
          <w:lang w:val="sl-SI"/>
        </w:rPr>
      </w:pPr>
    </w:p>
    <w:p w:rsidR="003C1B05" w:rsidRPr="005771BD" w:rsidRDefault="003C1B05" w:rsidP="003C1B05">
      <w:pPr>
        <w:spacing w:after="360" w:line="276" w:lineRule="auto"/>
        <w:rPr>
          <w:rFonts w:cs="Arial"/>
          <w:bCs/>
          <w:i/>
          <w:szCs w:val="20"/>
          <w:lang w:val="sl-SI" w:eastAsia="sl-SI"/>
        </w:rPr>
      </w:pPr>
      <w:r w:rsidRPr="005771BD">
        <w:rPr>
          <w:rFonts w:cs="Arial"/>
          <w:bCs/>
          <w:i/>
          <w:szCs w:val="20"/>
          <w:lang w:val="sl-SI" w:eastAsia="sl-SI"/>
        </w:rPr>
        <w:t>Slika 1</w:t>
      </w:r>
      <w:r w:rsidR="006331C1">
        <w:rPr>
          <w:rFonts w:cs="Arial"/>
          <w:bCs/>
          <w:i/>
          <w:szCs w:val="20"/>
          <w:lang w:val="sl-SI" w:eastAsia="sl-SI"/>
        </w:rPr>
        <w:t>4</w:t>
      </w:r>
      <w:r w:rsidRPr="005771BD">
        <w:rPr>
          <w:rFonts w:cs="Arial"/>
          <w:bCs/>
          <w:i/>
          <w:szCs w:val="20"/>
          <w:lang w:val="sl-SI" w:eastAsia="sl-SI"/>
        </w:rPr>
        <w:t xml:space="preserve">.10: Poplavljanje Krke (Vir: ARSO; Hidrološko poročilo o povodnji v dneh od 17. do 21. septembra 2010; </w:t>
      </w:r>
      <w:r>
        <w:rPr>
          <w:rFonts w:cs="Arial"/>
          <w:bCs/>
          <w:i/>
          <w:szCs w:val="20"/>
          <w:lang w:val="sl-SI" w:eastAsia="sl-SI"/>
        </w:rPr>
        <w:t>f</w:t>
      </w:r>
      <w:r w:rsidRPr="005771BD">
        <w:rPr>
          <w:rFonts w:cs="Arial"/>
          <w:bCs/>
          <w:i/>
          <w:szCs w:val="20"/>
          <w:lang w:val="sl-SI" w:eastAsia="sl-SI"/>
        </w:rPr>
        <w:t>oto: J. Polajnar</w:t>
      </w:r>
      <w:r>
        <w:rPr>
          <w:rFonts w:cs="Arial"/>
          <w:bCs/>
          <w:i/>
          <w:szCs w:val="20"/>
          <w:lang w:val="sl-SI" w:eastAsia="sl-SI"/>
        </w:rPr>
        <w:t>)</w:t>
      </w:r>
    </w:p>
    <w:p w:rsidR="003C1B05" w:rsidRPr="005771BD" w:rsidRDefault="003C1B05" w:rsidP="003C1B05">
      <w:pPr>
        <w:spacing w:after="200" w:line="276" w:lineRule="auto"/>
        <w:jc w:val="both"/>
        <w:rPr>
          <w:rFonts w:eastAsia="Calibri" w:cs="Arial"/>
          <w:szCs w:val="20"/>
          <w:shd w:val="clear" w:color="auto" w:fill="F9F9F9"/>
          <w:lang w:val="sl-SI"/>
        </w:rPr>
      </w:pPr>
      <w:r w:rsidRPr="005771BD">
        <w:rPr>
          <w:rFonts w:eastAsia="Calibri" w:cs="Arial"/>
          <w:szCs w:val="20"/>
          <w:shd w:val="clear" w:color="auto" w:fill="F9F9F9"/>
          <w:lang w:val="sl-SI"/>
        </w:rPr>
        <w:t xml:space="preserve">Ocenjena škoda </w:t>
      </w:r>
      <w:r w:rsidRPr="005771BD">
        <w:rPr>
          <w:rFonts w:eastAsia="Calibri" w:cs="Arial"/>
          <w:szCs w:val="20"/>
          <w:lang w:val="sl-SI"/>
        </w:rPr>
        <w:t xml:space="preserve">na </w:t>
      </w:r>
      <w:bookmarkStart w:id="49" w:name="OLE_LINK1"/>
      <w:bookmarkStart w:id="50" w:name="OLE_LINK2"/>
      <w:r w:rsidRPr="005771BD">
        <w:rPr>
          <w:rFonts w:eastAsia="Calibri" w:cs="Arial"/>
          <w:szCs w:val="20"/>
          <w:lang w:val="sl-SI"/>
        </w:rPr>
        <w:t xml:space="preserve">stvareh </w:t>
      </w:r>
      <w:bookmarkEnd w:id="49"/>
      <w:bookmarkEnd w:id="50"/>
      <w:r w:rsidRPr="005771BD">
        <w:rPr>
          <w:rFonts w:eastAsia="Calibri" w:cs="Arial"/>
          <w:szCs w:val="20"/>
          <w:lang w:val="sl-SI"/>
        </w:rPr>
        <w:t xml:space="preserve">zaradi posledic poplav med 16. in 20. septembrom 2010 v 137 občinah na območju </w:t>
      </w:r>
      <w:r>
        <w:rPr>
          <w:rFonts w:eastAsia="Calibri" w:cs="Arial"/>
          <w:szCs w:val="20"/>
          <w:lang w:val="sl-SI"/>
        </w:rPr>
        <w:t>d</w:t>
      </w:r>
      <w:r w:rsidRPr="005771BD">
        <w:rPr>
          <w:rFonts w:eastAsia="Calibri" w:cs="Arial"/>
          <w:szCs w:val="20"/>
          <w:lang w:val="sl-SI"/>
        </w:rPr>
        <w:t xml:space="preserve">olenjske, </w:t>
      </w:r>
      <w:r>
        <w:rPr>
          <w:rFonts w:eastAsia="Calibri" w:cs="Arial"/>
          <w:szCs w:val="20"/>
          <w:lang w:val="sl-SI"/>
        </w:rPr>
        <w:t>g</w:t>
      </w:r>
      <w:r w:rsidRPr="005771BD">
        <w:rPr>
          <w:rFonts w:eastAsia="Calibri" w:cs="Arial"/>
          <w:szCs w:val="20"/>
          <w:lang w:val="sl-SI"/>
        </w:rPr>
        <w:t xml:space="preserve">orenjske, </w:t>
      </w:r>
      <w:r>
        <w:rPr>
          <w:rFonts w:eastAsia="Calibri" w:cs="Arial"/>
          <w:szCs w:val="20"/>
          <w:lang w:val="sl-SI"/>
        </w:rPr>
        <w:t>k</w:t>
      </w:r>
      <w:r w:rsidRPr="005771BD">
        <w:rPr>
          <w:rFonts w:eastAsia="Calibri" w:cs="Arial"/>
          <w:szCs w:val="20"/>
          <w:lang w:val="sl-SI"/>
        </w:rPr>
        <w:t xml:space="preserve">oroške, </w:t>
      </w:r>
      <w:r>
        <w:rPr>
          <w:rFonts w:eastAsia="Calibri" w:cs="Arial"/>
          <w:szCs w:val="20"/>
          <w:lang w:val="sl-SI"/>
        </w:rPr>
        <w:t>l</w:t>
      </w:r>
      <w:r w:rsidRPr="005771BD">
        <w:rPr>
          <w:rFonts w:eastAsia="Calibri" w:cs="Arial"/>
          <w:szCs w:val="20"/>
          <w:lang w:val="sl-SI"/>
        </w:rPr>
        <w:t xml:space="preserve">jubljanske, </w:t>
      </w:r>
      <w:r>
        <w:rPr>
          <w:rFonts w:eastAsia="Calibri" w:cs="Arial"/>
          <w:szCs w:val="20"/>
          <w:lang w:val="sl-SI"/>
        </w:rPr>
        <w:t>n</w:t>
      </w:r>
      <w:r w:rsidRPr="005771BD">
        <w:rPr>
          <w:rFonts w:eastAsia="Calibri" w:cs="Arial"/>
          <w:szCs w:val="20"/>
          <w:lang w:val="sl-SI"/>
        </w:rPr>
        <w:t xml:space="preserve">otranjske, </w:t>
      </w:r>
      <w:r>
        <w:rPr>
          <w:rFonts w:eastAsia="Calibri" w:cs="Arial"/>
          <w:szCs w:val="20"/>
          <w:lang w:val="sl-SI"/>
        </w:rPr>
        <w:t>o</w:t>
      </w:r>
      <w:r w:rsidRPr="005771BD">
        <w:rPr>
          <w:rFonts w:eastAsia="Calibri" w:cs="Arial"/>
          <w:szCs w:val="20"/>
          <w:lang w:val="sl-SI"/>
        </w:rPr>
        <w:t xml:space="preserve">balne, </w:t>
      </w:r>
      <w:r>
        <w:rPr>
          <w:rFonts w:eastAsia="Calibri" w:cs="Arial"/>
          <w:szCs w:val="20"/>
          <w:lang w:val="sl-SI"/>
        </w:rPr>
        <w:t>p</w:t>
      </w:r>
      <w:r w:rsidRPr="005771BD">
        <w:rPr>
          <w:rFonts w:eastAsia="Calibri" w:cs="Arial"/>
          <w:szCs w:val="20"/>
          <w:lang w:val="sl-SI"/>
        </w:rPr>
        <w:t xml:space="preserve">odravske, </w:t>
      </w:r>
      <w:r>
        <w:rPr>
          <w:rFonts w:eastAsia="Calibri" w:cs="Arial"/>
          <w:szCs w:val="20"/>
          <w:lang w:val="sl-SI"/>
        </w:rPr>
        <w:t>p</w:t>
      </w:r>
      <w:r w:rsidRPr="005771BD">
        <w:rPr>
          <w:rFonts w:eastAsia="Calibri" w:cs="Arial"/>
          <w:szCs w:val="20"/>
          <w:lang w:val="sl-SI"/>
        </w:rPr>
        <w:t xml:space="preserve">osavske, </w:t>
      </w:r>
      <w:r>
        <w:rPr>
          <w:rFonts w:eastAsia="Calibri" w:cs="Arial"/>
          <w:szCs w:val="20"/>
          <w:lang w:val="sl-SI"/>
        </w:rPr>
        <w:t>s</w:t>
      </w:r>
      <w:r w:rsidRPr="005771BD">
        <w:rPr>
          <w:rFonts w:eastAsia="Calibri" w:cs="Arial"/>
          <w:szCs w:val="20"/>
          <w:lang w:val="sl-SI"/>
        </w:rPr>
        <w:t xml:space="preserve">evernoprimorske, </w:t>
      </w:r>
      <w:r>
        <w:rPr>
          <w:rFonts w:eastAsia="Calibri" w:cs="Arial"/>
          <w:szCs w:val="20"/>
          <w:lang w:val="sl-SI"/>
        </w:rPr>
        <w:t>v</w:t>
      </w:r>
      <w:r w:rsidRPr="005771BD">
        <w:rPr>
          <w:rFonts w:eastAsia="Calibri" w:cs="Arial"/>
          <w:szCs w:val="20"/>
          <w:lang w:val="sl-SI"/>
        </w:rPr>
        <w:t xml:space="preserve">zhodnoštajerske, </w:t>
      </w:r>
      <w:r>
        <w:rPr>
          <w:rFonts w:eastAsia="Calibri" w:cs="Arial"/>
          <w:szCs w:val="20"/>
          <w:lang w:val="sl-SI"/>
        </w:rPr>
        <w:t>z</w:t>
      </w:r>
      <w:r w:rsidRPr="005771BD">
        <w:rPr>
          <w:rFonts w:eastAsia="Calibri" w:cs="Arial"/>
          <w:szCs w:val="20"/>
          <w:lang w:val="sl-SI"/>
        </w:rPr>
        <w:t xml:space="preserve">ahodnoštajerske in </w:t>
      </w:r>
      <w:r>
        <w:rPr>
          <w:rFonts w:eastAsia="Calibri" w:cs="Arial"/>
          <w:szCs w:val="20"/>
          <w:lang w:val="sl-SI"/>
        </w:rPr>
        <w:t>z</w:t>
      </w:r>
      <w:r w:rsidRPr="005771BD">
        <w:rPr>
          <w:rFonts w:eastAsia="Calibri" w:cs="Arial"/>
          <w:szCs w:val="20"/>
          <w:lang w:val="sl-SI"/>
        </w:rPr>
        <w:t>asavske regije, ki jo je utrpelo 7.761 oškodovancev, je znašala 187,9 mio E</w:t>
      </w:r>
      <w:r>
        <w:rPr>
          <w:rFonts w:eastAsia="Calibri" w:cs="Arial"/>
          <w:szCs w:val="20"/>
          <w:lang w:val="sl-SI"/>
        </w:rPr>
        <w:t>UR</w:t>
      </w:r>
      <w:r w:rsidRPr="005771BD">
        <w:rPr>
          <w:rFonts w:eastAsia="Calibri" w:cs="Arial"/>
          <w:szCs w:val="20"/>
          <w:lang w:val="sl-SI"/>
        </w:rPr>
        <w:t>. Od skupnega zneska neposredne škode je 25</w:t>
      </w:r>
      <w:r>
        <w:rPr>
          <w:rFonts w:eastAsia="Calibri" w:cs="Arial"/>
          <w:szCs w:val="20"/>
          <w:lang w:val="sl-SI"/>
        </w:rPr>
        <w:t xml:space="preserve"> </w:t>
      </w:r>
      <w:r w:rsidRPr="005771BD">
        <w:rPr>
          <w:rFonts w:eastAsia="Calibri" w:cs="Arial"/>
          <w:szCs w:val="20"/>
          <w:lang w:val="sl-SI"/>
        </w:rPr>
        <w:t>% škode na stvareh, 9 % škode v gospodarstvu, 1</w:t>
      </w:r>
      <w:r>
        <w:rPr>
          <w:rFonts w:eastAsia="Calibri" w:cs="Arial"/>
          <w:szCs w:val="20"/>
          <w:lang w:val="sl-SI"/>
        </w:rPr>
        <w:t xml:space="preserve"> </w:t>
      </w:r>
      <w:r w:rsidRPr="005771BD">
        <w:rPr>
          <w:rFonts w:eastAsia="Calibri" w:cs="Arial"/>
          <w:szCs w:val="20"/>
          <w:lang w:val="sl-SI"/>
        </w:rPr>
        <w:t xml:space="preserve">% škode na kulturni dediščini, </w:t>
      </w:r>
      <w:r>
        <w:rPr>
          <w:rFonts w:eastAsia="Calibri" w:cs="Arial"/>
          <w:szCs w:val="20"/>
          <w:lang w:val="sl-SI"/>
        </w:rPr>
        <w:t>drugo</w:t>
      </w:r>
      <w:r w:rsidRPr="005771BD">
        <w:rPr>
          <w:rFonts w:eastAsia="Calibri" w:cs="Arial"/>
          <w:szCs w:val="20"/>
          <w:lang w:val="sl-SI"/>
        </w:rPr>
        <w:t xml:space="preserve"> pa na vodotokih</w:t>
      </w:r>
      <w:r w:rsidRPr="005771BD">
        <w:rPr>
          <w:rFonts w:eastAsia="Calibri" w:cs="Arial"/>
          <w:szCs w:val="20"/>
          <w:vertAlign w:val="superscript"/>
          <w:lang w:val="sl-SI"/>
        </w:rPr>
        <w:footnoteReference w:id="51"/>
      </w:r>
      <w:r w:rsidRPr="005771BD">
        <w:rPr>
          <w:rFonts w:eastAsia="Calibri" w:cs="Arial"/>
          <w:szCs w:val="20"/>
          <w:lang w:val="sl-SI"/>
        </w:rPr>
        <w:t xml:space="preserve">. </w:t>
      </w:r>
    </w:p>
    <w:p w:rsidR="003C1B05" w:rsidRPr="005771BD" w:rsidRDefault="003C1B05" w:rsidP="003C1B05">
      <w:pPr>
        <w:keepNext/>
        <w:keepLines/>
        <w:spacing w:after="200" w:line="276" w:lineRule="auto"/>
        <w:outlineLvl w:val="2"/>
        <w:rPr>
          <w:rFonts w:cs="Arial"/>
          <w:bCs/>
          <w:i/>
          <w:szCs w:val="20"/>
          <w:u w:val="single"/>
          <w:lang w:val="sl-SI"/>
        </w:rPr>
      </w:pPr>
      <w:r w:rsidRPr="005771BD">
        <w:rPr>
          <w:rFonts w:cs="Arial"/>
          <w:bCs/>
          <w:i/>
          <w:szCs w:val="20"/>
          <w:u w:val="single"/>
          <w:lang w:val="sl-SI"/>
        </w:rPr>
        <w:t>Poplave 5. in 6. novembra 2012</w:t>
      </w:r>
    </w:p>
    <w:p w:rsidR="003C1B05" w:rsidRPr="005771BD" w:rsidRDefault="003C1B05" w:rsidP="003C1B05">
      <w:pPr>
        <w:spacing w:after="200" w:line="276" w:lineRule="auto"/>
        <w:jc w:val="both"/>
        <w:rPr>
          <w:rFonts w:eastAsia="Calibri" w:cs="Arial"/>
          <w:szCs w:val="20"/>
          <w:lang w:val="sl-SI"/>
        </w:rPr>
      </w:pPr>
      <w:r w:rsidRPr="005771BD">
        <w:rPr>
          <w:rFonts w:eastAsia="Calibri" w:cs="Arial"/>
          <w:szCs w:val="20"/>
          <w:lang w:val="sl-SI"/>
        </w:rPr>
        <w:t>V Hidrološkem poročilu o poplavah v dneh med 4. in 6. novembrom 2012 (ARSO, 2012)</w:t>
      </w:r>
      <w:r w:rsidRPr="005771BD">
        <w:rPr>
          <w:rFonts w:eastAsia="Calibri" w:cs="Arial"/>
          <w:szCs w:val="20"/>
          <w:vertAlign w:val="superscript"/>
          <w:lang w:val="sl-SI"/>
        </w:rPr>
        <w:footnoteReference w:id="52"/>
      </w:r>
      <w:r w:rsidRPr="005771BD">
        <w:rPr>
          <w:rFonts w:eastAsia="Calibri" w:cs="Arial"/>
          <w:szCs w:val="20"/>
          <w:lang w:val="sl-SI"/>
        </w:rPr>
        <w:t xml:space="preserve"> je  navedeno, da so 4. 11.</w:t>
      </w:r>
      <w:r>
        <w:rPr>
          <w:rFonts w:eastAsia="Calibri" w:cs="Arial"/>
          <w:szCs w:val="20"/>
          <w:lang w:val="sl-SI"/>
        </w:rPr>
        <w:t xml:space="preserve"> </w:t>
      </w:r>
      <w:r w:rsidRPr="005771BD">
        <w:rPr>
          <w:rFonts w:eastAsia="Calibri" w:cs="Arial"/>
          <w:szCs w:val="20"/>
          <w:lang w:val="sl-SI"/>
        </w:rPr>
        <w:t>2012 državo zajele padavine, ki so se v noči na ponedeljek, 5.</w:t>
      </w:r>
      <w:r>
        <w:rPr>
          <w:rFonts w:eastAsia="Calibri" w:cs="Arial"/>
          <w:szCs w:val="20"/>
          <w:lang w:val="sl-SI"/>
        </w:rPr>
        <w:t xml:space="preserve"> </w:t>
      </w:r>
      <w:r w:rsidRPr="005771BD">
        <w:rPr>
          <w:rFonts w:eastAsia="Calibri" w:cs="Arial"/>
          <w:szCs w:val="20"/>
          <w:lang w:val="sl-SI"/>
        </w:rPr>
        <w:t>11.</w:t>
      </w:r>
      <w:r>
        <w:rPr>
          <w:rFonts w:eastAsia="Calibri" w:cs="Arial"/>
          <w:szCs w:val="20"/>
          <w:lang w:val="sl-SI"/>
        </w:rPr>
        <w:t xml:space="preserve"> </w:t>
      </w:r>
      <w:r w:rsidRPr="005771BD">
        <w:rPr>
          <w:rFonts w:eastAsia="Calibri" w:cs="Arial"/>
          <w:szCs w:val="20"/>
          <w:lang w:val="sl-SI"/>
        </w:rPr>
        <w:t>2012, razširile in okrepile nad vso Slovenijo. Največ padavin je padlo na Notranjskem</w:t>
      </w:r>
      <w:r>
        <w:rPr>
          <w:rFonts w:eastAsia="Calibri" w:cs="Arial"/>
          <w:szCs w:val="20"/>
          <w:lang w:val="sl-SI"/>
        </w:rPr>
        <w:t xml:space="preserve"> ter v </w:t>
      </w:r>
      <w:r w:rsidRPr="005771BD">
        <w:rPr>
          <w:rFonts w:eastAsia="Calibri" w:cs="Arial"/>
          <w:szCs w:val="20"/>
          <w:lang w:val="sl-SI"/>
        </w:rPr>
        <w:t>zgornjem delu Gorenjske in Primorske. V času dogodka je pihal okrepljen veter, zjutraj pa so bile temperature visoke</w:t>
      </w:r>
      <w:r>
        <w:rPr>
          <w:rFonts w:eastAsia="Calibri" w:cs="Arial"/>
          <w:szCs w:val="20"/>
          <w:lang w:val="sl-SI"/>
        </w:rPr>
        <w:t>, in sicer</w:t>
      </w:r>
      <w:r w:rsidRPr="005771BD">
        <w:rPr>
          <w:rFonts w:eastAsia="Calibri" w:cs="Arial"/>
          <w:szCs w:val="20"/>
          <w:lang w:val="sl-SI"/>
        </w:rPr>
        <w:t xml:space="preserve"> od 16 do 21 </w:t>
      </w:r>
      <w:r w:rsidRPr="00B7352E">
        <w:rPr>
          <w:rFonts w:eastAsia="Calibri" w:cs="Arial"/>
          <w:szCs w:val="20"/>
          <w:lang w:val="sl-SI"/>
        </w:rPr>
        <w:t xml:space="preserve">stopinj </w:t>
      </w:r>
      <w:r w:rsidRPr="000C199F">
        <w:rPr>
          <w:rFonts w:eastAsia="Calibri" w:cs="Arial"/>
          <w:szCs w:val="20"/>
          <w:lang w:val="sl-SI"/>
        </w:rPr>
        <w:t>C</w:t>
      </w:r>
      <w:r w:rsidRPr="00B7352E">
        <w:rPr>
          <w:rFonts w:eastAsia="Calibri" w:cs="Arial"/>
          <w:szCs w:val="20"/>
          <w:lang w:val="sl-SI"/>
        </w:rPr>
        <w:t>elzija</w:t>
      </w:r>
      <w:r w:rsidRPr="005771BD">
        <w:rPr>
          <w:rFonts w:eastAsia="Calibri" w:cs="Arial"/>
          <w:szCs w:val="20"/>
          <w:lang w:val="sl-SI"/>
        </w:rPr>
        <w:t xml:space="preserve">. Po toplem jutru se je začelo ozračje ohlajati in ob tem se je jugozahodni veter obrnil </w:t>
      </w:r>
      <w:r>
        <w:rPr>
          <w:rFonts w:eastAsia="Calibri" w:cs="Arial"/>
          <w:szCs w:val="20"/>
          <w:lang w:val="sl-SI"/>
        </w:rPr>
        <w:t>v</w:t>
      </w:r>
      <w:r w:rsidRPr="005771BD">
        <w:rPr>
          <w:rFonts w:eastAsia="Calibri" w:cs="Arial"/>
          <w:szCs w:val="20"/>
          <w:lang w:val="sl-SI"/>
        </w:rPr>
        <w:t xml:space="preserve"> severozahodno smer</w:t>
      </w:r>
      <w:r w:rsidRPr="005771BD">
        <w:rPr>
          <w:rFonts w:eastAsia="Calibri" w:cs="Arial"/>
          <w:color w:val="000000"/>
          <w:szCs w:val="20"/>
          <w:lang w:val="sl-SI"/>
        </w:rPr>
        <w:t xml:space="preserve">. Meja sneženja se je spustila na 900 metrov nadmorske višine. </w:t>
      </w:r>
      <w:r w:rsidRPr="005771BD">
        <w:rPr>
          <w:rFonts w:eastAsia="Calibri" w:cs="Arial"/>
          <w:szCs w:val="20"/>
          <w:lang w:val="sl-SI"/>
        </w:rPr>
        <w:t xml:space="preserve">V noči na 6. november so padavine povsod prenehale, zaradi nestabilnega ozračja pa so nastajale krajevne plohe in nevihte s sodro še </w:t>
      </w:r>
      <w:r>
        <w:rPr>
          <w:rFonts w:eastAsia="Calibri" w:cs="Arial"/>
          <w:szCs w:val="20"/>
          <w:lang w:val="sl-SI"/>
        </w:rPr>
        <w:t>ves</w:t>
      </w:r>
      <w:r w:rsidRPr="005771BD">
        <w:rPr>
          <w:rFonts w:eastAsia="Calibri" w:cs="Arial"/>
          <w:szCs w:val="20"/>
          <w:lang w:val="sl-SI"/>
        </w:rPr>
        <w:t xml:space="preserve"> naslednji dan. Količine padavin med 4.</w:t>
      </w:r>
      <w:r>
        <w:rPr>
          <w:rFonts w:eastAsia="Calibri" w:cs="Arial"/>
          <w:szCs w:val="20"/>
          <w:lang w:val="sl-SI"/>
        </w:rPr>
        <w:t xml:space="preserve"> </w:t>
      </w:r>
      <w:r w:rsidRPr="005771BD">
        <w:rPr>
          <w:rFonts w:eastAsia="Calibri" w:cs="Arial"/>
          <w:szCs w:val="20"/>
          <w:lang w:val="sl-SI"/>
        </w:rPr>
        <w:t>11. in 6.</w:t>
      </w:r>
      <w:r>
        <w:rPr>
          <w:rFonts w:eastAsia="Calibri" w:cs="Arial"/>
          <w:szCs w:val="20"/>
          <w:lang w:val="sl-SI"/>
        </w:rPr>
        <w:t xml:space="preserve"> </w:t>
      </w:r>
      <w:r w:rsidRPr="005771BD">
        <w:rPr>
          <w:rFonts w:eastAsia="Calibri" w:cs="Arial"/>
          <w:szCs w:val="20"/>
          <w:lang w:val="sl-SI"/>
        </w:rPr>
        <w:t>11.</w:t>
      </w:r>
      <w:r>
        <w:rPr>
          <w:rFonts w:eastAsia="Calibri" w:cs="Arial"/>
          <w:szCs w:val="20"/>
          <w:lang w:val="sl-SI"/>
        </w:rPr>
        <w:t xml:space="preserve"> </w:t>
      </w:r>
      <w:r w:rsidRPr="005771BD">
        <w:rPr>
          <w:rFonts w:eastAsia="Calibri" w:cs="Arial"/>
          <w:szCs w:val="20"/>
          <w:lang w:val="sl-SI"/>
        </w:rPr>
        <w:t xml:space="preserve">2012 so bile do 280 mm padavin na zahodu Slovenije, med 30 in 100 mm v osrednji Sloveniji, do 100 mm na Pohorju in do </w:t>
      </w:r>
      <w:r>
        <w:rPr>
          <w:rFonts w:eastAsia="Calibri" w:cs="Arial"/>
          <w:szCs w:val="20"/>
          <w:lang w:val="sl-SI"/>
        </w:rPr>
        <w:t>okoli</w:t>
      </w:r>
      <w:r w:rsidRPr="005771BD">
        <w:rPr>
          <w:rFonts w:eastAsia="Calibri" w:cs="Arial"/>
          <w:szCs w:val="20"/>
          <w:lang w:val="sl-SI"/>
        </w:rPr>
        <w:t xml:space="preserve"> 40 mm v vzhodni Sloveniji. Na jugu države je bilo padavin med 20 do 50 mm. Opozorilne vrednosti pretokov so v noči na ponedeljek, 5.</w:t>
      </w:r>
      <w:r>
        <w:rPr>
          <w:rFonts w:eastAsia="Calibri" w:cs="Arial"/>
          <w:szCs w:val="20"/>
          <w:lang w:val="sl-SI"/>
        </w:rPr>
        <w:t xml:space="preserve"> </w:t>
      </w:r>
      <w:r w:rsidRPr="005771BD">
        <w:rPr>
          <w:rFonts w:eastAsia="Calibri" w:cs="Arial"/>
          <w:szCs w:val="20"/>
          <w:lang w:val="sl-SI"/>
        </w:rPr>
        <w:t>11.</w:t>
      </w:r>
      <w:r>
        <w:rPr>
          <w:rFonts w:eastAsia="Calibri" w:cs="Arial"/>
          <w:szCs w:val="20"/>
          <w:lang w:val="sl-SI"/>
        </w:rPr>
        <w:t xml:space="preserve"> </w:t>
      </w:r>
      <w:r w:rsidRPr="005771BD">
        <w:rPr>
          <w:rFonts w:eastAsia="Calibri" w:cs="Arial"/>
          <w:szCs w:val="20"/>
          <w:lang w:val="sl-SI"/>
        </w:rPr>
        <w:t xml:space="preserve">2012, najprej presegle reke v zgornjem Posočju. </w:t>
      </w:r>
    </w:p>
    <w:p w:rsidR="003C1B05" w:rsidRPr="005771BD" w:rsidRDefault="003C1B05" w:rsidP="003C1B05">
      <w:pPr>
        <w:keepNext/>
        <w:spacing w:after="200" w:line="276" w:lineRule="auto"/>
        <w:jc w:val="center"/>
        <w:rPr>
          <w:rFonts w:eastAsia="Calibri" w:cs="Arial"/>
          <w:szCs w:val="20"/>
          <w:lang w:val="sl-SI"/>
        </w:rPr>
      </w:pPr>
      <w:r w:rsidRPr="007F272F">
        <w:rPr>
          <w:rFonts w:eastAsia="Calibri" w:cs="Arial"/>
          <w:noProof/>
          <w:szCs w:val="20"/>
          <w:lang w:val="sl-SI" w:eastAsia="sl-SI"/>
        </w:rPr>
        <w:drawing>
          <wp:inline distT="0" distB="0" distL="0" distR="0" wp14:anchorId="0B6067CF" wp14:editId="0C7B1644">
            <wp:extent cx="3439267" cy="2279560"/>
            <wp:effectExtent l="0" t="0" r="0" b="6985"/>
            <wp:docPr id="158" name="Slika 21" descr="Most na Soči, fotografiral Miljko Lesjak, 5. 11. 2012 ob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ost na Soči, fotografiral Miljko Lesjak, 5. 11. 2012 ob 13:00."/>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452124" cy="2288082"/>
                    </a:xfrm>
                    <a:prstGeom prst="rect">
                      <a:avLst/>
                    </a:prstGeom>
                    <a:ln>
                      <a:noFill/>
                    </a:ln>
                    <a:effectLst>
                      <a:softEdge rad="112500"/>
                    </a:effectLst>
                  </pic:spPr>
                </pic:pic>
              </a:graphicData>
            </a:graphic>
          </wp:inline>
        </w:drawing>
      </w:r>
    </w:p>
    <w:p w:rsidR="003C1B05" w:rsidRPr="005771BD" w:rsidRDefault="003C1B05" w:rsidP="003C1B05">
      <w:pPr>
        <w:spacing w:after="360" w:line="276" w:lineRule="auto"/>
        <w:rPr>
          <w:rFonts w:cs="Arial"/>
          <w:bCs/>
          <w:i/>
          <w:szCs w:val="20"/>
          <w:lang w:val="sl-SI" w:eastAsia="sl-SI"/>
        </w:rPr>
      </w:pPr>
      <w:r w:rsidRPr="005771BD">
        <w:rPr>
          <w:rFonts w:cs="Arial"/>
          <w:bCs/>
          <w:i/>
          <w:szCs w:val="20"/>
          <w:lang w:val="sl-SI" w:eastAsia="sl-SI"/>
        </w:rPr>
        <w:t>Slika 1</w:t>
      </w:r>
      <w:r w:rsidR="006331C1">
        <w:rPr>
          <w:rFonts w:cs="Arial"/>
          <w:bCs/>
          <w:i/>
          <w:szCs w:val="20"/>
          <w:lang w:val="sl-SI" w:eastAsia="sl-SI"/>
        </w:rPr>
        <w:t>4.</w:t>
      </w:r>
      <w:r w:rsidRPr="005771BD">
        <w:rPr>
          <w:rFonts w:cs="Arial"/>
          <w:bCs/>
          <w:i/>
          <w:szCs w:val="20"/>
          <w:lang w:val="sl-SI" w:eastAsia="sl-SI"/>
        </w:rPr>
        <w:t>11: Most na Soči</w:t>
      </w:r>
      <w:r>
        <w:rPr>
          <w:rFonts w:cs="Arial"/>
          <w:bCs/>
          <w:i/>
          <w:szCs w:val="20"/>
          <w:lang w:val="sl-SI" w:eastAsia="sl-SI"/>
        </w:rPr>
        <w:t>,</w:t>
      </w:r>
      <w:r w:rsidRPr="005771BD">
        <w:rPr>
          <w:rFonts w:cs="Arial"/>
          <w:bCs/>
          <w:i/>
          <w:szCs w:val="20"/>
          <w:lang w:val="sl-SI" w:eastAsia="sl-SI"/>
        </w:rPr>
        <w:t xml:space="preserve"> 5. 11. 2012 (Vir: </w:t>
      </w:r>
      <w:hyperlink r:id="rId251" w:history="1">
        <w:r w:rsidRPr="005771BD">
          <w:rPr>
            <w:rFonts w:cs="Arial"/>
            <w:bCs/>
            <w:i/>
            <w:szCs w:val="20"/>
            <w:u w:val="single"/>
            <w:lang w:val="sl-SI" w:eastAsia="sl-SI"/>
          </w:rPr>
          <w:t>http://www.gis.si/poplave-2012</w:t>
        </w:r>
      </w:hyperlink>
      <w:r w:rsidRPr="005771BD">
        <w:rPr>
          <w:rFonts w:cs="Arial"/>
          <w:bCs/>
          <w:i/>
          <w:szCs w:val="20"/>
          <w:lang w:val="sl-SI" w:eastAsia="sl-SI"/>
        </w:rPr>
        <w:t xml:space="preserve"> , foto: M.</w:t>
      </w:r>
      <w:r>
        <w:rPr>
          <w:rFonts w:cs="Arial"/>
          <w:bCs/>
          <w:i/>
          <w:szCs w:val="20"/>
          <w:lang w:val="sl-SI" w:eastAsia="sl-SI"/>
        </w:rPr>
        <w:t xml:space="preserve"> </w:t>
      </w:r>
      <w:r w:rsidRPr="005771BD">
        <w:rPr>
          <w:rFonts w:cs="Arial"/>
          <w:bCs/>
          <w:i/>
          <w:szCs w:val="20"/>
          <w:lang w:val="sl-SI" w:eastAsia="sl-SI"/>
        </w:rPr>
        <w:t>Lesjak)</w:t>
      </w:r>
    </w:p>
    <w:p w:rsidR="003C1B05" w:rsidRPr="005771BD" w:rsidRDefault="003C1B05" w:rsidP="003C1B05">
      <w:pPr>
        <w:spacing w:after="200" w:line="276" w:lineRule="auto"/>
        <w:jc w:val="both"/>
        <w:rPr>
          <w:rFonts w:eastAsia="Calibri" w:cs="Arial"/>
          <w:szCs w:val="20"/>
          <w:lang w:val="sl-SI"/>
        </w:rPr>
      </w:pPr>
      <w:r w:rsidRPr="005771BD">
        <w:rPr>
          <w:rFonts w:eastAsia="Calibri" w:cs="Arial"/>
          <w:szCs w:val="20"/>
          <w:lang w:val="sl-SI"/>
        </w:rPr>
        <w:t>Močneje so naraščale tudi Sava Dolinka, Sava Bohinjka in Kolpa v zgornjem toku. V zgodnjih jutranjih urah so velike pretoke dosegle: Vipava v zgornjem toku, Idrijca s pritoki, Sava v zgornjem in srednjem toku, Sora s pritoki, Gradaščica, Tržiška Bistrica, Kokra, Kamniška Bistrica s pritoki ter Savinja v zgornjem toku. Naraščanje teh rek se je prehodno umirilo, na</w:t>
      </w:r>
      <w:r>
        <w:rPr>
          <w:rFonts w:eastAsia="Calibri" w:cs="Arial"/>
          <w:szCs w:val="20"/>
          <w:lang w:val="sl-SI"/>
        </w:rPr>
        <w:t>to</w:t>
      </w:r>
      <w:r w:rsidRPr="005771BD">
        <w:rPr>
          <w:rFonts w:eastAsia="Calibri" w:cs="Arial"/>
          <w:szCs w:val="20"/>
          <w:lang w:val="sl-SI"/>
        </w:rPr>
        <w:t xml:space="preserve"> so reke ob okrepitvi padavin v ponedeljek, 5.</w:t>
      </w:r>
      <w:r>
        <w:rPr>
          <w:rFonts w:eastAsia="Calibri" w:cs="Arial"/>
          <w:szCs w:val="20"/>
          <w:lang w:val="sl-SI"/>
        </w:rPr>
        <w:t xml:space="preserve"> </w:t>
      </w:r>
      <w:r w:rsidRPr="005771BD">
        <w:rPr>
          <w:rFonts w:eastAsia="Calibri" w:cs="Arial"/>
          <w:szCs w:val="20"/>
          <w:lang w:val="sl-SI"/>
        </w:rPr>
        <w:t>11.</w:t>
      </w:r>
      <w:r>
        <w:rPr>
          <w:rFonts w:eastAsia="Calibri" w:cs="Arial"/>
          <w:szCs w:val="20"/>
          <w:lang w:val="sl-SI"/>
        </w:rPr>
        <w:t xml:space="preserve"> </w:t>
      </w:r>
      <w:r w:rsidRPr="005771BD">
        <w:rPr>
          <w:rFonts w:eastAsia="Calibri" w:cs="Arial"/>
          <w:szCs w:val="20"/>
          <w:lang w:val="sl-SI"/>
        </w:rPr>
        <w:t>2012, zjutraj začele ponovno naraščati.</w:t>
      </w:r>
    </w:p>
    <w:p w:rsidR="003C1B05" w:rsidRPr="005771BD" w:rsidRDefault="003C1B05" w:rsidP="003C1B05">
      <w:pPr>
        <w:autoSpaceDE w:val="0"/>
        <w:autoSpaceDN w:val="0"/>
        <w:adjustRightInd w:val="0"/>
        <w:spacing w:after="200" w:line="276" w:lineRule="auto"/>
        <w:jc w:val="both"/>
        <w:rPr>
          <w:rFonts w:eastAsia="Calibri" w:cs="Arial"/>
          <w:szCs w:val="20"/>
          <w:lang w:val="sl-SI"/>
        </w:rPr>
      </w:pPr>
      <w:r w:rsidRPr="005771BD">
        <w:rPr>
          <w:rFonts w:eastAsia="Calibri" w:cs="Arial"/>
          <w:szCs w:val="20"/>
          <w:lang w:val="sl-SI"/>
        </w:rPr>
        <w:t>Največje poplave so bile na območju reke Drave. Vzrok za sprožitev poplavnega vala so bile obilne padavine med 4. in 6. 11. 2012, ki so tudi drugod po Sloveniji povzročale visoke vode. Tla v tem obdobju so bila namočena zaradi predhodnega deževja, kar je povzročalo velik površinski odtok v reke. Zaradi visokih temperatur v t</w:t>
      </w:r>
      <w:r>
        <w:rPr>
          <w:rFonts w:eastAsia="Calibri" w:cs="Arial"/>
          <w:szCs w:val="20"/>
          <w:lang w:val="sl-SI"/>
        </w:rPr>
        <w:t>istem</w:t>
      </w:r>
      <w:r w:rsidRPr="005771BD">
        <w:rPr>
          <w:rFonts w:eastAsia="Calibri" w:cs="Arial"/>
          <w:szCs w:val="20"/>
          <w:lang w:val="sl-SI"/>
        </w:rPr>
        <w:t xml:space="preserve"> času je prišlo tudi do taljenja snega v visokogorju. </w:t>
      </w:r>
    </w:p>
    <w:p w:rsidR="006331C1" w:rsidRDefault="003C1B05" w:rsidP="006331C1">
      <w:pPr>
        <w:autoSpaceDE w:val="0"/>
        <w:autoSpaceDN w:val="0"/>
        <w:adjustRightInd w:val="0"/>
        <w:spacing w:after="200" w:line="276" w:lineRule="auto"/>
        <w:jc w:val="both"/>
        <w:rPr>
          <w:rFonts w:eastAsia="Calibri" w:cs="Arial"/>
          <w:color w:val="000000"/>
          <w:szCs w:val="20"/>
          <w:lang w:val="sl-SI"/>
        </w:rPr>
      </w:pPr>
      <w:r w:rsidRPr="005771BD">
        <w:rPr>
          <w:rFonts w:eastAsia="Calibri" w:cs="Arial"/>
          <w:color w:val="000000"/>
          <w:szCs w:val="20"/>
          <w:lang w:val="sl-SI"/>
        </w:rPr>
        <w:t xml:space="preserve">Drava je zaradi povečanega pritoka </w:t>
      </w:r>
      <w:r>
        <w:rPr>
          <w:rFonts w:eastAsia="Calibri" w:cs="Arial"/>
          <w:color w:val="000000"/>
          <w:szCs w:val="20"/>
          <w:lang w:val="sl-SI"/>
        </w:rPr>
        <w:t>zaradi</w:t>
      </w:r>
      <w:r w:rsidRPr="005771BD">
        <w:rPr>
          <w:rFonts w:eastAsia="Calibri" w:cs="Arial"/>
          <w:color w:val="000000"/>
          <w:szCs w:val="20"/>
          <w:lang w:val="sl-SI"/>
        </w:rPr>
        <w:t xml:space="preserve"> praznjenja akumulacij iz sosednje Avstrije v dopoldanskem času 5. novembra 2012 močno narasla in začela poplavljati zlasti v njenem spodnjem toku v Sloveniji. Opozorilni pretok 860 m</w:t>
      </w:r>
      <w:r w:rsidRPr="005771BD">
        <w:rPr>
          <w:rFonts w:eastAsia="Calibri" w:cs="Arial"/>
          <w:color w:val="000000"/>
          <w:szCs w:val="20"/>
          <w:vertAlign w:val="superscript"/>
          <w:lang w:val="sl-SI"/>
        </w:rPr>
        <w:t>3</w:t>
      </w:r>
      <w:r w:rsidRPr="005771BD">
        <w:rPr>
          <w:rFonts w:eastAsia="Calibri" w:cs="Arial"/>
          <w:color w:val="000000"/>
          <w:szCs w:val="20"/>
          <w:lang w:val="sl-SI"/>
        </w:rPr>
        <w:t>/s je Drava dosegla 5.</w:t>
      </w:r>
      <w:r>
        <w:rPr>
          <w:rFonts w:eastAsia="Calibri" w:cs="Arial"/>
          <w:color w:val="000000"/>
          <w:szCs w:val="20"/>
          <w:lang w:val="sl-SI"/>
        </w:rPr>
        <w:t xml:space="preserve"> </w:t>
      </w:r>
      <w:r w:rsidRPr="005771BD">
        <w:rPr>
          <w:rFonts w:eastAsia="Calibri" w:cs="Arial"/>
          <w:color w:val="000000"/>
          <w:szCs w:val="20"/>
          <w:lang w:val="sl-SI"/>
        </w:rPr>
        <w:t>11. 2012 ob 5.30, na meji z Avstrijo je bil ob 9</w:t>
      </w:r>
      <w:r>
        <w:rPr>
          <w:rFonts w:eastAsia="Calibri" w:cs="Arial"/>
          <w:color w:val="000000"/>
          <w:szCs w:val="20"/>
          <w:lang w:val="sl-SI"/>
        </w:rPr>
        <w:t>. uri</w:t>
      </w:r>
      <w:r w:rsidRPr="005771BD">
        <w:rPr>
          <w:rFonts w:eastAsia="Calibri" w:cs="Arial"/>
          <w:color w:val="000000"/>
          <w:szCs w:val="20"/>
          <w:lang w:val="sl-SI"/>
        </w:rPr>
        <w:t xml:space="preserve"> pretok 1400 m</w:t>
      </w:r>
      <w:r w:rsidRPr="005771BD">
        <w:rPr>
          <w:rFonts w:eastAsia="Calibri" w:cs="Arial"/>
          <w:color w:val="000000"/>
          <w:szCs w:val="20"/>
          <w:vertAlign w:val="superscript"/>
          <w:lang w:val="sl-SI"/>
        </w:rPr>
        <w:t>3</w:t>
      </w:r>
      <w:r w:rsidRPr="005771BD">
        <w:rPr>
          <w:rFonts w:eastAsia="Calibri" w:cs="Arial"/>
          <w:color w:val="000000"/>
          <w:szCs w:val="20"/>
          <w:lang w:val="sl-SI"/>
        </w:rPr>
        <w:t>/s, ki pa je ob 13</w:t>
      </w:r>
      <w:r>
        <w:rPr>
          <w:rFonts w:eastAsia="Calibri" w:cs="Arial"/>
          <w:color w:val="000000"/>
          <w:szCs w:val="20"/>
          <w:lang w:val="sl-SI"/>
        </w:rPr>
        <w:t>.</w:t>
      </w:r>
      <w:r w:rsidRPr="005771BD">
        <w:rPr>
          <w:rFonts w:eastAsia="Calibri" w:cs="Arial"/>
          <w:color w:val="000000"/>
          <w:szCs w:val="20"/>
          <w:lang w:val="sl-SI"/>
        </w:rPr>
        <w:t>00 narasel na 2480 m</w:t>
      </w:r>
      <w:r w:rsidRPr="005771BD">
        <w:rPr>
          <w:rFonts w:eastAsia="Calibri" w:cs="Arial"/>
          <w:color w:val="000000"/>
          <w:szCs w:val="20"/>
          <w:vertAlign w:val="superscript"/>
          <w:lang w:val="sl-SI"/>
        </w:rPr>
        <w:t>3</w:t>
      </w:r>
      <w:r w:rsidRPr="005771BD">
        <w:rPr>
          <w:rFonts w:eastAsia="Calibri" w:cs="Arial"/>
          <w:color w:val="000000"/>
          <w:szCs w:val="20"/>
          <w:lang w:val="sl-SI"/>
        </w:rPr>
        <w:t>/s. Drava je poplavljala dolvodno od jezu Melje, kjer so bila poplavljena naselja Malečnik, Dogoše in Duplek. Prav tako je poplavljala dolvodno od jezu Markovci na območju Stojncev, Gorišnice in Mihovcev. Drava je v Dravogradu dosegla pretok okrog 2600 m</w:t>
      </w:r>
      <w:r w:rsidRPr="005771BD">
        <w:rPr>
          <w:rFonts w:eastAsia="Calibri" w:cs="Arial"/>
          <w:color w:val="000000"/>
          <w:szCs w:val="20"/>
          <w:vertAlign w:val="superscript"/>
          <w:lang w:val="sl-SI"/>
        </w:rPr>
        <w:t>3</w:t>
      </w:r>
      <w:r w:rsidRPr="005771BD">
        <w:rPr>
          <w:rFonts w:eastAsia="Calibri" w:cs="Arial"/>
          <w:color w:val="000000"/>
          <w:szCs w:val="20"/>
          <w:lang w:val="sl-SI"/>
        </w:rPr>
        <w:t>/s, na meji s Hrvaško pa okrog 3000 m</w:t>
      </w:r>
      <w:r w:rsidRPr="005771BD">
        <w:rPr>
          <w:rFonts w:eastAsia="Calibri" w:cs="Arial"/>
          <w:color w:val="000000"/>
          <w:szCs w:val="20"/>
          <w:vertAlign w:val="superscript"/>
          <w:lang w:val="sl-SI"/>
        </w:rPr>
        <w:t>3</w:t>
      </w:r>
      <w:r w:rsidRPr="005771BD">
        <w:rPr>
          <w:rFonts w:eastAsia="Calibri" w:cs="Arial"/>
          <w:color w:val="000000"/>
          <w:szCs w:val="20"/>
          <w:lang w:val="sl-SI"/>
        </w:rPr>
        <w:t>/s. Za primerjavo: največji pred tem izmerjeni pretok Drave je bil 2600 m</w:t>
      </w:r>
      <w:r w:rsidRPr="005771BD">
        <w:rPr>
          <w:rFonts w:eastAsia="Calibri" w:cs="Arial"/>
          <w:color w:val="000000"/>
          <w:szCs w:val="20"/>
          <w:vertAlign w:val="superscript"/>
          <w:lang w:val="sl-SI"/>
        </w:rPr>
        <w:t>3</w:t>
      </w:r>
      <w:r w:rsidRPr="005771BD">
        <w:rPr>
          <w:rFonts w:eastAsia="Calibri" w:cs="Arial"/>
          <w:color w:val="000000"/>
          <w:szCs w:val="20"/>
          <w:lang w:val="sl-SI"/>
        </w:rPr>
        <w:t>/s leta 1965, medtem ko je povprečni pretok Drave ocenjen na 300 m</w:t>
      </w:r>
      <w:r w:rsidRPr="005771BD">
        <w:rPr>
          <w:rFonts w:eastAsia="Calibri" w:cs="Arial"/>
          <w:color w:val="000000"/>
          <w:szCs w:val="20"/>
          <w:vertAlign w:val="superscript"/>
          <w:lang w:val="sl-SI"/>
        </w:rPr>
        <w:t>3</w:t>
      </w:r>
      <w:r w:rsidRPr="005771BD">
        <w:rPr>
          <w:rFonts w:eastAsia="Calibri" w:cs="Arial"/>
          <w:color w:val="000000"/>
          <w:szCs w:val="20"/>
          <w:lang w:val="sl-SI"/>
        </w:rPr>
        <w:t>/s.</w:t>
      </w:r>
      <w:r w:rsidR="006331C1" w:rsidRPr="006331C1">
        <w:rPr>
          <w:rFonts w:eastAsia="Calibri" w:cs="Arial"/>
          <w:color w:val="000000"/>
          <w:szCs w:val="20"/>
          <w:lang w:val="sl-SI"/>
        </w:rPr>
        <w:t xml:space="preserve"> </w:t>
      </w:r>
    </w:p>
    <w:p w:rsidR="006331C1" w:rsidRPr="005771BD" w:rsidRDefault="006331C1" w:rsidP="006331C1">
      <w:pPr>
        <w:autoSpaceDE w:val="0"/>
        <w:autoSpaceDN w:val="0"/>
        <w:adjustRightInd w:val="0"/>
        <w:spacing w:after="200" w:line="276" w:lineRule="auto"/>
        <w:jc w:val="both"/>
        <w:rPr>
          <w:rFonts w:eastAsia="Calibri" w:cs="Arial"/>
          <w:color w:val="000000"/>
          <w:szCs w:val="20"/>
          <w:lang w:val="sl-SI"/>
        </w:rPr>
      </w:pPr>
      <w:r w:rsidRPr="005771BD">
        <w:rPr>
          <w:rFonts w:eastAsia="Calibri" w:cs="Arial"/>
          <w:color w:val="000000"/>
          <w:szCs w:val="20"/>
          <w:lang w:val="sl-SI"/>
        </w:rPr>
        <w:t xml:space="preserve">V ponedeljek dopoldne so začeli poplavljati še pritoki Soče v zgornjem Posočju,  reke na Koroškem (Meža in Mislinja), Savinja v zgornjem toku s pritoki, Dravinja s pritoki, Sava Bohinjka, Sava Dolinka, Sotla s pritoki. Prihajalo je tudi do razlivanj manjših vodotokov in hudournikov. Proti večeru je začela poplavljati Sava v Zasavju in Posavju ter reka Mura znotraj protipoplavnih nasipov. </w:t>
      </w:r>
    </w:p>
    <w:p w:rsidR="006331C1" w:rsidRPr="005771BD" w:rsidRDefault="006331C1" w:rsidP="006331C1">
      <w:pPr>
        <w:autoSpaceDE w:val="0"/>
        <w:autoSpaceDN w:val="0"/>
        <w:adjustRightInd w:val="0"/>
        <w:spacing w:after="200" w:line="276" w:lineRule="auto"/>
        <w:jc w:val="both"/>
        <w:rPr>
          <w:rFonts w:eastAsia="Calibri" w:cs="Arial"/>
          <w:color w:val="000000"/>
          <w:szCs w:val="20"/>
          <w:lang w:val="sl-SI"/>
        </w:rPr>
      </w:pPr>
      <w:r w:rsidRPr="005771BD">
        <w:rPr>
          <w:rFonts w:eastAsia="Calibri" w:cs="Arial"/>
          <w:color w:val="000000"/>
          <w:szCs w:val="20"/>
          <w:lang w:val="sl-SI"/>
        </w:rPr>
        <w:t>Škoda</w:t>
      </w:r>
      <w:r>
        <w:rPr>
          <w:rFonts w:eastAsia="Calibri" w:cs="Arial"/>
          <w:color w:val="000000"/>
          <w:szCs w:val="20"/>
          <w:lang w:val="sl-SI"/>
        </w:rPr>
        <w:t>,</w:t>
      </w:r>
      <w:r w:rsidRPr="005771BD">
        <w:rPr>
          <w:rFonts w:eastAsia="Calibri" w:cs="Arial"/>
          <w:color w:val="000000"/>
          <w:szCs w:val="20"/>
          <w:lang w:val="sl-SI"/>
        </w:rPr>
        <w:t xml:space="preserve"> ki je nastala ob tem poplavnem dogodku</w:t>
      </w:r>
      <w:r>
        <w:rPr>
          <w:rFonts w:eastAsia="Calibri" w:cs="Arial"/>
          <w:color w:val="000000"/>
          <w:szCs w:val="20"/>
          <w:lang w:val="sl-SI"/>
        </w:rPr>
        <w:t>,</w:t>
      </w:r>
      <w:r w:rsidRPr="005771BD">
        <w:rPr>
          <w:rFonts w:eastAsia="Calibri" w:cs="Arial"/>
          <w:color w:val="000000"/>
          <w:szCs w:val="20"/>
          <w:lang w:val="sl-SI"/>
        </w:rPr>
        <w:t xml:space="preserve"> je bila ogromna, ocenjena je bila na </w:t>
      </w:r>
      <w:r>
        <w:rPr>
          <w:rFonts w:eastAsia="Calibri" w:cs="Arial"/>
          <w:color w:val="000000"/>
          <w:szCs w:val="20"/>
          <w:lang w:val="sl-SI"/>
        </w:rPr>
        <w:t>približno</w:t>
      </w:r>
      <w:r w:rsidRPr="005771BD">
        <w:rPr>
          <w:rFonts w:eastAsia="Calibri" w:cs="Arial"/>
          <w:color w:val="000000"/>
          <w:szCs w:val="20"/>
          <w:lang w:val="sl-SI"/>
        </w:rPr>
        <w:t xml:space="preserve"> 311 mio EUR.  Poplavljene so bile stanovanjske hiše, gospodarski objekti, prometnice in druga infrastruktura, porušila se je desna brežina Drave ob odvodnem kanalu HE Zlatoličje in brežina odvodnega kanala HE Formin.</w:t>
      </w:r>
    </w:p>
    <w:p w:rsidR="003C1B05" w:rsidRPr="005771BD" w:rsidRDefault="003C1B05" w:rsidP="003C1B05">
      <w:pPr>
        <w:autoSpaceDE w:val="0"/>
        <w:autoSpaceDN w:val="0"/>
        <w:adjustRightInd w:val="0"/>
        <w:spacing w:after="200" w:line="276" w:lineRule="auto"/>
        <w:jc w:val="both"/>
        <w:rPr>
          <w:rFonts w:eastAsia="Calibri" w:cs="Arial"/>
          <w:color w:val="000000"/>
          <w:szCs w:val="20"/>
          <w:lang w:val="sl-SI"/>
        </w:rPr>
      </w:pPr>
    </w:p>
    <w:p w:rsidR="003C1B05" w:rsidRPr="005771BD" w:rsidRDefault="003C1B05" w:rsidP="003C1B05">
      <w:pPr>
        <w:keepNext/>
        <w:autoSpaceDE w:val="0"/>
        <w:autoSpaceDN w:val="0"/>
        <w:adjustRightInd w:val="0"/>
        <w:spacing w:after="200" w:line="276" w:lineRule="auto"/>
        <w:jc w:val="center"/>
        <w:rPr>
          <w:rFonts w:eastAsia="Calibri" w:cs="Arial"/>
          <w:color w:val="000000"/>
          <w:szCs w:val="20"/>
          <w:lang w:val="sl-SI"/>
        </w:rPr>
      </w:pPr>
      <w:r w:rsidRPr="007F272F">
        <w:rPr>
          <w:rFonts w:eastAsia="Calibri" w:cs="Arial"/>
          <w:noProof/>
          <w:color w:val="000000"/>
          <w:szCs w:val="20"/>
          <w:lang w:val="sl-SI" w:eastAsia="sl-SI"/>
        </w:rPr>
        <w:drawing>
          <wp:inline distT="0" distB="0" distL="0" distR="0" wp14:anchorId="6BCB0757" wp14:editId="66E5860B">
            <wp:extent cx="4359859" cy="2454176"/>
            <wp:effectExtent l="0" t="0" r="3175" b="3810"/>
            <wp:docPr id="205" name="Slika 22" descr="Mala vas in Gajevci, fotografiral Denis Golob (SIP TV) in pilot Stanko Čuš (AK Ptuj), 6.11. 2012 med 10:44 in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la vas in Gajevci, fotografiral Denis Golob (SIP TV) in pilot Stanko Čuš (AK Ptuj), 6.11. 2012 med 10:44 in 10:57."/>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370401" cy="2460110"/>
                    </a:xfrm>
                    <a:prstGeom prst="rect">
                      <a:avLst/>
                    </a:prstGeom>
                    <a:ln>
                      <a:noFill/>
                    </a:ln>
                    <a:effectLst>
                      <a:softEdge rad="112500"/>
                    </a:effectLst>
                  </pic:spPr>
                </pic:pic>
              </a:graphicData>
            </a:graphic>
          </wp:inline>
        </w:drawing>
      </w:r>
    </w:p>
    <w:p w:rsidR="003C1B05" w:rsidRPr="005771BD" w:rsidRDefault="003C1B05" w:rsidP="003C1B05">
      <w:pPr>
        <w:spacing w:after="360" w:line="276" w:lineRule="auto"/>
        <w:rPr>
          <w:rFonts w:cs="Arial"/>
          <w:bCs/>
          <w:i/>
          <w:szCs w:val="20"/>
          <w:lang w:val="sl-SI" w:eastAsia="sl-SI"/>
        </w:rPr>
      </w:pPr>
      <w:r w:rsidRPr="005771BD">
        <w:rPr>
          <w:rFonts w:cs="Arial"/>
          <w:bCs/>
          <w:i/>
          <w:szCs w:val="20"/>
          <w:lang w:val="sl-SI" w:eastAsia="sl-SI"/>
        </w:rPr>
        <w:t>Slika 1</w:t>
      </w:r>
      <w:r w:rsidR="006331C1">
        <w:rPr>
          <w:rFonts w:cs="Arial"/>
          <w:bCs/>
          <w:i/>
          <w:szCs w:val="20"/>
          <w:lang w:val="sl-SI" w:eastAsia="sl-SI"/>
        </w:rPr>
        <w:t>4</w:t>
      </w:r>
      <w:r w:rsidRPr="005771BD">
        <w:rPr>
          <w:rFonts w:cs="Arial"/>
          <w:bCs/>
          <w:i/>
          <w:szCs w:val="20"/>
          <w:lang w:val="sl-SI" w:eastAsia="sl-SI"/>
        </w:rPr>
        <w:t>.12: Mala vas in Gajevci</w:t>
      </w:r>
      <w:r>
        <w:rPr>
          <w:rFonts w:cs="Arial"/>
          <w:bCs/>
          <w:i/>
          <w:szCs w:val="20"/>
          <w:lang w:val="sl-SI" w:eastAsia="sl-SI"/>
        </w:rPr>
        <w:t>,</w:t>
      </w:r>
      <w:r w:rsidRPr="005771BD">
        <w:rPr>
          <w:rFonts w:cs="Arial"/>
          <w:bCs/>
          <w:i/>
          <w:szCs w:val="20"/>
          <w:lang w:val="sl-SI" w:eastAsia="sl-SI"/>
        </w:rPr>
        <w:t xml:space="preserve"> 6. 11. 2012 (Vir: </w:t>
      </w:r>
      <w:hyperlink r:id="rId253" w:history="1">
        <w:r w:rsidRPr="005771BD">
          <w:rPr>
            <w:rFonts w:cs="Arial"/>
            <w:bCs/>
            <w:i/>
            <w:color w:val="0000FF"/>
            <w:szCs w:val="20"/>
            <w:u w:val="single"/>
            <w:lang w:val="sl-SI" w:eastAsia="sl-SI"/>
          </w:rPr>
          <w:t>http://www.gis.si/poplave-2012</w:t>
        </w:r>
      </w:hyperlink>
      <w:r w:rsidRPr="005771BD">
        <w:rPr>
          <w:rFonts w:cs="Arial"/>
          <w:bCs/>
          <w:i/>
          <w:szCs w:val="20"/>
          <w:lang w:val="sl-SI" w:eastAsia="sl-SI"/>
        </w:rPr>
        <w:t xml:space="preserve">  foto: D. Golob)</w:t>
      </w:r>
    </w:p>
    <w:p w:rsidR="003C1B05" w:rsidRPr="005771BD" w:rsidRDefault="003C1B05" w:rsidP="003C1B05">
      <w:pPr>
        <w:keepNext/>
        <w:keepLines/>
        <w:spacing w:before="480" w:after="200" w:line="276" w:lineRule="auto"/>
        <w:outlineLvl w:val="0"/>
        <w:rPr>
          <w:rFonts w:cs="Arial"/>
          <w:b/>
          <w:bCs/>
          <w:szCs w:val="20"/>
          <w:lang w:val="sl-SI"/>
        </w:rPr>
      </w:pPr>
      <w:r w:rsidRPr="005771BD">
        <w:rPr>
          <w:rFonts w:cs="Arial"/>
          <w:b/>
          <w:bCs/>
          <w:szCs w:val="20"/>
          <w:lang w:val="sl-SI"/>
        </w:rPr>
        <w:t>1</w:t>
      </w:r>
      <w:r w:rsidR="006331C1">
        <w:rPr>
          <w:rFonts w:cs="Arial"/>
          <w:b/>
          <w:bCs/>
          <w:szCs w:val="20"/>
          <w:lang w:val="sl-SI"/>
        </w:rPr>
        <w:t>4</w:t>
      </w:r>
      <w:r w:rsidRPr="005771BD">
        <w:rPr>
          <w:rFonts w:cs="Arial"/>
          <w:b/>
          <w:bCs/>
          <w:szCs w:val="20"/>
          <w:lang w:val="sl-SI"/>
        </w:rPr>
        <w:t xml:space="preserve">.2.5 Obvladovanje poplavne ogroženosti  </w:t>
      </w:r>
    </w:p>
    <w:p w:rsidR="003C1B05" w:rsidRPr="005771BD" w:rsidRDefault="003C1B05" w:rsidP="003C1B05">
      <w:pPr>
        <w:keepNext/>
        <w:keepLines/>
        <w:spacing w:after="200" w:line="276" w:lineRule="auto"/>
        <w:ind w:left="284" w:hanging="284"/>
        <w:outlineLvl w:val="1"/>
        <w:rPr>
          <w:rFonts w:cs="Arial"/>
          <w:bCs/>
          <w:i/>
          <w:szCs w:val="20"/>
          <w:u w:val="single"/>
          <w:lang w:val="sl-SI"/>
        </w:rPr>
      </w:pPr>
      <w:r w:rsidRPr="005771BD">
        <w:rPr>
          <w:rFonts w:cs="Arial"/>
          <w:bCs/>
          <w:i/>
          <w:szCs w:val="20"/>
          <w:u w:val="single"/>
          <w:lang w:val="sl-SI"/>
        </w:rPr>
        <w:t xml:space="preserve"> Analiza poplavnih tveganj  </w:t>
      </w:r>
    </w:p>
    <w:p w:rsidR="003C1B05" w:rsidRPr="005771BD" w:rsidRDefault="003C1B05" w:rsidP="003C1B05">
      <w:pPr>
        <w:shd w:val="clear" w:color="auto" w:fill="FFFFFF"/>
        <w:spacing w:after="200" w:line="276" w:lineRule="auto"/>
        <w:jc w:val="both"/>
        <w:rPr>
          <w:rFonts w:cs="Arial"/>
          <w:szCs w:val="20"/>
          <w:lang w:val="sl-SI" w:eastAsia="sl-SI"/>
        </w:rPr>
      </w:pPr>
      <w:r w:rsidRPr="005771BD">
        <w:rPr>
          <w:rFonts w:cs="Arial"/>
          <w:szCs w:val="20"/>
          <w:lang w:val="sl-SI" w:eastAsia="sl-SI"/>
        </w:rPr>
        <w:t>Poplave povzročajo smrtne žrtve, gospodarske izgube, družbene spremembe in okoljske posledice. Naravno okolje lahko ob poplavah ogrozijo okolju škodljive snovi, ki se sprostijo ob poškodbi ali uničenju objektov, kjer se predelujejo ali hranijo.</w:t>
      </w:r>
    </w:p>
    <w:p w:rsidR="003C1B05" w:rsidRPr="005771BD" w:rsidRDefault="003C1B05" w:rsidP="003C1B05">
      <w:pPr>
        <w:shd w:val="clear" w:color="auto" w:fill="FFFFFF"/>
        <w:spacing w:after="200" w:line="276" w:lineRule="auto"/>
        <w:jc w:val="both"/>
        <w:rPr>
          <w:rFonts w:cs="Arial"/>
          <w:szCs w:val="20"/>
          <w:lang w:val="sl-SI" w:eastAsia="sl-SI"/>
        </w:rPr>
      </w:pPr>
      <w:r w:rsidRPr="005771BD">
        <w:rPr>
          <w:rFonts w:cs="Arial"/>
          <w:szCs w:val="20"/>
          <w:lang w:val="sl-SI" w:eastAsia="sl-SI"/>
        </w:rPr>
        <w:t xml:space="preserve">Naravne pojave, ki jih opisujemo z </w:t>
      </w:r>
      <w:r w:rsidRPr="005771BD">
        <w:rPr>
          <w:rFonts w:cs="Arial"/>
          <w:szCs w:val="20"/>
          <w:u w:val="single"/>
          <w:lang w:val="sl-SI" w:eastAsia="sl-SI"/>
        </w:rPr>
        <w:t>obsegom, jakostjo in pogostostjo</w:t>
      </w:r>
      <w:r w:rsidRPr="005771BD">
        <w:rPr>
          <w:rFonts w:cs="Arial"/>
          <w:szCs w:val="20"/>
          <w:lang w:val="sl-SI" w:eastAsia="sl-SI"/>
        </w:rPr>
        <w:t xml:space="preserve">, na določenem območju zaznavamo kot </w:t>
      </w:r>
      <w:r w:rsidRPr="005771BD">
        <w:rPr>
          <w:rFonts w:cs="Arial"/>
          <w:szCs w:val="20"/>
          <w:u w:val="single"/>
          <w:lang w:val="sl-SI" w:eastAsia="sl-SI"/>
        </w:rPr>
        <w:t>naravne nevarnosti</w:t>
      </w:r>
      <w:r w:rsidRPr="005771BD">
        <w:rPr>
          <w:rFonts w:cs="Arial"/>
          <w:szCs w:val="20"/>
          <w:lang w:val="sl-SI" w:eastAsia="sl-SI"/>
        </w:rPr>
        <w:t xml:space="preserve">, medtem ko družbeno, gospodarsko in okoljsko ogroženost kakor tudi škodljive posledice naravnih dogodkov opredeljuje zlasti prisotnost, razporeditev in značilnosti </w:t>
      </w:r>
      <w:r w:rsidRPr="005771BD">
        <w:rPr>
          <w:rFonts w:cs="Arial"/>
          <w:szCs w:val="20"/>
          <w:u w:val="single"/>
          <w:lang w:val="sl-SI" w:eastAsia="sl-SI"/>
        </w:rPr>
        <w:t>škodnega potenciala</w:t>
      </w:r>
      <w:r w:rsidRPr="005771BD">
        <w:rPr>
          <w:rFonts w:cs="Arial"/>
          <w:szCs w:val="20"/>
          <w:lang w:val="sl-SI" w:eastAsia="sl-SI"/>
        </w:rPr>
        <w:t xml:space="preserve">. </w:t>
      </w:r>
    </w:p>
    <w:p w:rsidR="003C1B05" w:rsidRPr="005771BD" w:rsidRDefault="003C1B05" w:rsidP="003C1B05">
      <w:pPr>
        <w:shd w:val="clear" w:color="auto" w:fill="FFFFFF"/>
        <w:spacing w:after="200" w:line="276" w:lineRule="auto"/>
        <w:jc w:val="both"/>
        <w:rPr>
          <w:rFonts w:cs="Arial"/>
          <w:szCs w:val="20"/>
          <w:lang w:val="sl-SI" w:eastAsia="sl-SI"/>
        </w:rPr>
      </w:pPr>
      <w:r w:rsidRPr="005771BD">
        <w:rPr>
          <w:rFonts w:cs="Arial"/>
          <w:szCs w:val="20"/>
          <w:u w:val="single"/>
          <w:lang w:val="sl-SI" w:eastAsia="sl-SI"/>
        </w:rPr>
        <w:t>Nevarnost</w:t>
      </w:r>
      <w:r>
        <w:rPr>
          <w:rFonts w:cs="Arial"/>
          <w:szCs w:val="20"/>
          <w:u w:val="single"/>
          <w:lang w:val="sl-SI" w:eastAsia="sl-SI"/>
        </w:rPr>
        <w:t xml:space="preserve"> zaradi</w:t>
      </w:r>
      <w:r w:rsidRPr="005771BD">
        <w:rPr>
          <w:rFonts w:cs="Arial"/>
          <w:szCs w:val="20"/>
          <w:lang w:val="sl-SI" w:eastAsia="sl-SI"/>
        </w:rPr>
        <w:t xml:space="preserve"> naravnih dogodkov se bo tudi v prihodnje verjetno povečeval</w:t>
      </w:r>
      <w:r>
        <w:rPr>
          <w:rFonts w:cs="Arial"/>
          <w:szCs w:val="20"/>
          <w:lang w:val="sl-SI" w:eastAsia="sl-SI"/>
        </w:rPr>
        <w:t>a</w:t>
      </w:r>
      <w:r w:rsidRPr="005771BD">
        <w:rPr>
          <w:rFonts w:cs="Arial"/>
          <w:szCs w:val="20"/>
          <w:lang w:val="sl-SI" w:eastAsia="sl-SI"/>
        </w:rPr>
        <w:t xml:space="preserve"> zaradi spreminjanja podnebnih razmer</w:t>
      </w:r>
      <w:r>
        <w:rPr>
          <w:rFonts w:cs="Arial"/>
          <w:szCs w:val="20"/>
          <w:lang w:val="sl-SI" w:eastAsia="sl-SI"/>
        </w:rPr>
        <w:t xml:space="preserve"> in</w:t>
      </w:r>
      <w:r w:rsidRPr="005771BD">
        <w:rPr>
          <w:rFonts w:cs="Arial"/>
          <w:szCs w:val="20"/>
          <w:lang w:val="sl-SI" w:eastAsia="sl-SI"/>
        </w:rPr>
        <w:t xml:space="preserve"> neustreznega upravljanja porečij. Ob sočasnem povečevanju škodn</w:t>
      </w:r>
      <w:r>
        <w:rPr>
          <w:rFonts w:cs="Arial"/>
          <w:szCs w:val="20"/>
          <w:lang w:val="sl-SI" w:eastAsia="sl-SI"/>
        </w:rPr>
        <w:t>ih dogodkov</w:t>
      </w:r>
      <w:r w:rsidRPr="005771BD">
        <w:rPr>
          <w:rFonts w:cs="Arial"/>
          <w:szCs w:val="20"/>
          <w:lang w:val="sl-SI" w:eastAsia="sl-SI"/>
        </w:rPr>
        <w:t xml:space="preserve"> zaradi širjenja urbanizacije lahko pričakujemo tudi pogostejš</w:t>
      </w:r>
      <w:r>
        <w:rPr>
          <w:rFonts w:cs="Arial"/>
          <w:szCs w:val="20"/>
          <w:lang w:val="sl-SI" w:eastAsia="sl-SI"/>
        </w:rPr>
        <w:t>a nasprotja</w:t>
      </w:r>
      <w:r w:rsidRPr="005771BD">
        <w:rPr>
          <w:rFonts w:cs="Arial"/>
          <w:szCs w:val="20"/>
          <w:lang w:val="sl-SI" w:eastAsia="sl-SI"/>
        </w:rPr>
        <w:t xml:space="preserve"> interesov, ki ga bo treb</w:t>
      </w:r>
      <w:r>
        <w:rPr>
          <w:rFonts w:cs="Arial"/>
          <w:szCs w:val="20"/>
          <w:lang w:val="sl-SI" w:eastAsia="sl-SI"/>
        </w:rPr>
        <w:t>a</w:t>
      </w:r>
      <w:r w:rsidRPr="005771BD">
        <w:rPr>
          <w:rFonts w:cs="Arial"/>
          <w:szCs w:val="20"/>
          <w:lang w:val="sl-SI" w:eastAsia="sl-SI"/>
        </w:rPr>
        <w:t xml:space="preserve"> upoštevati pri načrtovanju upravljanja voda tudi </w:t>
      </w:r>
      <w:r>
        <w:rPr>
          <w:rFonts w:cs="Arial"/>
          <w:szCs w:val="20"/>
          <w:lang w:val="sl-SI" w:eastAsia="sl-SI"/>
        </w:rPr>
        <w:t xml:space="preserve">z </w:t>
      </w:r>
      <w:r w:rsidRPr="005771BD">
        <w:rPr>
          <w:rFonts w:cs="Arial"/>
          <w:szCs w:val="20"/>
          <w:lang w:val="sl-SI" w:eastAsia="sl-SI"/>
        </w:rPr>
        <w:t>analizo in ob</w:t>
      </w:r>
      <w:r>
        <w:rPr>
          <w:rFonts w:cs="Arial"/>
          <w:szCs w:val="20"/>
          <w:lang w:val="sl-SI" w:eastAsia="sl-SI"/>
        </w:rPr>
        <w:t>v</w:t>
      </w:r>
      <w:r w:rsidRPr="005771BD">
        <w:rPr>
          <w:rFonts w:cs="Arial"/>
          <w:szCs w:val="20"/>
          <w:lang w:val="sl-SI" w:eastAsia="sl-SI"/>
        </w:rPr>
        <w:t>ladovanje</w:t>
      </w:r>
      <w:r>
        <w:rPr>
          <w:rFonts w:cs="Arial"/>
          <w:szCs w:val="20"/>
          <w:lang w:val="sl-SI" w:eastAsia="sl-SI"/>
        </w:rPr>
        <w:t>m</w:t>
      </w:r>
      <w:r w:rsidRPr="005771BD">
        <w:rPr>
          <w:rFonts w:cs="Arial"/>
          <w:szCs w:val="20"/>
          <w:lang w:val="sl-SI" w:eastAsia="sl-SI"/>
        </w:rPr>
        <w:t xml:space="preserve"> poplavnih tveganj.</w:t>
      </w:r>
    </w:p>
    <w:p w:rsidR="003C1B05" w:rsidRPr="005771BD" w:rsidRDefault="003C1B05" w:rsidP="003C1B05">
      <w:pPr>
        <w:shd w:val="clear" w:color="auto" w:fill="FFFFFF"/>
        <w:spacing w:after="200" w:line="276" w:lineRule="auto"/>
        <w:jc w:val="both"/>
        <w:rPr>
          <w:rFonts w:cs="Arial"/>
          <w:szCs w:val="20"/>
          <w:lang w:val="sl-SI" w:eastAsia="sl-SI"/>
        </w:rPr>
      </w:pPr>
      <w:r w:rsidRPr="005771BD">
        <w:rPr>
          <w:rFonts w:cs="Arial"/>
          <w:szCs w:val="20"/>
          <w:u w:val="single"/>
          <w:lang w:val="sl-SI" w:eastAsia="sl-SI"/>
        </w:rPr>
        <w:t>Poplavna škoda</w:t>
      </w:r>
      <w:r w:rsidRPr="005771BD">
        <w:rPr>
          <w:rFonts w:cs="Arial"/>
          <w:szCs w:val="20"/>
          <w:lang w:val="sl-SI" w:eastAsia="sl-SI"/>
        </w:rPr>
        <w:t xml:space="preserve"> nastane zaradi udejanjene poplavne nevarnosti, ki jo </w:t>
      </w:r>
      <w:r>
        <w:rPr>
          <w:rFonts w:cs="Arial"/>
          <w:szCs w:val="20"/>
          <w:lang w:val="sl-SI" w:eastAsia="sl-SI"/>
        </w:rPr>
        <w:t>običajno opredelimo</w:t>
      </w:r>
      <w:r w:rsidRPr="005771BD">
        <w:rPr>
          <w:rFonts w:cs="Arial"/>
          <w:szCs w:val="20"/>
          <w:lang w:val="sl-SI" w:eastAsia="sl-SI"/>
        </w:rPr>
        <w:t xml:space="preserve"> z njeno jakostjo in pogostostjo nast</w:t>
      </w:r>
      <w:r>
        <w:rPr>
          <w:rFonts w:cs="Arial"/>
          <w:szCs w:val="20"/>
          <w:lang w:val="sl-SI" w:eastAsia="sl-SI"/>
        </w:rPr>
        <w:t>anka</w:t>
      </w:r>
      <w:r w:rsidRPr="005771BD">
        <w:rPr>
          <w:rFonts w:cs="Arial"/>
          <w:szCs w:val="20"/>
          <w:lang w:val="sl-SI" w:eastAsia="sl-SI"/>
        </w:rPr>
        <w:t xml:space="preserve"> na določenem območju. Naravnega pojava ali dogodka (poplava, potres, požar, nevihta, zemeljski plaz ipd.), ki v območju svojega delovanja družbi ne povzroča škode, ne moremo šteti za nevarnost, podobno kot škoda ne nastane, če na vplivnem območju naravne nevarnosti ni </w:t>
      </w:r>
      <w:r>
        <w:rPr>
          <w:rFonts w:cs="Arial"/>
          <w:szCs w:val="20"/>
          <w:lang w:val="sl-SI" w:eastAsia="sl-SI"/>
        </w:rPr>
        <w:t>možnosti</w:t>
      </w:r>
      <w:r w:rsidRPr="005771BD">
        <w:rPr>
          <w:rFonts w:cs="Arial"/>
          <w:szCs w:val="20"/>
          <w:lang w:val="sl-SI" w:eastAsia="sl-SI"/>
        </w:rPr>
        <w:t xml:space="preserve"> za nastanek škode. Nevarnostni potencial naravnih dogodkov je skupek vseh verjetnih nevarnostnih scenarijev na izbranem območju, škodni potencial pa skupek možnih škodnih izidov ob nastopu določene nevarnosti, ki ga opredeljuje izpostavljenost, velikost, razporeditev, ranljivost</w:t>
      </w:r>
      <w:r>
        <w:rPr>
          <w:rFonts w:cs="Arial"/>
          <w:szCs w:val="20"/>
          <w:lang w:val="sl-SI" w:eastAsia="sl-SI"/>
        </w:rPr>
        <w:t xml:space="preserve"> oziroma </w:t>
      </w:r>
      <w:r w:rsidRPr="005771BD">
        <w:rPr>
          <w:rFonts w:cs="Arial"/>
          <w:szCs w:val="20"/>
          <w:lang w:val="sl-SI" w:eastAsia="sl-SI"/>
        </w:rPr>
        <w:t xml:space="preserve">odpornost in vrednost fizičnih gradnikov prostora. </w:t>
      </w:r>
    </w:p>
    <w:p w:rsidR="003C1B05" w:rsidRPr="005771BD" w:rsidRDefault="003C1B05" w:rsidP="003C1B05">
      <w:pPr>
        <w:shd w:val="clear" w:color="auto" w:fill="FFFFFF"/>
        <w:spacing w:after="200" w:line="276" w:lineRule="auto"/>
        <w:jc w:val="both"/>
        <w:rPr>
          <w:rFonts w:cs="Arial"/>
          <w:szCs w:val="20"/>
          <w:lang w:val="sl-SI" w:eastAsia="sl-SI"/>
        </w:rPr>
      </w:pPr>
      <w:r w:rsidRPr="005771BD">
        <w:rPr>
          <w:rFonts w:cs="Arial"/>
          <w:szCs w:val="20"/>
          <w:lang w:val="sl-SI" w:eastAsia="sl-SI"/>
        </w:rPr>
        <w:t>Prostorsko in časovno sovpadanje obeh potencialov povzroča družbeno, gospodarsko, okoljsko in kulturno ogroženost gradnikov prostora in subjektivno tveganost ohranitve državne, regijske</w:t>
      </w:r>
      <w:r>
        <w:rPr>
          <w:rFonts w:cs="Arial"/>
          <w:szCs w:val="20"/>
          <w:lang w:val="sl-SI" w:eastAsia="sl-SI"/>
        </w:rPr>
        <w:t xml:space="preserve"> in</w:t>
      </w:r>
      <w:r w:rsidRPr="005771BD">
        <w:rPr>
          <w:rFonts w:cs="Arial"/>
          <w:szCs w:val="20"/>
          <w:lang w:val="sl-SI" w:eastAsia="sl-SI"/>
        </w:rPr>
        <w:t xml:space="preserve"> občinske stabilnosti ali stabilnosti skupnosti oziroma posameznikov. </w:t>
      </w:r>
    </w:p>
    <w:p w:rsidR="003C1B05" w:rsidRPr="005771BD" w:rsidRDefault="003C1B05" w:rsidP="003C1B05">
      <w:pPr>
        <w:shd w:val="clear" w:color="auto" w:fill="FFFFFF"/>
        <w:spacing w:after="200" w:line="276" w:lineRule="auto"/>
        <w:jc w:val="both"/>
        <w:rPr>
          <w:rFonts w:cs="Arial"/>
          <w:szCs w:val="20"/>
          <w:lang w:val="sl-SI" w:eastAsia="sl-SI"/>
        </w:rPr>
      </w:pPr>
      <w:r>
        <w:rPr>
          <w:rFonts w:cs="Arial"/>
          <w:szCs w:val="20"/>
          <w:lang w:val="sl-SI" w:eastAsia="sl-SI"/>
        </w:rPr>
        <w:t>Temeljni</w:t>
      </w:r>
      <w:r w:rsidRPr="005771BD">
        <w:rPr>
          <w:rFonts w:cs="Arial"/>
          <w:szCs w:val="20"/>
          <w:lang w:val="sl-SI" w:eastAsia="sl-SI"/>
        </w:rPr>
        <w:t xml:space="preserve"> pojmi analize tveganj so: </w:t>
      </w:r>
      <w:r w:rsidRPr="005771BD">
        <w:rPr>
          <w:rFonts w:cs="Arial"/>
          <w:b/>
          <w:szCs w:val="20"/>
          <w:lang w:val="sl-SI" w:eastAsia="sl-SI"/>
        </w:rPr>
        <w:t>nevarnost</w:t>
      </w:r>
      <w:r w:rsidRPr="005771BD">
        <w:rPr>
          <w:rFonts w:cs="Arial"/>
          <w:szCs w:val="20"/>
          <w:lang w:val="sl-SI" w:eastAsia="sl-SI"/>
        </w:rPr>
        <w:t xml:space="preserve">; naravni pojav, ki lahko na izbranem območju povzroči škodo, </w:t>
      </w:r>
      <w:r w:rsidRPr="005771BD">
        <w:rPr>
          <w:rFonts w:cs="Arial"/>
          <w:b/>
          <w:szCs w:val="20"/>
          <w:lang w:val="sl-SI" w:eastAsia="sl-SI"/>
        </w:rPr>
        <w:t>ogroženost</w:t>
      </w:r>
      <w:r w:rsidRPr="005771BD">
        <w:rPr>
          <w:rFonts w:cs="Arial"/>
          <w:szCs w:val="20"/>
          <w:lang w:val="sl-SI" w:eastAsia="sl-SI"/>
        </w:rPr>
        <w:t xml:space="preserve">; okoljsko stanje, ki </w:t>
      </w:r>
      <w:r>
        <w:rPr>
          <w:rFonts w:cs="Arial"/>
          <w:szCs w:val="20"/>
          <w:lang w:val="sl-SI" w:eastAsia="sl-SI"/>
        </w:rPr>
        <w:t>nastane</w:t>
      </w:r>
      <w:r w:rsidRPr="005771BD">
        <w:rPr>
          <w:rFonts w:cs="Arial"/>
          <w:szCs w:val="20"/>
          <w:lang w:val="sl-SI" w:eastAsia="sl-SI"/>
        </w:rPr>
        <w:t xml:space="preserve"> zaradi časovno-prostorskega sovpadanja </w:t>
      </w:r>
      <w:r>
        <w:rPr>
          <w:rFonts w:cs="Arial"/>
          <w:szCs w:val="20"/>
          <w:lang w:val="sl-SI" w:eastAsia="sl-SI"/>
        </w:rPr>
        <w:t xml:space="preserve">možne </w:t>
      </w:r>
      <w:r w:rsidRPr="005771BD">
        <w:rPr>
          <w:rFonts w:cs="Arial"/>
          <w:szCs w:val="20"/>
          <w:lang w:val="sl-SI" w:eastAsia="sl-SI"/>
        </w:rPr>
        <w:t>nevarn</w:t>
      </w:r>
      <w:r>
        <w:rPr>
          <w:rFonts w:cs="Arial"/>
          <w:szCs w:val="20"/>
          <w:lang w:val="sl-SI" w:eastAsia="sl-SI"/>
        </w:rPr>
        <w:t>osti</w:t>
      </w:r>
      <w:r w:rsidRPr="005771BD">
        <w:rPr>
          <w:rFonts w:cs="Arial"/>
          <w:szCs w:val="20"/>
          <w:lang w:val="sl-SI" w:eastAsia="sl-SI"/>
        </w:rPr>
        <w:t xml:space="preserve"> in škod</w:t>
      </w:r>
      <w:r>
        <w:rPr>
          <w:rFonts w:cs="Arial"/>
          <w:szCs w:val="20"/>
          <w:lang w:val="sl-SI" w:eastAsia="sl-SI"/>
        </w:rPr>
        <w:t>e,</w:t>
      </w:r>
      <w:r w:rsidRPr="005771BD">
        <w:rPr>
          <w:rFonts w:cs="Arial"/>
          <w:szCs w:val="20"/>
          <w:lang w:val="sl-SI" w:eastAsia="sl-SI"/>
        </w:rPr>
        <w:t xml:space="preserve"> </w:t>
      </w:r>
      <w:r>
        <w:rPr>
          <w:rFonts w:cs="Arial"/>
          <w:szCs w:val="20"/>
          <w:lang w:val="sl-SI" w:eastAsia="sl-SI"/>
        </w:rPr>
        <w:t>ter</w:t>
      </w:r>
      <w:r w:rsidRPr="005771BD">
        <w:rPr>
          <w:rFonts w:cs="Arial"/>
          <w:szCs w:val="20"/>
          <w:lang w:val="sl-SI" w:eastAsia="sl-SI"/>
        </w:rPr>
        <w:t xml:space="preserve"> </w:t>
      </w:r>
      <w:r w:rsidRPr="005771BD">
        <w:rPr>
          <w:rFonts w:cs="Arial"/>
          <w:b/>
          <w:szCs w:val="20"/>
          <w:lang w:val="sl-SI" w:eastAsia="sl-SI"/>
        </w:rPr>
        <w:t xml:space="preserve">tveganost; </w:t>
      </w:r>
      <w:r w:rsidRPr="005771BD">
        <w:rPr>
          <w:rFonts w:cs="Arial"/>
          <w:szCs w:val="20"/>
          <w:lang w:val="sl-SI" w:eastAsia="sl-SI"/>
        </w:rPr>
        <w:t xml:space="preserve">družbenogospodarska </w:t>
      </w:r>
      <w:r>
        <w:rPr>
          <w:rFonts w:cs="Arial"/>
          <w:szCs w:val="20"/>
          <w:lang w:val="sl-SI" w:eastAsia="sl-SI"/>
        </w:rPr>
        <w:t>razsežnost</w:t>
      </w:r>
      <w:r w:rsidRPr="005771BD">
        <w:rPr>
          <w:rFonts w:cs="Arial"/>
          <w:szCs w:val="20"/>
          <w:lang w:val="sl-SI" w:eastAsia="sl-SI"/>
        </w:rPr>
        <w:t xml:space="preserve"> ogroženosti.</w:t>
      </w:r>
    </w:p>
    <w:p w:rsidR="003C1B05" w:rsidRPr="005771BD" w:rsidRDefault="003C1B05" w:rsidP="003C1B05">
      <w:pPr>
        <w:shd w:val="clear" w:color="auto" w:fill="FFFFFF"/>
        <w:spacing w:after="200" w:line="276" w:lineRule="auto"/>
        <w:jc w:val="both"/>
        <w:rPr>
          <w:rFonts w:cs="Arial"/>
          <w:szCs w:val="20"/>
          <w:lang w:val="sl-SI" w:eastAsia="sl-SI"/>
        </w:rPr>
      </w:pPr>
      <w:r w:rsidRPr="005771BD">
        <w:rPr>
          <w:rFonts w:cs="Arial"/>
          <w:szCs w:val="20"/>
          <w:lang w:val="sl-SI" w:eastAsia="sl-SI"/>
        </w:rPr>
        <w:t xml:space="preserve">Določitev sprejemljive ravni tveganosti za državo je ključnega pomena za preventivno obvladovanje tveganj zaradi poplav. </w:t>
      </w:r>
    </w:p>
    <w:p w:rsidR="003C1B05" w:rsidRPr="005771BD" w:rsidRDefault="003C1B05" w:rsidP="003C1B05">
      <w:pPr>
        <w:keepNext/>
        <w:keepLines/>
        <w:spacing w:after="200" w:line="276" w:lineRule="auto"/>
        <w:outlineLvl w:val="1"/>
        <w:rPr>
          <w:rFonts w:cs="Arial"/>
          <w:bCs/>
          <w:i/>
          <w:szCs w:val="20"/>
          <w:u w:val="single"/>
          <w:lang w:val="sl-SI"/>
        </w:rPr>
      </w:pPr>
      <w:r w:rsidRPr="005771BD">
        <w:rPr>
          <w:rFonts w:cs="Arial"/>
          <w:bCs/>
          <w:i/>
          <w:szCs w:val="20"/>
          <w:u w:val="single"/>
          <w:lang w:val="sl-SI"/>
        </w:rPr>
        <w:t xml:space="preserve">Zmanjševanje posledic poplav </w:t>
      </w:r>
    </w:p>
    <w:p w:rsidR="003C1B05" w:rsidRPr="005771BD" w:rsidRDefault="003C1B05" w:rsidP="003C1B05">
      <w:pPr>
        <w:spacing w:after="200" w:line="276" w:lineRule="auto"/>
        <w:jc w:val="both"/>
        <w:rPr>
          <w:rFonts w:cs="Arial"/>
          <w:szCs w:val="20"/>
          <w:lang w:val="sl-SI" w:eastAsia="sl-SI"/>
        </w:rPr>
      </w:pPr>
      <w:r w:rsidRPr="005771BD">
        <w:rPr>
          <w:rFonts w:cs="Arial"/>
          <w:szCs w:val="20"/>
          <w:lang w:val="sl-SI" w:eastAsia="sl-SI"/>
        </w:rPr>
        <w:t xml:space="preserve">Obvladovanje poplavne ogroženosti je izredno pomemben </w:t>
      </w:r>
      <w:r>
        <w:rPr>
          <w:rFonts w:cs="Arial"/>
          <w:szCs w:val="20"/>
          <w:lang w:val="sl-SI" w:eastAsia="sl-SI"/>
        </w:rPr>
        <w:t>del</w:t>
      </w:r>
      <w:r w:rsidRPr="005771BD">
        <w:rPr>
          <w:rFonts w:cs="Arial"/>
          <w:szCs w:val="20"/>
          <w:lang w:val="sl-SI" w:eastAsia="sl-SI"/>
        </w:rPr>
        <w:t xml:space="preserve"> upravljanja voda, ki ob upoštevanju dejstva, da se poplav ne da v celoti preprečiti oz</w:t>
      </w:r>
      <w:r>
        <w:rPr>
          <w:rFonts w:cs="Arial"/>
          <w:szCs w:val="20"/>
          <w:lang w:val="sl-SI" w:eastAsia="sl-SI"/>
        </w:rPr>
        <w:t>iroma da ni mogoče</w:t>
      </w:r>
      <w:r w:rsidRPr="005771BD">
        <w:rPr>
          <w:rFonts w:cs="Arial"/>
          <w:szCs w:val="20"/>
          <w:lang w:val="sl-SI" w:eastAsia="sl-SI"/>
        </w:rPr>
        <w:t xml:space="preserve"> biti pred njimi popolnoma varen, vključuje aktivnosti, ki pripomorejo k zmanjševanju verjetnosti nast</w:t>
      </w:r>
      <w:r>
        <w:rPr>
          <w:rFonts w:cs="Arial"/>
          <w:szCs w:val="20"/>
          <w:lang w:val="sl-SI" w:eastAsia="sl-SI"/>
        </w:rPr>
        <w:t>anka</w:t>
      </w:r>
      <w:r w:rsidRPr="005771BD">
        <w:rPr>
          <w:rFonts w:cs="Arial"/>
          <w:szCs w:val="20"/>
          <w:lang w:val="sl-SI" w:eastAsia="sl-SI"/>
        </w:rPr>
        <w:t xml:space="preserve"> poplav in morebitnih posledic poplav. Pristopi k obvladovanju poplavne ogroženosti so lahko zelo različni, enot</w:t>
      </w:r>
      <w:r>
        <w:rPr>
          <w:rFonts w:cs="Arial"/>
          <w:szCs w:val="20"/>
          <w:lang w:val="sl-SI" w:eastAsia="sl-SI"/>
        </w:rPr>
        <w:t>ni</w:t>
      </w:r>
      <w:r w:rsidRPr="005771BD">
        <w:rPr>
          <w:rFonts w:cs="Arial"/>
          <w:szCs w:val="20"/>
          <w:lang w:val="sl-SI" w:eastAsia="sl-SI"/>
        </w:rPr>
        <w:t xml:space="preserve"> okvir na tem področju z upoštevanjem stanja znanosti in stroke na ravni EU določa t.</w:t>
      </w:r>
      <w:r>
        <w:rPr>
          <w:rFonts w:cs="Arial"/>
          <w:szCs w:val="20"/>
          <w:lang w:val="sl-SI" w:eastAsia="sl-SI"/>
        </w:rPr>
        <w:t xml:space="preserve"> </w:t>
      </w:r>
      <w:r w:rsidRPr="005771BD">
        <w:rPr>
          <w:rFonts w:cs="Arial"/>
          <w:szCs w:val="20"/>
          <w:lang w:val="sl-SI" w:eastAsia="sl-SI"/>
        </w:rPr>
        <w:t xml:space="preserve">i. poplavna direktiva (Direktiva 2007/60/ES Evropskega parlamenta in Sveta z dne 23. oktobra 2007 o oceni in obvladovanju poplavne ogroženosti).   </w:t>
      </w:r>
    </w:p>
    <w:p w:rsidR="003C1B05" w:rsidRPr="005771BD" w:rsidRDefault="003C1B05" w:rsidP="003C1B05">
      <w:pPr>
        <w:spacing w:after="200" w:line="276" w:lineRule="auto"/>
        <w:jc w:val="both"/>
        <w:rPr>
          <w:rFonts w:cs="Arial"/>
          <w:szCs w:val="20"/>
          <w:lang w:val="sl-SI" w:eastAsia="sl-SI"/>
        </w:rPr>
      </w:pPr>
      <w:r w:rsidRPr="005771BD">
        <w:rPr>
          <w:rFonts w:cs="Arial"/>
          <w:szCs w:val="20"/>
          <w:lang w:val="sl-SI" w:eastAsia="sl-SI"/>
        </w:rPr>
        <w:t>V Sloveniji smo v letu 2012 zaključili t.</w:t>
      </w:r>
      <w:r>
        <w:rPr>
          <w:rFonts w:cs="Arial"/>
          <w:szCs w:val="20"/>
          <w:lang w:val="sl-SI" w:eastAsia="sl-SI"/>
        </w:rPr>
        <w:t xml:space="preserve"> </w:t>
      </w:r>
      <w:r w:rsidRPr="005771BD">
        <w:rPr>
          <w:rFonts w:cs="Arial"/>
          <w:szCs w:val="20"/>
          <w:lang w:val="sl-SI" w:eastAsia="sl-SI"/>
        </w:rPr>
        <w:t xml:space="preserve">i. </w:t>
      </w:r>
      <w:r w:rsidRPr="005771BD">
        <w:rPr>
          <w:rFonts w:cs="Arial"/>
          <w:szCs w:val="20"/>
          <w:u w:val="single"/>
          <w:lang w:val="sl-SI" w:eastAsia="sl-SI"/>
        </w:rPr>
        <w:t>predhodno oceno poplavne ogroženosti</w:t>
      </w:r>
      <w:r w:rsidRPr="005771BD">
        <w:rPr>
          <w:rFonts w:cs="Arial"/>
          <w:szCs w:val="20"/>
          <w:lang w:val="sl-SI" w:eastAsia="sl-SI"/>
        </w:rPr>
        <w:t>, s katero smo prepoznali poplavno ogroženost z vidika zdravja ljudi, gospodarstva, kulturne dediščine in okolja</w:t>
      </w:r>
      <w:r>
        <w:rPr>
          <w:rFonts w:cs="Arial"/>
          <w:szCs w:val="20"/>
          <w:lang w:val="sl-SI" w:eastAsia="sl-SI"/>
        </w:rPr>
        <w:t xml:space="preserve"> </w:t>
      </w:r>
      <w:r w:rsidRPr="005771BD">
        <w:rPr>
          <w:rFonts w:cs="Arial"/>
          <w:szCs w:val="20"/>
          <w:lang w:val="sl-SI" w:eastAsia="sl-SI"/>
        </w:rPr>
        <w:t>ter določili območja pomembnega vpliva poplav</w:t>
      </w:r>
      <w:r w:rsidRPr="005771BD">
        <w:rPr>
          <w:rFonts w:eastAsia="Calibri" w:cs="Arial"/>
          <w:szCs w:val="20"/>
          <w:vertAlign w:val="superscript"/>
          <w:lang w:val="sl-SI"/>
        </w:rPr>
        <w:footnoteReference w:id="53"/>
      </w:r>
      <w:r w:rsidRPr="005771BD">
        <w:rPr>
          <w:rFonts w:eastAsia="Calibri" w:cs="Arial"/>
          <w:szCs w:val="20"/>
          <w:lang w:val="sl-SI"/>
        </w:rPr>
        <w:t xml:space="preserve">. </w:t>
      </w:r>
      <w:r w:rsidRPr="005771BD">
        <w:rPr>
          <w:rFonts w:cs="Arial"/>
          <w:szCs w:val="20"/>
          <w:u w:val="single"/>
          <w:lang w:val="sl-SI" w:eastAsia="sl-SI"/>
        </w:rPr>
        <w:t>Območja pomembnega vpliva poplav</w:t>
      </w:r>
      <w:r w:rsidRPr="005771BD">
        <w:rPr>
          <w:rFonts w:cs="Arial"/>
          <w:szCs w:val="20"/>
          <w:lang w:val="sl-SI" w:eastAsia="sl-SI"/>
        </w:rPr>
        <w:t xml:space="preserve"> </w:t>
      </w:r>
      <w:r>
        <w:rPr>
          <w:rFonts w:cs="Arial"/>
          <w:szCs w:val="20"/>
          <w:lang w:val="sl-SI" w:eastAsia="sl-SI"/>
        </w:rPr>
        <w:t>so tista</w:t>
      </w:r>
      <w:r w:rsidRPr="005771BD">
        <w:rPr>
          <w:rFonts w:cs="Arial"/>
          <w:szCs w:val="20"/>
          <w:lang w:val="sl-SI" w:eastAsia="sl-SI"/>
        </w:rPr>
        <w:t>, kjer lahko ob poplav</w:t>
      </w:r>
      <w:r>
        <w:rPr>
          <w:rFonts w:cs="Arial"/>
          <w:szCs w:val="20"/>
          <w:lang w:val="sl-SI" w:eastAsia="sl-SI"/>
        </w:rPr>
        <w:t>ah</w:t>
      </w:r>
      <w:r w:rsidRPr="005771BD">
        <w:rPr>
          <w:rFonts w:cs="Arial"/>
          <w:szCs w:val="20"/>
          <w:lang w:val="sl-SI" w:eastAsia="sl-SI"/>
        </w:rPr>
        <w:t xml:space="preserve"> pride do večjih škodljivih posledic </w:t>
      </w:r>
      <w:r>
        <w:rPr>
          <w:rFonts w:cs="Arial"/>
          <w:szCs w:val="20"/>
          <w:lang w:val="sl-SI" w:eastAsia="sl-SI"/>
        </w:rPr>
        <w:t>za</w:t>
      </w:r>
      <w:r w:rsidRPr="005771BD">
        <w:rPr>
          <w:rFonts w:cs="Arial"/>
          <w:szCs w:val="20"/>
          <w:lang w:val="sl-SI" w:eastAsia="sl-SI"/>
        </w:rPr>
        <w:t xml:space="preserve"> zdravj</w:t>
      </w:r>
      <w:r>
        <w:rPr>
          <w:rFonts w:cs="Arial"/>
          <w:szCs w:val="20"/>
          <w:lang w:val="sl-SI" w:eastAsia="sl-SI"/>
        </w:rPr>
        <w:t>e</w:t>
      </w:r>
      <w:r w:rsidRPr="005771BD">
        <w:rPr>
          <w:rFonts w:cs="Arial"/>
          <w:szCs w:val="20"/>
          <w:lang w:val="sl-SI" w:eastAsia="sl-SI"/>
        </w:rPr>
        <w:t xml:space="preserve"> ljudi</w:t>
      </w:r>
      <w:r w:rsidRPr="005771BD">
        <w:rPr>
          <w:rFonts w:eastAsia="Calibri" w:cs="Arial"/>
          <w:szCs w:val="20"/>
          <w:vertAlign w:val="superscript"/>
          <w:lang w:val="sl-SI"/>
        </w:rPr>
        <w:footnoteReference w:id="54"/>
      </w:r>
      <w:r w:rsidRPr="005771BD">
        <w:rPr>
          <w:rFonts w:cs="Arial"/>
          <w:szCs w:val="20"/>
          <w:lang w:val="sl-SI" w:eastAsia="sl-SI"/>
        </w:rPr>
        <w:t>, gospodarstv</w:t>
      </w:r>
      <w:r>
        <w:rPr>
          <w:rFonts w:cs="Arial"/>
          <w:szCs w:val="20"/>
          <w:lang w:val="sl-SI" w:eastAsia="sl-SI"/>
        </w:rPr>
        <w:t>o</w:t>
      </w:r>
      <w:r w:rsidRPr="005771BD">
        <w:rPr>
          <w:rFonts w:eastAsia="Calibri" w:cs="Arial"/>
          <w:szCs w:val="20"/>
          <w:vertAlign w:val="superscript"/>
          <w:lang w:val="sl-SI"/>
        </w:rPr>
        <w:footnoteReference w:id="55"/>
      </w:r>
      <w:r w:rsidRPr="005771BD">
        <w:rPr>
          <w:rFonts w:cs="Arial"/>
          <w:szCs w:val="20"/>
          <w:vertAlign w:val="superscript"/>
          <w:lang w:val="sl-SI" w:eastAsia="sl-SI"/>
        </w:rPr>
        <w:t>,</w:t>
      </w:r>
      <w:r w:rsidRPr="005771BD">
        <w:rPr>
          <w:rFonts w:cs="Arial"/>
          <w:szCs w:val="20"/>
          <w:lang w:val="sl-SI" w:eastAsia="sl-SI"/>
        </w:rPr>
        <w:t xml:space="preserve"> kulturn</w:t>
      </w:r>
      <w:r>
        <w:rPr>
          <w:rFonts w:cs="Arial"/>
          <w:szCs w:val="20"/>
          <w:lang w:val="sl-SI" w:eastAsia="sl-SI"/>
        </w:rPr>
        <w:t>o</w:t>
      </w:r>
      <w:r w:rsidRPr="005771BD">
        <w:rPr>
          <w:rFonts w:cs="Arial"/>
          <w:szCs w:val="20"/>
          <w:lang w:val="sl-SI" w:eastAsia="sl-SI"/>
        </w:rPr>
        <w:t xml:space="preserve"> dediščin</w:t>
      </w:r>
      <w:r>
        <w:rPr>
          <w:rFonts w:cs="Arial"/>
          <w:szCs w:val="20"/>
          <w:lang w:val="sl-SI" w:eastAsia="sl-SI"/>
        </w:rPr>
        <w:t>o</w:t>
      </w:r>
      <w:r w:rsidRPr="005771BD">
        <w:rPr>
          <w:rFonts w:eastAsia="Calibri" w:cs="Arial"/>
          <w:szCs w:val="20"/>
          <w:vertAlign w:val="superscript"/>
          <w:lang w:val="sl-SI"/>
        </w:rPr>
        <w:footnoteReference w:id="56"/>
      </w:r>
      <w:r w:rsidRPr="005771BD">
        <w:rPr>
          <w:rFonts w:cs="Arial"/>
          <w:szCs w:val="20"/>
          <w:lang w:val="sl-SI" w:eastAsia="sl-SI"/>
        </w:rPr>
        <w:t xml:space="preserve"> in okolj</w:t>
      </w:r>
      <w:r>
        <w:rPr>
          <w:rFonts w:cs="Arial"/>
          <w:szCs w:val="20"/>
          <w:lang w:val="sl-SI" w:eastAsia="sl-SI"/>
        </w:rPr>
        <w:t>e</w:t>
      </w:r>
      <w:r w:rsidRPr="005771BD">
        <w:rPr>
          <w:rFonts w:eastAsia="Calibri" w:cs="Arial"/>
          <w:szCs w:val="20"/>
          <w:vertAlign w:val="superscript"/>
          <w:lang w:val="sl-SI"/>
        </w:rPr>
        <w:footnoteReference w:id="57"/>
      </w:r>
      <w:r w:rsidRPr="005771BD">
        <w:rPr>
          <w:rFonts w:cs="Arial"/>
          <w:szCs w:val="20"/>
          <w:lang w:val="sl-SI" w:eastAsia="sl-SI"/>
        </w:rPr>
        <w:t>. V Sloveniji imamo 61 območ</w:t>
      </w:r>
      <w:r>
        <w:rPr>
          <w:rFonts w:cs="Arial"/>
          <w:szCs w:val="20"/>
          <w:lang w:val="sl-SI" w:eastAsia="sl-SI"/>
        </w:rPr>
        <w:t>ij</w:t>
      </w:r>
      <w:r w:rsidRPr="005771BD">
        <w:rPr>
          <w:rFonts w:cs="Arial"/>
          <w:szCs w:val="20"/>
          <w:lang w:val="sl-SI" w:eastAsia="sl-SI"/>
        </w:rPr>
        <w:t xml:space="preserve"> pomembnega vpliva poplav, ki skupaj obsegajo 50 km</w:t>
      </w:r>
      <w:r w:rsidRPr="005771BD">
        <w:rPr>
          <w:rFonts w:cs="Arial"/>
          <w:szCs w:val="20"/>
          <w:vertAlign w:val="superscript"/>
          <w:lang w:val="sl-SI" w:eastAsia="sl-SI"/>
        </w:rPr>
        <w:t>2</w:t>
      </w:r>
      <w:r w:rsidRPr="005771BD">
        <w:rPr>
          <w:rFonts w:cs="Arial"/>
          <w:szCs w:val="20"/>
          <w:lang w:val="sl-SI" w:eastAsia="sl-SI"/>
        </w:rPr>
        <w:t xml:space="preserve"> in na katerih je potencialno ogroženih 130.000 prebivalcev, 23.000 stavb, 540 kulturnih spomenikov, 17.000 poslovnih subjektov, 600 km javne infrastrukture in 400 občutljivih objektov. Za ta območja so bile izdelane </w:t>
      </w:r>
      <w:r w:rsidRPr="005771BD">
        <w:rPr>
          <w:rFonts w:cs="Arial"/>
          <w:szCs w:val="20"/>
          <w:u w:val="single"/>
          <w:lang w:val="sl-SI" w:eastAsia="sl-SI"/>
        </w:rPr>
        <w:t>karte poplavne nevarnosti in ogroženosti</w:t>
      </w:r>
      <w:r w:rsidRPr="005771BD">
        <w:rPr>
          <w:rFonts w:cs="Arial"/>
          <w:szCs w:val="20"/>
          <w:lang w:val="sl-SI" w:eastAsia="sl-SI"/>
        </w:rPr>
        <w:t xml:space="preserve">, v katerih so podrobneje opredeljeni viri ter stopnja poplavne nevarnosti in </w:t>
      </w:r>
      <w:r>
        <w:rPr>
          <w:rFonts w:cs="Arial"/>
          <w:szCs w:val="20"/>
          <w:lang w:val="sl-SI" w:eastAsia="sl-SI"/>
        </w:rPr>
        <w:t xml:space="preserve">je </w:t>
      </w:r>
      <w:r w:rsidRPr="005771BD">
        <w:rPr>
          <w:rFonts w:cs="Arial"/>
          <w:szCs w:val="20"/>
          <w:lang w:val="sl-SI" w:eastAsia="sl-SI"/>
        </w:rPr>
        <w:t>evidentirana škoda, do katere lahko pride ob ekstremnih poplavnih dogodk</w:t>
      </w:r>
      <w:r>
        <w:rPr>
          <w:rFonts w:cs="Arial"/>
          <w:szCs w:val="20"/>
          <w:lang w:val="sl-SI" w:eastAsia="sl-SI"/>
        </w:rPr>
        <w:t>ih</w:t>
      </w:r>
      <w:r w:rsidRPr="005771BD">
        <w:rPr>
          <w:rFonts w:cs="Arial"/>
          <w:szCs w:val="20"/>
          <w:lang w:val="sl-SI" w:eastAsia="sl-SI"/>
        </w:rPr>
        <w:t xml:space="preserve">. </w:t>
      </w:r>
    </w:p>
    <w:p w:rsidR="003C1B05" w:rsidRPr="005771BD" w:rsidRDefault="003C1B05" w:rsidP="003C1B05">
      <w:pPr>
        <w:spacing w:after="200" w:line="276" w:lineRule="auto"/>
        <w:jc w:val="both"/>
        <w:rPr>
          <w:rFonts w:cs="Arial"/>
          <w:szCs w:val="20"/>
          <w:lang w:val="sl-SI" w:eastAsia="sl-SI"/>
        </w:rPr>
      </w:pPr>
      <w:r w:rsidRPr="005771BD">
        <w:rPr>
          <w:rFonts w:cs="Arial"/>
          <w:szCs w:val="20"/>
          <w:lang w:val="sl-SI" w:eastAsia="sl-SI"/>
        </w:rPr>
        <w:t>Z</w:t>
      </w:r>
      <w:r>
        <w:rPr>
          <w:rFonts w:cs="Arial"/>
          <w:szCs w:val="20"/>
          <w:lang w:val="sl-SI" w:eastAsia="sl-SI"/>
        </w:rPr>
        <w:t>a</w:t>
      </w:r>
      <w:r w:rsidRPr="005771BD">
        <w:rPr>
          <w:rFonts w:cs="Arial"/>
          <w:szCs w:val="20"/>
          <w:lang w:val="sl-SI" w:eastAsia="sl-SI"/>
        </w:rPr>
        <w:t xml:space="preserve"> </w:t>
      </w:r>
      <w:r w:rsidRPr="005771BD">
        <w:rPr>
          <w:rFonts w:cs="Arial"/>
          <w:szCs w:val="20"/>
          <w:u w:val="single"/>
          <w:lang w:val="sl-SI" w:eastAsia="sl-SI"/>
        </w:rPr>
        <w:t>obvladovanj</w:t>
      </w:r>
      <w:r>
        <w:rPr>
          <w:rFonts w:cs="Arial"/>
          <w:szCs w:val="20"/>
          <w:u w:val="single"/>
          <w:lang w:val="sl-SI" w:eastAsia="sl-SI"/>
        </w:rPr>
        <w:t>e</w:t>
      </w:r>
      <w:r w:rsidRPr="005771BD">
        <w:rPr>
          <w:rFonts w:cs="Arial"/>
          <w:szCs w:val="20"/>
          <w:u w:val="single"/>
          <w:lang w:val="sl-SI" w:eastAsia="sl-SI"/>
        </w:rPr>
        <w:t xml:space="preserve"> oz</w:t>
      </w:r>
      <w:r>
        <w:rPr>
          <w:rFonts w:cs="Arial"/>
          <w:szCs w:val="20"/>
          <w:u w:val="single"/>
          <w:lang w:val="sl-SI" w:eastAsia="sl-SI"/>
        </w:rPr>
        <w:t>iroma</w:t>
      </w:r>
      <w:r w:rsidRPr="005771BD">
        <w:rPr>
          <w:rFonts w:cs="Arial"/>
          <w:szCs w:val="20"/>
          <w:u w:val="single"/>
          <w:lang w:val="sl-SI" w:eastAsia="sl-SI"/>
        </w:rPr>
        <w:t xml:space="preserve"> zmanjševanj</w:t>
      </w:r>
      <w:r>
        <w:rPr>
          <w:rFonts w:cs="Arial"/>
          <w:szCs w:val="20"/>
          <w:u w:val="single"/>
          <w:lang w:val="sl-SI" w:eastAsia="sl-SI"/>
        </w:rPr>
        <w:t>e</w:t>
      </w:r>
      <w:r w:rsidRPr="005771BD">
        <w:rPr>
          <w:rFonts w:cs="Arial"/>
          <w:szCs w:val="20"/>
          <w:u w:val="single"/>
          <w:lang w:val="sl-SI" w:eastAsia="sl-SI"/>
        </w:rPr>
        <w:t xml:space="preserve"> poplavne ogroženosti</w:t>
      </w:r>
      <w:r w:rsidRPr="005771BD">
        <w:rPr>
          <w:rFonts w:cs="Arial"/>
          <w:szCs w:val="20"/>
          <w:lang w:val="sl-SI" w:eastAsia="sl-SI"/>
        </w:rPr>
        <w:t xml:space="preserve"> na območjih pomembnega vpliva poplav je izdelan osnutek </w:t>
      </w:r>
      <w:r>
        <w:rPr>
          <w:rFonts w:cs="Arial"/>
          <w:szCs w:val="20"/>
          <w:lang w:val="sl-SI" w:eastAsia="sl-SI"/>
        </w:rPr>
        <w:t>n</w:t>
      </w:r>
      <w:r w:rsidRPr="005771BD">
        <w:rPr>
          <w:rFonts w:cs="Arial"/>
          <w:szCs w:val="20"/>
          <w:lang w:val="sl-SI" w:eastAsia="sl-SI"/>
        </w:rPr>
        <w:t>ačrt</w:t>
      </w:r>
      <w:r>
        <w:rPr>
          <w:rFonts w:cs="Arial"/>
          <w:szCs w:val="20"/>
          <w:lang w:val="sl-SI" w:eastAsia="sl-SI"/>
        </w:rPr>
        <w:t>a</w:t>
      </w:r>
      <w:r w:rsidRPr="005771BD">
        <w:rPr>
          <w:rFonts w:cs="Arial"/>
          <w:szCs w:val="20"/>
          <w:lang w:val="sl-SI" w:eastAsia="sl-SI"/>
        </w:rPr>
        <w:t xml:space="preserve"> zmanjševanja poplavne ogroženosti (NZPO)</w:t>
      </w:r>
      <w:r w:rsidRPr="005771BD">
        <w:rPr>
          <w:rFonts w:cs="Arial"/>
          <w:szCs w:val="20"/>
          <w:vertAlign w:val="superscript"/>
          <w:lang w:val="sl-SI" w:eastAsia="sl-SI"/>
        </w:rPr>
        <w:footnoteReference w:id="58"/>
      </w:r>
      <w:r w:rsidRPr="005771BD">
        <w:rPr>
          <w:rFonts w:cs="Arial"/>
          <w:szCs w:val="20"/>
          <w:lang w:val="sl-SI" w:eastAsia="sl-SI"/>
        </w:rPr>
        <w:t>.</w:t>
      </w:r>
    </w:p>
    <w:p w:rsidR="003C1B05" w:rsidRPr="005771BD" w:rsidRDefault="003C1B05" w:rsidP="003C1B05">
      <w:pPr>
        <w:spacing w:after="200" w:line="276" w:lineRule="auto"/>
        <w:jc w:val="both"/>
        <w:rPr>
          <w:rFonts w:cs="Arial"/>
          <w:szCs w:val="20"/>
          <w:lang w:val="sl-SI" w:eastAsia="sl-SI"/>
        </w:rPr>
      </w:pPr>
      <w:r w:rsidRPr="005771BD">
        <w:rPr>
          <w:rFonts w:cs="Arial"/>
          <w:szCs w:val="20"/>
          <w:lang w:val="sl-SI" w:eastAsia="sl-SI"/>
        </w:rPr>
        <w:t xml:space="preserve">NZPO vsebuje 20 vrst ukrepov protipoplavnih aktivnosti vseh </w:t>
      </w:r>
      <w:r>
        <w:rPr>
          <w:rFonts w:cs="Arial"/>
          <w:szCs w:val="20"/>
          <w:lang w:val="sl-SI" w:eastAsia="sl-SI"/>
        </w:rPr>
        <w:t>petih</w:t>
      </w:r>
      <w:r w:rsidRPr="005771BD">
        <w:rPr>
          <w:rFonts w:cs="Arial"/>
          <w:szCs w:val="20"/>
          <w:lang w:val="sl-SI" w:eastAsia="sl-SI"/>
        </w:rPr>
        <w:t xml:space="preserve"> ciklov obvladovanja poplavne ogroženosti: </w:t>
      </w:r>
      <w:r w:rsidRPr="005771BD">
        <w:rPr>
          <w:rFonts w:cs="Arial"/>
          <w:b/>
          <w:szCs w:val="20"/>
          <w:lang w:val="sl-SI" w:eastAsia="sl-SI"/>
        </w:rPr>
        <w:t>preprečevanje</w:t>
      </w:r>
      <w:r w:rsidRPr="005771BD">
        <w:rPr>
          <w:rFonts w:cs="Arial"/>
          <w:szCs w:val="20"/>
          <w:lang w:val="sl-SI" w:eastAsia="sl-SI"/>
        </w:rPr>
        <w:t xml:space="preserve">; aktivnosti za zmanjšanje poplavne nevarnosti </w:t>
      </w:r>
      <w:r>
        <w:rPr>
          <w:rFonts w:cs="Arial"/>
          <w:szCs w:val="20"/>
          <w:lang w:val="sl-SI" w:eastAsia="sl-SI"/>
        </w:rPr>
        <w:t>in</w:t>
      </w:r>
      <w:r w:rsidRPr="005771BD">
        <w:rPr>
          <w:rFonts w:cs="Arial"/>
          <w:szCs w:val="20"/>
          <w:lang w:val="sl-SI" w:eastAsia="sl-SI"/>
        </w:rPr>
        <w:t xml:space="preserve"> spodbujanje ustrezne rabe zemljišč, gospodarjenja s kmetijskimi zemljišči in</w:t>
      </w:r>
      <w:r>
        <w:rPr>
          <w:rFonts w:cs="Arial"/>
          <w:szCs w:val="20"/>
          <w:lang w:val="sl-SI" w:eastAsia="sl-SI"/>
        </w:rPr>
        <w:t xml:space="preserve"> </w:t>
      </w:r>
      <w:r w:rsidRPr="005771BD">
        <w:rPr>
          <w:rFonts w:cs="Arial"/>
          <w:szCs w:val="20"/>
          <w:lang w:val="sl-SI" w:eastAsia="sl-SI"/>
        </w:rPr>
        <w:t xml:space="preserve">gozdovi, </w:t>
      </w:r>
      <w:r w:rsidRPr="005771BD">
        <w:rPr>
          <w:rFonts w:cs="Arial"/>
          <w:b/>
          <w:szCs w:val="20"/>
          <w:lang w:val="sl-SI" w:eastAsia="sl-SI"/>
        </w:rPr>
        <w:t>varstvo;</w:t>
      </w:r>
      <w:r w:rsidRPr="005771BD">
        <w:rPr>
          <w:rFonts w:cs="Arial"/>
          <w:szCs w:val="20"/>
          <w:lang w:val="sl-SI" w:eastAsia="sl-SI"/>
        </w:rPr>
        <w:t xml:space="preserve"> aktivnosti za zmanjšanje verjetnosti poplav oziroma zmanjšanje vpliva poplav na določeni lokaciji in povečevanje odpornosti na poplave, </w:t>
      </w:r>
      <w:r w:rsidRPr="005771BD">
        <w:rPr>
          <w:rFonts w:cs="Arial"/>
          <w:b/>
          <w:szCs w:val="20"/>
          <w:lang w:val="sl-SI" w:eastAsia="sl-SI"/>
        </w:rPr>
        <w:t>zavedanje;</w:t>
      </w:r>
      <w:r w:rsidRPr="005771BD">
        <w:rPr>
          <w:rFonts w:cs="Arial"/>
          <w:szCs w:val="20"/>
          <w:lang w:val="sl-SI" w:eastAsia="sl-SI"/>
        </w:rPr>
        <w:t xml:space="preserve"> informiranje prebivalcev o poplavni nevarnosti in ustreznem ukrepanju ob izredne</w:t>
      </w:r>
      <w:r>
        <w:rPr>
          <w:rFonts w:cs="Arial"/>
          <w:szCs w:val="20"/>
          <w:lang w:val="sl-SI" w:eastAsia="sl-SI"/>
        </w:rPr>
        <w:t>m</w:t>
      </w:r>
      <w:r w:rsidRPr="005771BD">
        <w:rPr>
          <w:rFonts w:cs="Arial"/>
          <w:szCs w:val="20"/>
          <w:lang w:val="sl-SI" w:eastAsia="sl-SI"/>
        </w:rPr>
        <w:t xml:space="preserve"> dogodk</w:t>
      </w:r>
      <w:r>
        <w:rPr>
          <w:rFonts w:cs="Arial"/>
          <w:szCs w:val="20"/>
          <w:lang w:val="sl-SI" w:eastAsia="sl-SI"/>
        </w:rPr>
        <w:t>u</w:t>
      </w:r>
      <w:r w:rsidRPr="005771BD">
        <w:rPr>
          <w:rFonts w:cs="Arial"/>
          <w:szCs w:val="20"/>
          <w:lang w:val="sl-SI" w:eastAsia="sl-SI"/>
        </w:rPr>
        <w:t>, p</w:t>
      </w:r>
      <w:r w:rsidRPr="005771BD">
        <w:rPr>
          <w:rFonts w:cs="Arial"/>
          <w:b/>
          <w:szCs w:val="20"/>
          <w:lang w:val="sl-SI" w:eastAsia="sl-SI"/>
        </w:rPr>
        <w:t xml:space="preserve">ripravljenost; </w:t>
      </w:r>
      <w:r w:rsidRPr="005771BD">
        <w:rPr>
          <w:rFonts w:cs="Arial"/>
          <w:szCs w:val="20"/>
          <w:lang w:val="sl-SI" w:eastAsia="sl-SI"/>
        </w:rPr>
        <w:t xml:space="preserve">aktivnosti </w:t>
      </w:r>
      <w:r>
        <w:rPr>
          <w:rFonts w:cs="Arial"/>
          <w:szCs w:val="20"/>
          <w:lang w:val="sl-SI" w:eastAsia="sl-SI"/>
        </w:rPr>
        <w:t>ob</w:t>
      </w:r>
      <w:r w:rsidRPr="005771BD">
        <w:rPr>
          <w:rFonts w:cs="Arial"/>
          <w:szCs w:val="20"/>
          <w:lang w:val="sl-SI" w:eastAsia="sl-SI"/>
        </w:rPr>
        <w:t xml:space="preserve"> izredne</w:t>
      </w:r>
      <w:r>
        <w:rPr>
          <w:rFonts w:cs="Arial"/>
          <w:szCs w:val="20"/>
          <w:lang w:val="sl-SI" w:eastAsia="sl-SI"/>
        </w:rPr>
        <w:t>m</w:t>
      </w:r>
      <w:r w:rsidRPr="005771BD">
        <w:rPr>
          <w:rFonts w:cs="Arial"/>
          <w:szCs w:val="20"/>
          <w:lang w:val="sl-SI" w:eastAsia="sl-SI"/>
        </w:rPr>
        <w:t xml:space="preserve"> dogodk</w:t>
      </w:r>
      <w:r>
        <w:rPr>
          <w:rFonts w:cs="Arial"/>
          <w:szCs w:val="20"/>
          <w:lang w:val="sl-SI" w:eastAsia="sl-SI"/>
        </w:rPr>
        <w:t>u</w:t>
      </w:r>
      <w:r w:rsidRPr="005771BD">
        <w:rPr>
          <w:rFonts w:cs="Arial"/>
          <w:szCs w:val="20"/>
          <w:lang w:val="sl-SI" w:eastAsia="sl-SI"/>
        </w:rPr>
        <w:t xml:space="preserve"> in </w:t>
      </w:r>
      <w:r w:rsidRPr="005771BD">
        <w:rPr>
          <w:rFonts w:cs="Arial"/>
          <w:b/>
          <w:szCs w:val="20"/>
          <w:lang w:val="sl-SI" w:eastAsia="sl-SI"/>
        </w:rPr>
        <w:t xml:space="preserve">obnova; </w:t>
      </w:r>
      <w:r w:rsidRPr="005771BD">
        <w:rPr>
          <w:rFonts w:cs="Arial"/>
          <w:szCs w:val="20"/>
          <w:lang w:val="sl-SI" w:eastAsia="sl-SI"/>
        </w:rPr>
        <w:t xml:space="preserve">čim prejšnja vzpostavitev stanja pred izrednim dogodkom, izvedba analize in upoštevanje novih spoznanj. </w:t>
      </w:r>
    </w:p>
    <w:p w:rsidR="006331C1" w:rsidRPr="005771BD" w:rsidRDefault="006331C1" w:rsidP="006331C1">
      <w:pPr>
        <w:spacing w:after="200" w:line="276" w:lineRule="auto"/>
        <w:jc w:val="both"/>
        <w:rPr>
          <w:rFonts w:eastAsia="Calibri" w:cs="Arial"/>
          <w:szCs w:val="20"/>
          <w:lang w:val="sl-SI" w:eastAsia="sl-SI"/>
        </w:rPr>
      </w:pPr>
      <w:r w:rsidRPr="005771BD">
        <w:rPr>
          <w:rFonts w:eastAsia="Calibri" w:cs="Arial"/>
          <w:szCs w:val="20"/>
          <w:lang w:val="sl-SI" w:eastAsia="sl-SI"/>
        </w:rPr>
        <w:t xml:space="preserve">Za zmanjšanje poplavne ogroženosti je predvsem pomembno </w:t>
      </w:r>
      <w:r>
        <w:rPr>
          <w:rFonts w:eastAsia="Calibri" w:cs="Arial"/>
          <w:szCs w:val="20"/>
          <w:lang w:val="sl-SI" w:eastAsia="sl-SI"/>
        </w:rPr>
        <w:t>nameniti</w:t>
      </w:r>
      <w:r w:rsidRPr="005771BD">
        <w:rPr>
          <w:rFonts w:eastAsia="Calibri" w:cs="Arial"/>
          <w:szCs w:val="20"/>
          <w:lang w:val="sl-SI" w:eastAsia="sl-SI"/>
        </w:rPr>
        <w:t xml:space="preserve"> več pozornosti </w:t>
      </w:r>
      <w:r w:rsidRPr="005771BD">
        <w:rPr>
          <w:rFonts w:eastAsia="Calibri" w:cs="Arial"/>
          <w:szCs w:val="20"/>
          <w:u w:val="single"/>
          <w:lang w:val="sl-SI" w:eastAsia="sl-SI"/>
        </w:rPr>
        <w:t>preprečevanju, varstvu in zavedanju</w:t>
      </w:r>
      <w:r w:rsidRPr="005771BD">
        <w:rPr>
          <w:rFonts w:eastAsia="Calibri" w:cs="Arial"/>
          <w:szCs w:val="20"/>
          <w:lang w:val="sl-SI" w:eastAsia="sl-SI"/>
        </w:rPr>
        <w:t>. Vlaganje v t</w:t>
      </w:r>
      <w:r>
        <w:rPr>
          <w:rFonts w:eastAsia="Calibri" w:cs="Arial"/>
          <w:szCs w:val="20"/>
          <w:lang w:val="sl-SI" w:eastAsia="sl-SI"/>
        </w:rPr>
        <w:t>a tri področja</w:t>
      </w:r>
      <w:r w:rsidRPr="005771BD">
        <w:rPr>
          <w:rFonts w:eastAsia="Calibri" w:cs="Arial"/>
          <w:szCs w:val="20"/>
          <w:lang w:val="sl-SI" w:eastAsia="sl-SI"/>
        </w:rPr>
        <w:t xml:space="preserve"> lahko zelo zmanjša sredstva, namenjena za obnovo (sanacija škod</w:t>
      </w:r>
      <w:r>
        <w:rPr>
          <w:rFonts w:eastAsia="Calibri" w:cs="Arial"/>
          <w:szCs w:val="20"/>
          <w:lang w:val="sl-SI" w:eastAsia="sl-SI"/>
        </w:rPr>
        <w:t>e</w:t>
      </w:r>
      <w:r w:rsidRPr="005771BD">
        <w:rPr>
          <w:rFonts w:eastAsia="Calibri" w:cs="Arial"/>
          <w:szCs w:val="20"/>
          <w:lang w:val="sl-SI" w:eastAsia="sl-SI"/>
        </w:rPr>
        <w:t xml:space="preserve"> po poplavi), in okoljske</w:t>
      </w:r>
      <w:r>
        <w:rPr>
          <w:rFonts w:eastAsia="Calibri" w:cs="Arial"/>
          <w:szCs w:val="20"/>
          <w:lang w:val="sl-SI" w:eastAsia="sl-SI"/>
        </w:rPr>
        <w:t xml:space="preserve"> obremenitve</w:t>
      </w:r>
      <w:r w:rsidRPr="005771BD">
        <w:rPr>
          <w:rFonts w:eastAsia="Calibri" w:cs="Arial"/>
          <w:szCs w:val="20"/>
          <w:lang w:val="sl-SI" w:eastAsia="sl-SI"/>
        </w:rPr>
        <w:t>. Navkljub ukrepom in aktivnostim za zmanjšanje poplavne ogroženosti se poplavnim škodam v celoti ni mogoče izogniti, zato je zelo pomemb</w:t>
      </w:r>
      <w:r>
        <w:rPr>
          <w:rFonts w:eastAsia="Calibri" w:cs="Arial"/>
          <w:szCs w:val="20"/>
          <w:lang w:val="sl-SI" w:eastAsia="sl-SI"/>
        </w:rPr>
        <w:t>na</w:t>
      </w:r>
      <w:r w:rsidRPr="005771BD">
        <w:rPr>
          <w:rFonts w:eastAsia="Calibri" w:cs="Arial"/>
          <w:szCs w:val="20"/>
          <w:lang w:val="sl-SI" w:eastAsia="sl-SI"/>
        </w:rPr>
        <w:t xml:space="preserve"> tudi </w:t>
      </w:r>
      <w:r w:rsidRPr="005771BD">
        <w:rPr>
          <w:rFonts w:eastAsia="Calibri" w:cs="Arial"/>
          <w:szCs w:val="20"/>
          <w:u w:val="single"/>
          <w:lang w:val="sl-SI" w:eastAsia="sl-SI"/>
        </w:rPr>
        <w:t>pripravljenost</w:t>
      </w:r>
      <w:r w:rsidRPr="005771BD">
        <w:rPr>
          <w:rFonts w:eastAsia="Calibri" w:cs="Arial"/>
          <w:szCs w:val="20"/>
          <w:lang w:val="sl-SI" w:eastAsia="sl-SI"/>
        </w:rPr>
        <w:t>.</w:t>
      </w:r>
    </w:p>
    <w:p w:rsidR="006331C1" w:rsidRPr="005771BD" w:rsidRDefault="006331C1" w:rsidP="006331C1">
      <w:pPr>
        <w:spacing w:after="200" w:line="276" w:lineRule="auto"/>
        <w:jc w:val="both"/>
        <w:rPr>
          <w:rFonts w:eastAsia="Calibri" w:cs="Arial"/>
          <w:b/>
          <w:szCs w:val="20"/>
          <w:lang w:val="sl-SI"/>
        </w:rPr>
      </w:pPr>
      <w:r w:rsidRPr="005771BD">
        <w:rPr>
          <w:rFonts w:eastAsia="Calibri" w:cs="Arial"/>
          <w:szCs w:val="20"/>
          <w:lang w:val="sl-SI"/>
        </w:rPr>
        <w:t xml:space="preserve">Pomemben vidik varstvenih ukrepov so </w:t>
      </w:r>
      <w:r w:rsidRPr="005771BD">
        <w:rPr>
          <w:rFonts w:eastAsia="Calibri" w:cs="Arial"/>
          <w:szCs w:val="20"/>
          <w:u w:val="single"/>
          <w:lang w:val="sl-SI"/>
        </w:rPr>
        <w:t>pogoji in omejitve za posege v prostor</w:t>
      </w:r>
      <w:r w:rsidRPr="005771BD">
        <w:rPr>
          <w:rFonts w:eastAsia="Calibri" w:cs="Arial"/>
          <w:szCs w:val="20"/>
          <w:lang w:val="sl-SI"/>
        </w:rPr>
        <w:t>, določeni v Uredbi o pogojih in omejitvah za izvajanje dejavnosti in posegov v prostor na območjih, ogroženih zaradi poplav in z njimi povezane erozije celinskih voda in morja (Uradni list RS, št. 89/08)</w:t>
      </w:r>
      <w:r w:rsidRPr="005771BD">
        <w:rPr>
          <w:rFonts w:eastAsia="Calibri" w:cs="Arial"/>
          <w:szCs w:val="20"/>
          <w:vertAlign w:val="superscript"/>
          <w:lang w:val="sl-SI"/>
        </w:rPr>
        <w:t xml:space="preserve"> </w:t>
      </w:r>
      <w:r w:rsidRPr="005771BD">
        <w:rPr>
          <w:rFonts w:eastAsia="Calibri" w:cs="Arial"/>
          <w:szCs w:val="20"/>
          <w:vertAlign w:val="superscript"/>
          <w:lang w:val="sl-SI"/>
        </w:rPr>
        <w:footnoteReference w:id="59"/>
      </w:r>
      <w:r w:rsidRPr="005771BD">
        <w:rPr>
          <w:rFonts w:eastAsia="Calibri" w:cs="Arial"/>
          <w:szCs w:val="20"/>
          <w:lang w:val="sl-SI"/>
        </w:rPr>
        <w:t xml:space="preserve">.  </w:t>
      </w:r>
    </w:p>
    <w:p w:rsidR="003C1B05" w:rsidRPr="005771BD" w:rsidRDefault="003C1B05" w:rsidP="003C1B05">
      <w:pPr>
        <w:keepNext/>
        <w:shd w:val="clear" w:color="auto" w:fill="FFFFFF"/>
        <w:spacing w:after="200" w:line="276" w:lineRule="auto"/>
        <w:jc w:val="center"/>
        <w:rPr>
          <w:rFonts w:cs="Arial"/>
          <w:szCs w:val="20"/>
          <w:lang w:val="sl-SI" w:eastAsia="sl-SI"/>
        </w:rPr>
      </w:pPr>
      <w:r w:rsidRPr="007F272F">
        <w:rPr>
          <w:rFonts w:cs="Arial"/>
          <w:noProof/>
          <w:szCs w:val="20"/>
          <w:lang w:val="sl-SI" w:eastAsia="sl-SI"/>
        </w:rPr>
        <w:drawing>
          <wp:inline distT="0" distB="0" distL="0" distR="0" wp14:anchorId="31FEBED2" wp14:editId="14EB3E81">
            <wp:extent cx="3350102" cy="2648102"/>
            <wp:effectExtent l="0" t="0" r="3175" b="0"/>
            <wp:docPr id="640"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3352679" cy="2650139"/>
                    </a:xfrm>
                    <a:prstGeom prst="rect">
                      <a:avLst/>
                    </a:prstGeom>
                  </pic:spPr>
                </pic:pic>
              </a:graphicData>
            </a:graphic>
          </wp:inline>
        </w:drawing>
      </w:r>
    </w:p>
    <w:p w:rsidR="003C1B05" w:rsidRPr="005771BD" w:rsidRDefault="003C1B05" w:rsidP="003C1B05">
      <w:pPr>
        <w:spacing w:after="360" w:line="276" w:lineRule="auto"/>
        <w:jc w:val="both"/>
        <w:rPr>
          <w:rFonts w:cs="Arial"/>
          <w:bCs/>
          <w:i/>
          <w:szCs w:val="20"/>
          <w:lang w:val="sl-SI" w:eastAsia="sl-SI"/>
        </w:rPr>
      </w:pPr>
      <w:r w:rsidRPr="005771BD">
        <w:rPr>
          <w:rFonts w:cs="Arial"/>
          <w:bCs/>
          <w:i/>
          <w:szCs w:val="20"/>
          <w:lang w:val="sl-SI" w:eastAsia="sl-SI"/>
        </w:rPr>
        <w:t>Slika 1</w:t>
      </w:r>
      <w:r w:rsidR="006331C1">
        <w:rPr>
          <w:rFonts w:cs="Arial"/>
          <w:bCs/>
          <w:i/>
          <w:szCs w:val="20"/>
          <w:lang w:val="sl-SI" w:eastAsia="sl-SI"/>
        </w:rPr>
        <w:t>4</w:t>
      </w:r>
      <w:r w:rsidRPr="005771BD">
        <w:rPr>
          <w:rFonts w:cs="Arial"/>
          <w:bCs/>
          <w:i/>
          <w:szCs w:val="20"/>
          <w:lang w:val="sl-SI" w:eastAsia="sl-SI"/>
        </w:rPr>
        <w:t>.</w:t>
      </w:r>
      <w:r w:rsidR="006331C1">
        <w:rPr>
          <w:rFonts w:cs="Arial"/>
          <w:bCs/>
          <w:i/>
          <w:szCs w:val="20"/>
          <w:lang w:val="sl-SI" w:eastAsia="sl-SI"/>
        </w:rPr>
        <w:t>1</w:t>
      </w:r>
      <w:r w:rsidR="00107DE0">
        <w:rPr>
          <w:rFonts w:cs="Arial"/>
          <w:bCs/>
          <w:i/>
          <w:szCs w:val="20"/>
          <w:lang w:val="sl-SI" w:eastAsia="sl-SI"/>
        </w:rPr>
        <w:t>3</w:t>
      </w:r>
      <w:r w:rsidRPr="005771BD">
        <w:rPr>
          <w:rFonts w:cs="Arial"/>
          <w:bCs/>
          <w:i/>
          <w:szCs w:val="20"/>
          <w:lang w:val="sl-SI" w:eastAsia="sl-SI"/>
        </w:rPr>
        <w:t xml:space="preserve">: </w:t>
      </w:r>
      <w:r>
        <w:rPr>
          <w:rFonts w:cs="Arial"/>
          <w:bCs/>
          <w:i/>
          <w:szCs w:val="20"/>
          <w:lang w:val="sl-SI" w:eastAsia="sl-SI"/>
        </w:rPr>
        <w:t>P</w:t>
      </w:r>
      <w:r w:rsidRPr="005771BD">
        <w:rPr>
          <w:rFonts w:cs="Arial"/>
          <w:bCs/>
          <w:i/>
          <w:szCs w:val="20"/>
          <w:lang w:val="sl-SI" w:eastAsia="sl-SI"/>
        </w:rPr>
        <w:t>rotipoplavni ukrep</w:t>
      </w:r>
      <w:r>
        <w:rPr>
          <w:rFonts w:cs="Arial"/>
          <w:bCs/>
          <w:i/>
          <w:szCs w:val="20"/>
          <w:lang w:val="sl-SI" w:eastAsia="sl-SI"/>
        </w:rPr>
        <w:t>i</w:t>
      </w:r>
      <w:r w:rsidRPr="005771BD">
        <w:rPr>
          <w:rFonts w:cs="Arial"/>
          <w:bCs/>
          <w:i/>
          <w:szCs w:val="20"/>
          <w:lang w:val="sl-SI" w:eastAsia="sl-SI"/>
        </w:rPr>
        <w:t xml:space="preserve"> (ukrepi U1-U20) in njihova uvrstitev v cikel obvladovanja poplavne ogroženosti (preprečevanje, varstvo, zavedanje, pripravljenost in obnova)</w:t>
      </w:r>
    </w:p>
    <w:p w:rsidR="003C1B05" w:rsidRPr="005771BD" w:rsidRDefault="003C1B05" w:rsidP="003C1B05">
      <w:pPr>
        <w:spacing w:after="200" w:line="276" w:lineRule="auto"/>
        <w:jc w:val="both"/>
        <w:rPr>
          <w:rFonts w:eastAsia="Calibri" w:cs="Arial"/>
          <w:szCs w:val="20"/>
          <w:lang w:val="sl-SI"/>
        </w:rPr>
      </w:pPr>
      <w:r w:rsidRPr="005771BD">
        <w:rPr>
          <w:rFonts w:eastAsia="Calibri" w:cs="Arial"/>
          <w:szCs w:val="20"/>
          <w:lang w:val="sl-SI"/>
        </w:rPr>
        <w:t xml:space="preserve">Za </w:t>
      </w:r>
      <w:r>
        <w:rPr>
          <w:rFonts w:eastAsia="Calibri" w:cs="Arial"/>
          <w:szCs w:val="20"/>
          <w:lang w:val="sl-SI"/>
        </w:rPr>
        <w:t>krepitev</w:t>
      </w:r>
      <w:r w:rsidRPr="005771BD">
        <w:rPr>
          <w:rFonts w:eastAsia="Calibri" w:cs="Arial"/>
          <w:szCs w:val="20"/>
          <w:lang w:val="sl-SI"/>
        </w:rPr>
        <w:t xml:space="preserve"> zavedanj</w:t>
      </w:r>
      <w:r>
        <w:rPr>
          <w:rFonts w:eastAsia="Calibri" w:cs="Arial"/>
          <w:szCs w:val="20"/>
          <w:lang w:val="sl-SI"/>
        </w:rPr>
        <w:t>a</w:t>
      </w:r>
      <w:r w:rsidRPr="005771BD">
        <w:rPr>
          <w:rFonts w:eastAsia="Calibri" w:cs="Arial"/>
          <w:szCs w:val="20"/>
          <w:lang w:val="sl-SI"/>
        </w:rPr>
        <w:t xml:space="preserve"> o poplavni nevarnosti in njenih posledicah je zelo pomembno </w:t>
      </w:r>
      <w:r w:rsidRPr="005771BD">
        <w:rPr>
          <w:rFonts w:eastAsia="Calibri" w:cs="Arial"/>
          <w:szCs w:val="20"/>
          <w:u w:val="single"/>
          <w:lang w:val="sl-SI"/>
        </w:rPr>
        <w:t>ozaveščanje javnosti</w:t>
      </w:r>
      <w:r w:rsidRPr="005771BD">
        <w:rPr>
          <w:rFonts w:eastAsia="Calibri" w:cs="Arial"/>
          <w:szCs w:val="20"/>
          <w:lang w:val="sl-SI"/>
        </w:rPr>
        <w:t>. Za ta namen so na spletnem portalu eVode</w:t>
      </w:r>
      <w:r w:rsidRPr="005771BD">
        <w:rPr>
          <w:rFonts w:eastAsia="Calibri" w:cs="Arial"/>
          <w:szCs w:val="20"/>
          <w:vertAlign w:val="superscript"/>
          <w:lang w:val="sl-SI"/>
        </w:rPr>
        <w:footnoteReference w:id="60"/>
      </w:r>
      <w:r w:rsidRPr="005771BD">
        <w:rPr>
          <w:rFonts w:eastAsia="Calibri" w:cs="Arial"/>
          <w:szCs w:val="20"/>
          <w:lang w:val="sl-SI"/>
        </w:rPr>
        <w:t xml:space="preserve"> objavljene številne vsebine</w:t>
      </w:r>
      <w:r>
        <w:rPr>
          <w:rFonts w:eastAsia="Calibri" w:cs="Arial"/>
          <w:szCs w:val="20"/>
          <w:lang w:val="sl-SI"/>
        </w:rPr>
        <w:t xml:space="preserve"> v zvezi s</w:t>
      </w:r>
      <w:r w:rsidRPr="005771BD">
        <w:rPr>
          <w:rFonts w:eastAsia="Calibri" w:cs="Arial"/>
          <w:szCs w:val="20"/>
          <w:lang w:val="sl-SI"/>
        </w:rPr>
        <w:t xml:space="preserve"> poplavno ogroženost</w:t>
      </w:r>
      <w:r>
        <w:rPr>
          <w:rFonts w:eastAsia="Calibri" w:cs="Arial"/>
          <w:szCs w:val="20"/>
          <w:lang w:val="sl-SI"/>
        </w:rPr>
        <w:t>jo</w:t>
      </w:r>
      <w:r w:rsidRPr="005771BD">
        <w:rPr>
          <w:rFonts w:eastAsia="Calibri" w:cs="Arial"/>
          <w:szCs w:val="20"/>
          <w:lang w:val="sl-SI"/>
        </w:rPr>
        <w:t xml:space="preserve"> in drugi podatki, povezani z vodami. Uspešno je bil v </w:t>
      </w:r>
      <w:r>
        <w:rPr>
          <w:rFonts w:eastAsia="Calibri" w:cs="Arial"/>
          <w:szCs w:val="20"/>
          <w:lang w:val="sl-SI"/>
        </w:rPr>
        <w:t xml:space="preserve">letu </w:t>
      </w:r>
      <w:r w:rsidRPr="005771BD">
        <w:rPr>
          <w:rFonts w:eastAsia="Calibri" w:cs="Arial"/>
          <w:szCs w:val="20"/>
          <w:lang w:val="sl-SI"/>
        </w:rPr>
        <w:t xml:space="preserve">2015 </w:t>
      </w:r>
      <w:r>
        <w:rPr>
          <w:rFonts w:eastAsia="Calibri" w:cs="Arial"/>
          <w:szCs w:val="20"/>
          <w:lang w:val="sl-SI"/>
        </w:rPr>
        <w:t>končan</w:t>
      </w:r>
      <w:r w:rsidRPr="005771BD">
        <w:rPr>
          <w:rFonts w:eastAsia="Calibri" w:cs="Arial"/>
          <w:szCs w:val="20"/>
          <w:lang w:val="sl-SI"/>
        </w:rPr>
        <w:t xml:space="preserve"> projekt objave in </w:t>
      </w:r>
      <w:r>
        <w:rPr>
          <w:rFonts w:eastAsia="Calibri" w:cs="Arial"/>
          <w:szCs w:val="20"/>
          <w:lang w:val="sl-SI"/>
        </w:rPr>
        <w:t>razširjanja</w:t>
      </w:r>
      <w:r w:rsidRPr="005771BD">
        <w:rPr>
          <w:rFonts w:eastAsia="Calibri" w:cs="Arial"/>
          <w:szCs w:val="20"/>
          <w:lang w:val="sl-SI"/>
        </w:rPr>
        <w:t xml:space="preserve"> višinskih podatkov terena, pridobljenih s tehniko daljinskega zaznavanja (LIDAR).</w:t>
      </w:r>
    </w:p>
    <w:p w:rsidR="003C1B05" w:rsidRPr="005771BD" w:rsidRDefault="00107DE0" w:rsidP="00696BAE">
      <w:pPr>
        <w:spacing w:after="360" w:line="276" w:lineRule="auto"/>
        <w:jc w:val="both"/>
        <w:rPr>
          <w:rFonts w:eastAsia="Calibri" w:cs="Arial"/>
          <w:szCs w:val="20"/>
          <w:lang w:val="sl-SI" w:eastAsia="sl-SI"/>
        </w:rPr>
      </w:pPr>
      <w:r>
        <w:rPr>
          <w:rFonts w:eastAsia="Calibri" w:cs="Arial"/>
          <w:szCs w:val="20"/>
          <w:lang w:val="sl-SI" w:eastAsia="sl-SI"/>
        </w:rPr>
        <w:t>N</w:t>
      </w:r>
      <w:r w:rsidR="003C1B05" w:rsidRPr="005771BD">
        <w:rPr>
          <w:rFonts w:eastAsia="Calibri" w:cs="Arial"/>
          <w:szCs w:val="20"/>
          <w:lang w:val="sl-SI" w:eastAsia="sl-SI"/>
        </w:rPr>
        <w:t xml:space="preserve">a Ministrstvu za okolje in prostor </w:t>
      </w:r>
      <w:r w:rsidR="003C1B05">
        <w:rPr>
          <w:rFonts w:eastAsia="Calibri" w:cs="Arial"/>
          <w:szCs w:val="20"/>
          <w:lang w:val="sl-SI" w:eastAsia="sl-SI"/>
        </w:rPr>
        <w:t>končujeta</w:t>
      </w:r>
      <w:r w:rsidR="003C1B05" w:rsidRPr="005771BD">
        <w:rPr>
          <w:rFonts w:eastAsia="Calibri" w:cs="Arial"/>
          <w:szCs w:val="20"/>
          <w:lang w:val="sl-SI" w:eastAsia="sl-SI"/>
        </w:rPr>
        <w:t xml:space="preserve"> še dva projekta, pomembna za obvladovanje poplavne ogroženosti in upravljanje voda nasploh, in sicer določitev nove hidrografije </w:t>
      </w:r>
      <w:r w:rsidR="003C1B05">
        <w:rPr>
          <w:rFonts w:eastAsia="Calibri" w:cs="Arial"/>
          <w:szCs w:val="20"/>
          <w:lang w:val="sl-SI" w:eastAsia="sl-SI"/>
        </w:rPr>
        <w:t>in</w:t>
      </w:r>
      <w:r w:rsidR="003C1B05" w:rsidRPr="005771BD">
        <w:rPr>
          <w:rFonts w:eastAsia="Calibri" w:cs="Arial"/>
          <w:szCs w:val="20"/>
          <w:lang w:val="sl-SI" w:eastAsia="sl-SI"/>
        </w:rPr>
        <w:t xml:space="preserve"> predlog določitve vodnih zemljišč.  </w:t>
      </w:r>
    </w:p>
    <w:p w:rsidR="003C1B05" w:rsidRPr="005771BD" w:rsidRDefault="003C1B05" w:rsidP="003C1B05">
      <w:pPr>
        <w:spacing w:after="200" w:line="276" w:lineRule="auto"/>
        <w:rPr>
          <w:rFonts w:eastAsia="Calibri" w:cs="Arial"/>
          <w:b/>
          <w:szCs w:val="20"/>
          <w:u w:val="single"/>
          <w:lang w:val="sl-SI"/>
        </w:rPr>
      </w:pPr>
      <w:r w:rsidRPr="005771BD">
        <w:rPr>
          <w:rFonts w:eastAsia="Calibri" w:cs="Arial"/>
          <w:b/>
          <w:szCs w:val="20"/>
          <w:u w:val="single"/>
          <w:lang w:val="sl-SI"/>
        </w:rPr>
        <w:t>1</w:t>
      </w:r>
      <w:r w:rsidR="006331C1">
        <w:rPr>
          <w:rFonts w:eastAsia="Calibri" w:cs="Arial"/>
          <w:b/>
          <w:szCs w:val="20"/>
          <w:u w:val="single"/>
          <w:lang w:val="sl-SI"/>
        </w:rPr>
        <w:t>4</w:t>
      </w:r>
      <w:r w:rsidRPr="005771BD">
        <w:rPr>
          <w:rFonts w:eastAsia="Calibri" w:cs="Arial"/>
          <w:b/>
          <w:szCs w:val="20"/>
          <w:u w:val="single"/>
          <w:lang w:val="sl-SI"/>
        </w:rPr>
        <w:t xml:space="preserve">.3 Zemeljski plazovi  </w:t>
      </w:r>
    </w:p>
    <w:p w:rsidR="003C1B05" w:rsidRPr="005771BD" w:rsidRDefault="003C1B05" w:rsidP="003C1B05">
      <w:pPr>
        <w:spacing w:after="200" w:line="276" w:lineRule="auto"/>
        <w:jc w:val="both"/>
        <w:rPr>
          <w:rFonts w:eastAsia="Calibri" w:cs="Arial"/>
          <w:b/>
          <w:color w:val="000000" w:themeColor="text1"/>
          <w:szCs w:val="20"/>
          <w:lang w:val="sl-SI"/>
        </w:rPr>
      </w:pPr>
      <w:r w:rsidRPr="005771BD">
        <w:rPr>
          <w:rFonts w:eastAsia="Calibri" w:cs="Arial"/>
          <w:b/>
          <w:color w:val="000000" w:themeColor="text1"/>
          <w:szCs w:val="20"/>
          <w:lang w:val="sl-SI"/>
        </w:rPr>
        <w:t>1</w:t>
      </w:r>
      <w:r w:rsidR="00107DE0">
        <w:rPr>
          <w:rFonts w:eastAsia="Calibri" w:cs="Arial"/>
          <w:b/>
          <w:color w:val="000000" w:themeColor="text1"/>
          <w:szCs w:val="20"/>
          <w:lang w:val="sl-SI"/>
        </w:rPr>
        <w:t>4</w:t>
      </w:r>
      <w:r w:rsidRPr="005771BD">
        <w:rPr>
          <w:rFonts w:eastAsia="Calibri" w:cs="Arial"/>
          <w:b/>
          <w:color w:val="000000" w:themeColor="text1"/>
          <w:szCs w:val="20"/>
          <w:lang w:val="sl-SI"/>
        </w:rPr>
        <w:t xml:space="preserve">.3.1 Značilnosti zemeljskih plazov v Sloveniji </w:t>
      </w:r>
    </w:p>
    <w:p w:rsidR="003C1B05" w:rsidRPr="005771BD" w:rsidRDefault="003C1B05" w:rsidP="003C1B05">
      <w:pPr>
        <w:spacing w:after="200" w:line="276" w:lineRule="auto"/>
        <w:jc w:val="both"/>
        <w:rPr>
          <w:rFonts w:eastAsia="Calibri" w:cs="Arial"/>
          <w:color w:val="252525"/>
          <w:szCs w:val="20"/>
          <w:shd w:val="clear" w:color="auto" w:fill="FFFFFF"/>
          <w:lang w:val="sl-SI"/>
        </w:rPr>
      </w:pPr>
      <w:r w:rsidRPr="005771BD">
        <w:rPr>
          <w:rFonts w:eastAsia="Calibri" w:cs="Arial"/>
          <w:b/>
          <w:bCs/>
          <w:color w:val="252525"/>
          <w:szCs w:val="20"/>
          <w:shd w:val="clear" w:color="auto" w:fill="FFFFFF"/>
          <w:lang w:val="sl-SI"/>
        </w:rPr>
        <w:t>Zemeljski plaz</w:t>
      </w:r>
      <w:r w:rsidRPr="005771BD">
        <w:rPr>
          <w:rFonts w:eastAsia="Calibri" w:cs="Arial"/>
          <w:color w:val="252525"/>
          <w:szCs w:val="20"/>
          <w:shd w:val="clear" w:color="auto" w:fill="FFFFFF"/>
          <w:lang w:val="sl-SI"/>
        </w:rPr>
        <w:t> je nekontroliran</w:t>
      </w:r>
      <w:r>
        <w:rPr>
          <w:rFonts w:eastAsia="Calibri" w:cs="Arial"/>
          <w:color w:val="252525"/>
          <w:szCs w:val="20"/>
          <w:shd w:val="clear" w:color="auto" w:fill="FFFFFF"/>
          <w:lang w:val="sl-SI"/>
        </w:rPr>
        <w:t>i</w:t>
      </w:r>
      <w:r w:rsidRPr="005771BD">
        <w:rPr>
          <w:rFonts w:eastAsia="Calibri" w:cs="Arial"/>
          <w:color w:val="252525"/>
          <w:szCs w:val="20"/>
          <w:shd w:val="clear" w:color="auto" w:fill="FFFFFF"/>
          <w:lang w:val="sl-SI"/>
        </w:rPr>
        <w:t xml:space="preserve"> premik večje količine</w:t>
      </w:r>
      <w:r w:rsidRPr="005771BD">
        <w:rPr>
          <w:rFonts w:eastAsia="Calibri" w:cs="Arial"/>
          <w:szCs w:val="20"/>
          <w:lang w:val="sl-SI"/>
        </w:rPr>
        <w:t> </w:t>
      </w:r>
      <w:hyperlink r:id="rId255" w:tooltip="Zemlja (pedologija) (stran ne obstaja)" w:history="1">
        <w:r w:rsidRPr="005771BD">
          <w:rPr>
            <w:rFonts w:eastAsia="Calibri" w:cs="Arial"/>
            <w:color w:val="252525"/>
            <w:szCs w:val="20"/>
            <w:lang w:val="sl-SI"/>
          </w:rPr>
          <w:t>zemlje</w:t>
        </w:r>
      </w:hyperlink>
      <w:r w:rsidRPr="005771BD">
        <w:rPr>
          <w:rFonts w:eastAsia="Calibri" w:cs="Arial"/>
          <w:color w:val="252525"/>
          <w:szCs w:val="20"/>
          <w:shd w:val="clear" w:color="auto" w:fill="FFFFFF"/>
          <w:lang w:val="sl-SI"/>
        </w:rPr>
        <w:t>,</w:t>
      </w:r>
      <w:r w:rsidRPr="005771BD">
        <w:rPr>
          <w:rFonts w:eastAsia="Calibri" w:cs="Arial"/>
          <w:szCs w:val="20"/>
          <w:lang w:val="sl-SI"/>
        </w:rPr>
        <w:t> </w:t>
      </w:r>
      <w:hyperlink r:id="rId256" w:tooltip="Ilovica (stran ne obstaja)" w:history="1">
        <w:r w:rsidRPr="005771BD">
          <w:rPr>
            <w:rFonts w:eastAsia="Calibri" w:cs="Arial"/>
            <w:color w:val="252525"/>
            <w:szCs w:val="20"/>
            <w:lang w:val="sl-SI"/>
          </w:rPr>
          <w:t>blata</w:t>
        </w:r>
      </w:hyperlink>
      <w:r w:rsidRPr="005771BD">
        <w:rPr>
          <w:rFonts w:eastAsia="Calibri" w:cs="Arial"/>
          <w:color w:val="252525"/>
          <w:szCs w:val="20"/>
          <w:shd w:val="clear" w:color="auto" w:fill="FFFFFF"/>
          <w:lang w:val="sl-SI"/>
        </w:rPr>
        <w:t>,</w:t>
      </w:r>
      <w:r w:rsidRPr="005771BD">
        <w:rPr>
          <w:rFonts w:eastAsia="Calibri" w:cs="Arial"/>
          <w:szCs w:val="20"/>
          <w:lang w:val="sl-SI"/>
        </w:rPr>
        <w:t> </w:t>
      </w:r>
      <w:hyperlink r:id="rId257" w:tooltip="Kamenje (stran ne obstaja)" w:history="1">
        <w:r w:rsidRPr="005771BD">
          <w:rPr>
            <w:rFonts w:eastAsia="Calibri" w:cs="Arial"/>
            <w:color w:val="252525"/>
            <w:szCs w:val="20"/>
            <w:lang w:val="sl-SI"/>
          </w:rPr>
          <w:t>kamenja</w:t>
        </w:r>
      </w:hyperlink>
      <w:r w:rsidRPr="005771BD">
        <w:rPr>
          <w:rFonts w:eastAsia="Calibri" w:cs="Arial"/>
          <w:szCs w:val="20"/>
          <w:lang w:val="sl-SI"/>
        </w:rPr>
        <w:t> </w:t>
      </w:r>
      <w:r w:rsidRPr="005771BD">
        <w:rPr>
          <w:rFonts w:eastAsia="Calibri" w:cs="Arial"/>
          <w:color w:val="252525"/>
          <w:szCs w:val="20"/>
          <w:shd w:val="clear" w:color="auto" w:fill="FFFFFF"/>
          <w:lang w:val="sl-SI"/>
        </w:rPr>
        <w:t>in drobirja po pobočju hriba navzdol. Plaz je posledica</w:t>
      </w:r>
      <w:r w:rsidRPr="005771BD">
        <w:rPr>
          <w:rFonts w:eastAsia="Calibri" w:cs="Arial"/>
          <w:szCs w:val="20"/>
          <w:lang w:val="sl-SI"/>
        </w:rPr>
        <w:t> </w:t>
      </w:r>
      <w:hyperlink r:id="rId258" w:tooltip="Fizikalna sprememba" w:history="1">
        <w:r w:rsidRPr="005771BD">
          <w:rPr>
            <w:rFonts w:eastAsia="Calibri" w:cs="Arial"/>
            <w:color w:val="252525"/>
            <w:szCs w:val="20"/>
            <w:lang w:val="sl-SI"/>
          </w:rPr>
          <w:t>fizikalnih</w:t>
        </w:r>
      </w:hyperlink>
      <w:r w:rsidRPr="005771BD">
        <w:rPr>
          <w:rFonts w:eastAsia="Calibri" w:cs="Arial"/>
          <w:szCs w:val="20"/>
          <w:lang w:val="sl-SI"/>
        </w:rPr>
        <w:t> </w:t>
      </w:r>
      <w:r w:rsidRPr="005771BD">
        <w:rPr>
          <w:rFonts w:eastAsia="Calibri" w:cs="Arial"/>
          <w:color w:val="252525"/>
          <w:szCs w:val="20"/>
          <w:shd w:val="clear" w:color="auto" w:fill="FFFFFF"/>
          <w:lang w:val="sl-SI"/>
        </w:rPr>
        <w:t>in</w:t>
      </w:r>
      <w:r w:rsidRPr="005771BD">
        <w:rPr>
          <w:rFonts w:eastAsia="Calibri" w:cs="Arial"/>
          <w:szCs w:val="20"/>
          <w:lang w:val="sl-SI"/>
        </w:rPr>
        <w:t> </w:t>
      </w:r>
      <w:hyperlink r:id="rId259" w:tooltip="Kemijska sprememba" w:history="1">
        <w:r w:rsidRPr="005771BD">
          <w:rPr>
            <w:rFonts w:eastAsia="Calibri" w:cs="Arial"/>
            <w:color w:val="252525"/>
            <w:szCs w:val="20"/>
            <w:lang w:val="sl-SI"/>
          </w:rPr>
          <w:t>kemijskih sprememb</w:t>
        </w:r>
      </w:hyperlink>
      <w:r w:rsidRPr="005771BD">
        <w:rPr>
          <w:rFonts w:eastAsia="Calibri" w:cs="Arial"/>
          <w:color w:val="252525"/>
          <w:szCs w:val="20"/>
          <w:shd w:val="clear" w:color="auto" w:fill="FFFFFF"/>
          <w:lang w:val="sl-SI"/>
        </w:rPr>
        <w:t>, ki nastanejo zaradi več dejavnikov, kot so</w:t>
      </w:r>
      <w:r w:rsidRPr="005771BD">
        <w:rPr>
          <w:rFonts w:eastAsia="Calibri" w:cs="Arial"/>
          <w:szCs w:val="20"/>
          <w:lang w:val="sl-SI"/>
        </w:rPr>
        <w:t> </w:t>
      </w:r>
      <w:hyperlink r:id="rId260" w:tooltip="Potres" w:history="1">
        <w:r w:rsidRPr="005771BD">
          <w:rPr>
            <w:rFonts w:eastAsia="Calibri" w:cs="Arial"/>
            <w:color w:val="252525"/>
            <w:szCs w:val="20"/>
            <w:lang w:val="sl-SI"/>
          </w:rPr>
          <w:t>potresi</w:t>
        </w:r>
      </w:hyperlink>
      <w:r w:rsidRPr="005771BD">
        <w:rPr>
          <w:rFonts w:eastAsia="Calibri" w:cs="Arial"/>
          <w:color w:val="252525"/>
          <w:szCs w:val="20"/>
          <w:shd w:val="clear" w:color="auto" w:fill="FFFFFF"/>
          <w:lang w:val="sl-SI"/>
        </w:rPr>
        <w:t>,</w:t>
      </w:r>
      <w:r w:rsidRPr="005771BD">
        <w:rPr>
          <w:rFonts w:eastAsia="Calibri" w:cs="Arial"/>
          <w:szCs w:val="20"/>
          <w:lang w:val="sl-SI"/>
        </w:rPr>
        <w:t> </w:t>
      </w:r>
      <w:hyperlink r:id="rId261" w:tooltip="Vulkan" w:history="1">
        <w:r w:rsidRPr="005771BD">
          <w:rPr>
            <w:rFonts w:eastAsia="Calibri" w:cs="Arial"/>
            <w:color w:val="252525"/>
            <w:szCs w:val="20"/>
            <w:lang w:val="sl-SI"/>
          </w:rPr>
          <w:t>vulkanske</w:t>
        </w:r>
      </w:hyperlink>
      <w:r w:rsidRPr="005771BD">
        <w:rPr>
          <w:rFonts w:eastAsia="Calibri" w:cs="Arial"/>
          <w:szCs w:val="20"/>
          <w:lang w:val="sl-SI"/>
        </w:rPr>
        <w:t> </w:t>
      </w:r>
      <w:r w:rsidRPr="005771BD">
        <w:rPr>
          <w:rFonts w:eastAsia="Calibri" w:cs="Arial"/>
          <w:color w:val="252525"/>
          <w:szCs w:val="20"/>
          <w:shd w:val="clear" w:color="auto" w:fill="FFFFFF"/>
          <w:lang w:val="sl-SI"/>
        </w:rPr>
        <w:t>aktivnosti,</w:t>
      </w:r>
      <w:r w:rsidRPr="005771BD">
        <w:rPr>
          <w:rFonts w:eastAsia="Calibri" w:cs="Arial"/>
          <w:szCs w:val="20"/>
          <w:lang w:val="sl-SI"/>
        </w:rPr>
        <w:t> </w:t>
      </w:r>
      <w:hyperlink r:id="rId262" w:tooltip="Erozija" w:history="1">
        <w:r w:rsidRPr="005771BD">
          <w:rPr>
            <w:rFonts w:eastAsia="Calibri" w:cs="Arial"/>
            <w:color w:val="252525"/>
            <w:szCs w:val="20"/>
            <w:lang w:val="sl-SI"/>
          </w:rPr>
          <w:t>erozija</w:t>
        </w:r>
      </w:hyperlink>
      <w:r w:rsidRPr="005771BD">
        <w:rPr>
          <w:rFonts w:eastAsia="Calibri" w:cs="Arial"/>
          <w:szCs w:val="20"/>
          <w:lang w:val="sl-SI"/>
        </w:rPr>
        <w:t> </w:t>
      </w:r>
      <w:r w:rsidRPr="005771BD">
        <w:rPr>
          <w:rFonts w:eastAsia="Calibri" w:cs="Arial"/>
          <w:color w:val="252525"/>
          <w:szCs w:val="20"/>
          <w:shd w:val="clear" w:color="auto" w:fill="FFFFFF"/>
          <w:lang w:val="sl-SI"/>
        </w:rPr>
        <w:t>rek ali</w:t>
      </w:r>
      <w:r w:rsidRPr="005771BD">
        <w:rPr>
          <w:rFonts w:eastAsia="Calibri" w:cs="Arial"/>
          <w:szCs w:val="20"/>
          <w:lang w:val="sl-SI"/>
        </w:rPr>
        <w:t> </w:t>
      </w:r>
      <w:hyperlink r:id="rId263" w:tooltip="Ledenik" w:history="1">
        <w:r w:rsidRPr="005771BD">
          <w:rPr>
            <w:rFonts w:eastAsia="Calibri" w:cs="Arial"/>
            <w:color w:val="252525"/>
            <w:szCs w:val="20"/>
            <w:lang w:val="sl-SI"/>
          </w:rPr>
          <w:t>ledenikov</w:t>
        </w:r>
      </w:hyperlink>
      <w:r w:rsidRPr="005771BD">
        <w:rPr>
          <w:rFonts w:eastAsia="Calibri" w:cs="Arial"/>
          <w:color w:val="252525"/>
          <w:szCs w:val="20"/>
          <w:shd w:val="clear" w:color="auto" w:fill="FFFFFF"/>
          <w:lang w:val="sl-SI"/>
        </w:rPr>
        <w:t>, večjih nenadnih prekomernih zbiranj vode, ki so posledica močnih padavin. Ti dejavniki vplivajo na spremembo sil, predvsem na</w:t>
      </w:r>
      <w:r w:rsidRPr="005771BD">
        <w:rPr>
          <w:rFonts w:eastAsia="Calibri" w:cs="Arial"/>
          <w:szCs w:val="20"/>
          <w:lang w:val="sl-SI"/>
        </w:rPr>
        <w:t> </w:t>
      </w:r>
      <w:hyperlink r:id="rId264" w:tooltip="Sila teže" w:history="1">
        <w:r w:rsidRPr="005771BD">
          <w:rPr>
            <w:rFonts w:eastAsia="Calibri" w:cs="Arial"/>
            <w:color w:val="252525"/>
            <w:szCs w:val="20"/>
            <w:lang w:val="sl-SI"/>
          </w:rPr>
          <w:t>silo teže</w:t>
        </w:r>
      </w:hyperlink>
      <w:r w:rsidRPr="005771BD">
        <w:rPr>
          <w:rFonts w:eastAsia="Calibri" w:cs="Arial"/>
          <w:color w:val="252525"/>
          <w:szCs w:val="20"/>
          <w:shd w:val="clear" w:color="auto" w:fill="FFFFFF"/>
          <w:lang w:val="sl-SI"/>
        </w:rPr>
        <w:t>. Posledica je, da nestabilne sestave zdrsijo v ugodnejši stabilen položaj.</w:t>
      </w:r>
    </w:p>
    <w:p w:rsidR="003C1B05" w:rsidRPr="005771BD" w:rsidRDefault="003C1B05" w:rsidP="003C1B05">
      <w:pPr>
        <w:shd w:val="clear" w:color="auto" w:fill="FFFFFF"/>
        <w:spacing w:line="276" w:lineRule="auto"/>
        <w:jc w:val="both"/>
        <w:rPr>
          <w:rFonts w:eastAsia="Calibri" w:cs="Arial"/>
          <w:color w:val="252525"/>
          <w:szCs w:val="20"/>
          <w:shd w:val="clear" w:color="auto" w:fill="FFFFFF"/>
          <w:lang w:val="sl-SI"/>
        </w:rPr>
      </w:pPr>
      <w:r w:rsidRPr="005771BD">
        <w:rPr>
          <w:rFonts w:eastAsia="Calibri" w:cs="Arial"/>
          <w:color w:val="252525"/>
          <w:szCs w:val="20"/>
          <w:shd w:val="clear" w:color="auto" w:fill="FFFFFF"/>
          <w:lang w:val="sl-SI"/>
        </w:rPr>
        <w:t>Vzroki za nastanek plazu so dalj časa trajajoči procesi, ki krhajo ravnovesje v zemljini. Povod pa</w:t>
      </w:r>
      <w:r>
        <w:rPr>
          <w:rFonts w:eastAsia="Calibri" w:cs="Arial"/>
          <w:color w:val="252525"/>
          <w:szCs w:val="20"/>
          <w:shd w:val="clear" w:color="auto" w:fill="FFFFFF"/>
          <w:lang w:val="sl-SI"/>
        </w:rPr>
        <w:t xml:space="preserve"> je</w:t>
      </w:r>
      <w:r w:rsidRPr="005771BD">
        <w:rPr>
          <w:rFonts w:eastAsia="Calibri" w:cs="Arial"/>
          <w:color w:val="252525"/>
          <w:szCs w:val="20"/>
          <w:shd w:val="clear" w:color="auto" w:fill="FFFFFF"/>
          <w:lang w:val="sl-SI"/>
        </w:rPr>
        <w:t xml:space="preserve"> tisti dejavnik, ki to ravnovesje podre. Glavni povodi za sprožitev zemeljskega plazu so:</w:t>
      </w:r>
    </w:p>
    <w:p w:rsidR="003C1B05" w:rsidRPr="005771BD" w:rsidRDefault="003C1B05" w:rsidP="003C1B05">
      <w:pPr>
        <w:numPr>
          <w:ilvl w:val="0"/>
          <w:numId w:val="20"/>
        </w:numPr>
        <w:shd w:val="clear" w:color="auto" w:fill="FFFFFF"/>
        <w:spacing w:before="60" w:line="276" w:lineRule="auto"/>
        <w:ind w:left="284" w:hanging="284"/>
        <w:jc w:val="both"/>
        <w:rPr>
          <w:rFonts w:eastAsia="Calibri" w:cs="Arial"/>
          <w:color w:val="252525"/>
          <w:szCs w:val="20"/>
          <w:shd w:val="clear" w:color="auto" w:fill="FFFFFF"/>
          <w:lang w:val="sl-SI"/>
        </w:rPr>
      </w:pPr>
      <w:r w:rsidRPr="005771BD">
        <w:rPr>
          <w:rFonts w:eastAsia="Calibri" w:cs="Arial"/>
          <w:color w:val="252525"/>
          <w:szCs w:val="20"/>
          <w:shd w:val="clear" w:color="auto" w:fill="FFFFFF"/>
          <w:lang w:val="sl-SI"/>
        </w:rPr>
        <w:t>vremensko dogajanje (močno deževje, poplave, dvig podtalnice)</w:t>
      </w:r>
      <w:r>
        <w:rPr>
          <w:rFonts w:eastAsia="Calibri" w:cs="Arial"/>
          <w:color w:val="252525"/>
          <w:szCs w:val="20"/>
          <w:shd w:val="clear" w:color="auto" w:fill="FFFFFF"/>
          <w:lang w:val="sl-SI"/>
        </w:rPr>
        <w:t xml:space="preserve">, ki </w:t>
      </w:r>
      <w:r w:rsidRPr="005771BD">
        <w:rPr>
          <w:rFonts w:eastAsia="Calibri" w:cs="Arial"/>
          <w:color w:val="252525"/>
          <w:szCs w:val="20"/>
          <w:shd w:val="clear" w:color="auto" w:fill="FFFFFF"/>
          <w:lang w:val="sl-SI"/>
        </w:rPr>
        <w:t>namoči zemljino, poveča vzgonski tlak in zmanjša sile med zrni;</w:t>
      </w:r>
    </w:p>
    <w:p w:rsidR="003C1B05" w:rsidRPr="005771BD" w:rsidRDefault="003C1B05" w:rsidP="003C1B05">
      <w:pPr>
        <w:numPr>
          <w:ilvl w:val="0"/>
          <w:numId w:val="20"/>
        </w:numPr>
        <w:shd w:val="clear" w:color="auto" w:fill="FFFFFF"/>
        <w:spacing w:before="60" w:line="276" w:lineRule="auto"/>
        <w:ind w:left="284" w:hanging="284"/>
        <w:jc w:val="both"/>
        <w:rPr>
          <w:rFonts w:eastAsia="Calibri" w:cs="Arial"/>
          <w:color w:val="252525"/>
          <w:szCs w:val="20"/>
          <w:shd w:val="clear" w:color="auto" w:fill="FFFFFF"/>
          <w:lang w:val="sl-SI"/>
        </w:rPr>
      </w:pPr>
      <w:r w:rsidRPr="005771BD">
        <w:rPr>
          <w:rFonts w:eastAsia="Calibri" w:cs="Arial"/>
          <w:color w:val="252525"/>
          <w:szCs w:val="20"/>
          <w:shd w:val="clear" w:color="auto" w:fill="FFFFFF"/>
          <w:lang w:val="sl-SI"/>
        </w:rPr>
        <w:t>hitre spremembe temperature (taljenje snega, umikanje ledenikov in permafrosta, spomladansko taljenje razpok);</w:t>
      </w:r>
    </w:p>
    <w:p w:rsidR="003C1B05" w:rsidRPr="005771BD" w:rsidRDefault="003C1B05" w:rsidP="003C1B05">
      <w:pPr>
        <w:numPr>
          <w:ilvl w:val="0"/>
          <w:numId w:val="20"/>
        </w:numPr>
        <w:shd w:val="clear" w:color="auto" w:fill="FFFFFF"/>
        <w:spacing w:before="60" w:line="276" w:lineRule="auto"/>
        <w:ind w:left="284" w:hanging="284"/>
        <w:jc w:val="both"/>
        <w:rPr>
          <w:rFonts w:eastAsia="Calibri" w:cs="Arial"/>
          <w:color w:val="252525"/>
          <w:szCs w:val="20"/>
          <w:shd w:val="clear" w:color="auto" w:fill="FFFFFF"/>
          <w:lang w:val="sl-SI"/>
        </w:rPr>
      </w:pPr>
      <w:r w:rsidRPr="005771BD">
        <w:rPr>
          <w:rFonts w:eastAsia="Calibri" w:cs="Arial"/>
          <w:color w:val="252525"/>
          <w:szCs w:val="20"/>
          <w:shd w:val="clear" w:color="auto" w:fill="FFFFFF"/>
          <w:lang w:val="sl-SI"/>
        </w:rPr>
        <w:t>potresi;</w:t>
      </w:r>
    </w:p>
    <w:p w:rsidR="003C1B05" w:rsidRPr="005771BD" w:rsidRDefault="003C1B05" w:rsidP="003C1B05">
      <w:pPr>
        <w:numPr>
          <w:ilvl w:val="0"/>
          <w:numId w:val="20"/>
        </w:numPr>
        <w:shd w:val="clear" w:color="auto" w:fill="FFFFFF"/>
        <w:spacing w:before="60" w:after="240" w:line="276" w:lineRule="auto"/>
        <w:ind w:left="284" w:hanging="284"/>
        <w:jc w:val="both"/>
        <w:rPr>
          <w:rFonts w:eastAsia="Calibri" w:cs="Arial"/>
          <w:color w:val="252525"/>
          <w:szCs w:val="20"/>
          <w:shd w:val="clear" w:color="auto" w:fill="FFFFFF"/>
          <w:lang w:val="sl-SI"/>
        </w:rPr>
      </w:pPr>
      <w:r w:rsidRPr="005771BD">
        <w:rPr>
          <w:rFonts w:eastAsia="Calibri" w:cs="Arial"/>
          <w:color w:val="252525"/>
          <w:szCs w:val="20"/>
          <w:shd w:val="clear" w:color="auto" w:fill="FFFFFF"/>
          <w:lang w:val="sl-SI"/>
        </w:rPr>
        <w:t>antropogeni posegi: spodkopavanje brežin, povečevanje naklona brežin, sečnja gozdov, rudarjenje, promet, sprememba smeri vodotokov in drugo.</w:t>
      </w:r>
    </w:p>
    <w:p w:rsidR="003C1B05" w:rsidRPr="005771BD" w:rsidRDefault="003C1B05" w:rsidP="003C1B05">
      <w:pPr>
        <w:shd w:val="clear" w:color="auto" w:fill="FFFFFF"/>
        <w:spacing w:after="200" w:line="276" w:lineRule="auto"/>
        <w:jc w:val="both"/>
        <w:rPr>
          <w:rFonts w:eastAsia="Calibri" w:cs="Arial"/>
          <w:color w:val="252525"/>
          <w:szCs w:val="20"/>
          <w:shd w:val="clear" w:color="auto" w:fill="FFFFFF"/>
          <w:lang w:val="sl-SI"/>
        </w:rPr>
      </w:pPr>
      <w:r w:rsidRPr="005771BD">
        <w:rPr>
          <w:rFonts w:eastAsia="Calibri" w:cs="Arial"/>
          <w:color w:val="252525"/>
          <w:szCs w:val="20"/>
          <w:shd w:val="clear" w:color="auto" w:fill="FFFFFF"/>
          <w:lang w:val="sl-SI"/>
        </w:rPr>
        <w:t>V </w:t>
      </w:r>
      <w:hyperlink r:id="rId265" w:tooltip="Slovenija" w:history="1">
        <w:r w:rsidRPr="005771BD">
          <w:rPr>
            <w:rFonts w:eastAsia="Calibri" w:cs="Arial"/>
            <w:color w:val="252525"/>
            <w:szCs w:val="20"/>
            <w:shd w:val="clear" w:color="auto" w:fill="FFFFFF"/>
            <w:lang w:val="sl-SI"/>
          </w:rPr>
          <w:t>Sloveniji</w:t>
        </w:r>
      </w:hyperlink>
      <w:r w:rsidRPr="005771BD">
        <w:rPr>
          <w:rFonts w:eastAsia="Calibri" w:cs="Arial"/>
          <w:color w:val="252525"/>
          <w:szCs w:val="20"/>
          <w:shd w:val="clear" w:color="auto" w:fill="FFFFFF"/>
          <w:lang w:val="sl-SI"/>
        </w:rPr>
        <w:t> so zemeljski plazovi v</w:t>
      </w:r>
      <w:r>
        <w:rPr>
          <w:rFonts w:eastAsia="Calibri" w:cs="Arial"/>
          <w:color w:val="252525"/>
          <w:szCs w:val="20"/>
          <w:shd w:val="clear" w:color="auto" w:fill="FFFFFF"/>
          <w:lang w:val="sl-SI"/>
        </w:rPr>
        <w:t>ečinoma</w:t>
      </w:r>
      <w:r w:rsidRPr="005771BD">
        <w:rPr>
          <w:rFonts w:eastAsia="Calibri" w:cs="Arial"/>
          <w:color w:val="252525"/>
          <w:szCs w:val="20"/>
          <w:shd w:val="clear" w:color="auto" w:fill="FFFFFF"/>
          <w:lang w:val="sl-SI"/>
        </w:rPr>
        <w:t xml:space="preserve"> posledica večjih prekomernih zbiranj vode (večdnevnega obilnega deževja ali hitre odjuge). Zemeljski plaz tako nastane na pobočju, kjer je zemlja zelo vlažna. Sproži se takrat, kadar postane zrahljana vrhnja plast nestabilna. Vrhnja plast zemlje zgrmi po pobočju in zasipa oz</w:t>
      </w:r>
      <w:r>
        <w:rPr>
          <w:rFonts w:eastAsia="Calibri" w:cs="Arial"/>
          <w:color w:val="252525"/>
          <w:szCs w:val="20"/>
          <w:shd w:val="clear" w:color="auto" w:fill="FFFFFF"/>
          <w:lang w:val="sl-SI"/>
        </w:rPr>
        <w:t>iroma</w:t>
      </w:r>
      <w:r w:rsidRPr="005771BD">
        <w:rPr>
          <w:rFonts w:eastAsia="Calibri" w:cs="Arial"/>
          <w:color w:val="252525"/>
          <w:szCs w:val="20"/>
          <w:shd w:val="clear" w:color="auto" w:fill="FFFFFF"/>
          <w:lang w:val="sl-SI"/>
        </w:rPr>
        <w:t xml:space="preserve"> podre vse, kar je na</w:t>
      </w:r>
      <w:r>
        <w:rPr>
          <w:rFonts w:eastAsia="Calibri" w:cs="Arial"/>
          <w:color w:val="252525"/>
          <w:szCs w:val="20"/>
          <w:shd w:val="clear" w:color="auto" w:fill="FFFFFF"/>
          <w:lang w:val="sl-SI"/>
        </w:rPr>
        <w:t xml:space="preserve"> njeni</w:t>
      </w:r>
      <w:r w:rsidRPr="005771BD">
        <w:rPr>
          <w:rFonts w:eastAsia="Calibri" w:cs="Arial"/>
          <w:color w:val="252525"/>
          <w:szCs w:val="20"/>
          <w:shd w:val="clear" w:color="auto" w:fill="FFFFFF"/>
          <w:lang w:val="sl-SI"/>
        </w:rPr>
        <w:t xml:space="preserve"> poti.</w:t>
      </w:r>
    </w:p>
    <w:p w:rsidR="003C1B05" w:rsidRPr="005771BD" w:rsidRDefault="003C1B05" w:rsidP="003C1B05">
      <w:pPr>
        <w:shd w:val="clear" w:color="auto" w:fill="FFFFFF"/>
        <w:spacing w:after="200" w:line="276" w:lineRule="auto"/>
        <w:jc w:val="both"/>
        <w:rPr>
          <w:rFonts w:eastAsia="Calibri" w:cs="Arial"/>
          <w:color w:val="252525"/>
          <w:szCs w:val="20"/>
          <w:shd w:val="clear" w:color="auto" w:fill="FFFFFF"/>
          <w:lang w:val="sl-SI"/>
        </w:rPr>
      </w:pPr>
      <w:r w:rsidRPr="005771BD">
        <w:rPr>
          <w:rFonts w:eastAsia="Calibri" w:cs="Arial"/>
          <w:color w:val="252525"/>
          <w:szCs w:val="20"/>
          <w:shd w:val="clear" w:color="auto" w:fill="FFFFFF"/>
          <w:lang w:val="sl-SI"/>
        </w:rPr>
        <w:t xml:space="preserve">V Sloveniji naj bi bilo več kot 7000 zemeljskih plazov, kar četrtina jih ogroža prometno infrastrukturo ali druge objekte. Vsako leto se po obilnejšem deževju sprožijo novi plazovi. </w:t>
      </w:r>
      <w:r w:rsidRPr="005771BD">
        <w:rPr>
          <w:rFonts w:eastAsia="Calibri" w:cs="Arial"/>
          <w:szCs w:val="20"/>
          <w:lang w:val="sl-SI"/>
        </w:rPr>
        <w:t>Plazovit</w:t>
      </w:r>
      <w:r>
        <w:rPr>
          <w:rFonts w:eastAsia="Calibri" w:cs="Arial"/>
          <w:szCs w:val="20"/>
          <w:lang w:val="sl-SI"/>
        </w:rPr>
        <w:t>ih</w:t>
      </w:r>
      <w:r w:rsidRPr="005771BD">
        <w:rPr>
          <w:rFonts w:eastAsia="Calibri" w:cs="Arial"/>
          <w:szCs w:val="20"/>
          <w:lang w:val="sl-SI"/>
        </w:rPr>
        <w:t xml:space="preserve"> območ</w:t>
      </w:r>
      <w:r>
        <w:rPr>
          <w:rFonts w:eastAsia="Calibri" w:cs="Arial"/>
          <w:szCs w:val="20"/>
          <w:lang w:val="sl-SI"/>
        </w:rPr>
        <w:t>ij</w:t>
      </w:r>
      <w:r w:rsidRPr="005771BD">
        <w:rPr>
          <w:rFonts w:eastAsia="Calibri" w:cs="Arial"/>
          <w:szCs w:val="20"/>
          <w:lang w:val="sl-SI"/>
        </w:rPr>
        <w:t xml:space="preserve"> oz</w:t>
      </w:r>
      <w:r>
        <w:rPr>
          <w:rFonts w:eastAsia="Calibri" w:cs="Arial"/>
          <w:szCs w:val="20"/>
          <w:lang w:val="sl-SI"/>
        </w:rPr>
        <w:t>iroma</w:t>
      </w:r>
      <w:r w:rsidRPr="005771BD">
        <w:rPr>
          <w:rFonts w:eastAsia="Calibri" w:cs="Arial"/>
          <w:szCs w:val="20"/>
          <w:lang w:val="sl-SI"/>
        </w:rPr>
        <w:t xml:space="preserve"> pogojno nestabiln</w:t>
      </w:r>
      <w:r>
        <w:rPr>
          <w:rFonts w:eastAsia="Calibri" w:cs="Arial"/>
          <w:szCs w:val="20"/>
          <w:lang w:val="sl-SI"/>
        </w:rPr>
        <w:t>ih</w:t>
      </w:r>
      <w:r w:rsidRPr="005771BD">
        <w:rPr>
          <w:rFonts w:eastAsia="Calibri" w:cs="Arial"/>
          <w:szCs w:val="20"/>
          <w:lang w:val="sl-SI"/>
        </w:rPr>
        <w:t xml:space="preserve"> območ</w:t>
      </w:r>
      <w:r>
        <w:rPr>
          <w:rFonts w:eastAsia="Calibri" w:cs="Arial"/>
          <w:szCs w:val="20"/>
          <w:lang w:val="sl-SI"/>
        </w:rPr>
        <w:t>ij</w:t>
      </w:r>
      <w:r w:rsidRPr="005771BD">
        <w:rPr>
          <w:rFonts w:eastAsia="Calibri" w:cs="Arial"/>
          <w:szCs w:val="20"/>
          <w:lang w:val="sl-SI"/>
        </w:rPr>
        <w:t xml:space="preserve"> </w:t>
      </w:r>
      <w:r>
        <w:rPr>
          <w:rFonts w:eastAsia="Calibri" w:cs="Arial"/>
          <w:szCs w:val="20"/>
          <w:lang w:val="sl-SI"/>
        </w:rPr>
        <w:t>je</w:t>
      </w:r>
      <w:r w:rsidRPr="005771BD">
        <w:rPr>
          <w:rFonts w:eastAsia="Calibri" w:cs="Arial"/>
          <w:szCs w:val="20"/>
          <w:lang w:val="sl-SI"/>
        </w:rPr>
        <w:t xml:space="preserve"> </w:t>
      </w:r>
      <w:r>
        <w:rPr>
          <w:rFonts w:eastAsia="Calibri" w:cs="Arial"/>
          <w:szCs w:val="20"/>
          <w:lang w:val="sl-SI"/>
        </w:rPr>
        <w:t>približno</w:t>
      </w:r>
      <w:r w:rsidRPr="005771BD">
        <w:rPr>
          <w:rFonts w:eastAsia="Calibri" w:cs="Arial"/>
          <w:szCs w:val="20"/>
          <w:lang w:val="sl-SI"/>
        </w:rPr>
        <w:t xml:space="preserve"> 40</w:t>
      </w:r>
      <w:r>
        <w:rPr>
          <w:rFonts w:eastAsia="Calibri" w:cs="Arial"/>
          <w:szCs w:val="20"/>
          <w:lang w:val="sl-SI"/>
        </w:rPr>
        <w:t xml:space="preserve"> </w:t>
      </w:r>
      <w:r w:rsidRPr="005771BD">
        <w:rPr>
          <w:rFonts w:eastAsia="Calibri" w:cs="Arial"/>
          <w:szCs w:val="20"/>
          <w:lang w:val="sl-SI"/>
        </w:rPr>
        <w:t>% celotne površine Slovenije.</w:t>
      </w:r>
    </w:p>
    <w:p w:rsidR="003C1B05" w:rsidRPr="005771BD" w:rsidRDefault="003C1B05" w:rsidP="003C1B05">
      <w:pPr>
        <w:shd w:val="clear" w:color="auto" w:fill="FFFFFF"/>
        <w:spacing w:after="200" w:line="276" w:lineRule="auto"/>
        <w:jc w:val="both"/>
        <w:rPr>
          <w:rFonts w:eastAsia="Calibri" w:cs="Arial"/>
          <w:color w:val="252525"/>
          <w:szCs w:val="20"/>
          <w:shd w:val="clear" w:color="auto" w:fill="FFFFFF"/>
          <w:lang w:val="sl-SI"/>
        </w:rPr>
      </w:pPr>
      <w:r w:rsidRPr="005771BD">
        <w:rPr>
          <w:rFonts w:eastAsia="Calibri" w:cs="Arial"/>
          <w:color w:val="252525"/>
          <w:szCs w:val="20"/>
          <w:shd w:val="clear" w:color="auto" w:fill="FFFFFF"/>
          <w:lang w:val="sl-SI"/>
        </w:rPr>
        <w:t>Med najhujše plazove v Sloveniji štejemo </w:t>
      </w:r>
      <w:hyperlink r:id="rId266" w:tooltip="Zemeljski plaz Stože pod Mangartom" w:history="1">
        <w:r w:rsidRPr="005771BD">
          <w:rPr>
            <w:rFonts w:eastAsia="Calibri" w:cs="Arial"/>
            <w:color w:val="252525"/>
            <w:szCs w:val="20"/>
            <w:shd w:val="clear" w:color="auto" w:fill="FFFFFF"/>
            <w:lang w:val="sl-SI"/>
          </w:rPr>
          <w:t>zemeljski plaz Stože</w:t>
        </w:r>
      </w:hyperlink>
      <w:r w:rsidRPr="005771BD">
        <w:rPr>
          <w:rFonts w:eastAsia="Calibri" w:cs="Arial"/>
          <w:color w:val="252525"/>
          <w:szCs w:val="20"/>
          <w:shd w:val="clear" w:color="auto" w:fill="FFFFFF"/>
          <w:lang w:val="sl-SI"/>
        </w:rPr>
        <w:t> nad </w:t>
      </w:r>
      <w:hyperlink r:id="rId267" w:tooltip="Log pod Mangartom" w:history="1">
        <w:r w:rsidRPr="005771BD">
          <w:rPr>
            <w:rFonts w:eastAsia="Calibri" w:cs="Arial"/>
            <w:color w:val="252525"/>
            <w:szCs w:val="20"/>
            <w:shd w:val="clear" w:color="auto" w:fill="FFFFFF"/>
            <w:lang w:val="sl-SI"/>
          </w:rPr>
          <w:t>Logom pod Mangartom</w:t>
        </w:r>
      </w:hyperlink>
      <w:r w:rsidRPr="005771BD">
        <w:rPr>
          <w:rFonts w:eastAsia="Calibri" w:cs="Arial"/>
          <w:color w:val="252525"/>
          <w:szCs w:val="20"/>
          <w:shd w:val="clear" w:color="auto" w:fill="FFFFFF"/>
          <w:lang w:val="sl-SI"/>
        </w:rPr>
        <w:t> </w:t>
      </w:r>
      <w:hyperlink r:id="rId268" w:tooltip="15. september" w:history="1">
        <w:r w:rsidRPr="005771BD">
          <w:rPr>
            <w:rFonts w:eastAsia="Calibri" w:cs="Arial"/>
            <w:color w:val="252525"/>
            <w:szCs w:val="20"/>
            <w:shd w:val="clear" w:color="auto" w:fill="FFFFFF"/>
            <w:lang w:val="sl-SI"/>
          </w:rPr>
          <w:t>15.</w:t>
        </w:r>
      </w:hyperlink>
      <w:r w:rsidRPr="005771BD">
        <w:rPr>
          <w:rFonts w:eastAsia="Calibri" w:cs="Arial"/>
          <w:color w:val="252525"/>
          <w:szCs w:val="20"/>
          <w:shd w:val="clear" w:color="auto" w:fill="FFFFFF"/>
          <w:lang w:val="sl-SI"/>
        </w:rPr>
        <w:t> in </w:t>
      </w:r>
      <w:hyperlink r:id="rId269" w:tooltip="17. november" w:history="1">
        <w:r w:rsidRPr="005771BD">
          <w:rPr>
            <w:rFonts w:eastAsia="Calibri" w:cs="Arial"/>
            <w:color w:val="252525"/>
            <w:szCs w:val="20"/>
            <w:shd w:val="clear" w:color="auto" w:fill="FFFFFF"/>
            <w:lang w:val="sl-SI"/>
          </w:rPr>
          <w:t>17. novembra</w:t>
        </w:r>
      </w:hyperlink>
      <w:r w:rsidRPr="005771BD">
        <w:rPr>
          <w:rFonts w:eastAsia="Calibri" w:cs="Arial"/>
          <w:color w:val="252525"/>
          <w:szCs w:val="20"/>
          <w:shd w:val="clear" w:color="auto" w:fill="FFFFFF"/>
          <w:lang w:val="sl-SI"/>
        </w:rPr>
        <w:t> leta </w:t>
      </w:r>
      <w:hyperlink r:id="rId270" w:tooltip="2000" w:history="1">
        <w:r w:rsidRPr="005771BD">
          <w:rPr>
            <w:rFonts w:eastAsia="Calibri" w:cs="Arial"/>
            <w:color w:val="252525"/>
            <w:szCs w:val="20"/>
            <w:shd w:val="clear" w:color="auto" w:fill="FFFFFF"/>
            <w:lang w:val="sl-SI"/>
          </w:rPr>
          <w:t>2000</w:t>
        </w:r>
      </w:hyperlink>
      <w:r w:rsidRPr="005771BD">
        <w:rPr>
          <w:rFonts w:eastAsia="Calibri" w:cs="Arial"/>
          <w:color w:val="252525"/>
          <w:szCs w:val="20"/>
          <w:shd w:val="clear" w:color="auto" w:fill="FFFFFF"/>
          <w:lang w:val="sl-SI"/>
        </w:rPr>
        <w:t xml:space="preserve">. Umrlo je </w:t>
      </w:r>
      <w:r>
        <w:rPr>
          <w:rFonts w:eastAsia="Calibri" w:cs="Arial"/>
          <w:color w:val="252525"/>
          <w:szCs w:val="20"/>
          <w:shd w:val="clear" w:color="auto" w:fill="FFFFFF"/>
          <w:lang w:val="sl-SI"/>
        </w:rPr>
        <w:t>sedem</w:t>
      </w:r>
      <w:r w:rsidRPr="005771BD">
        <w:rPr>
          <w:rFonts w:eastAsia="Calibri" w:cs="Arial"/>
          <w:color w:val="252525"/>
          <w:szCs w:val="20"/>
          <w:shd w:val="clear" w:color="auto" w:fill="FFFFFF"/>
          <w:lang w:val="sl-SI"/>
        </w:rPr>
        <w:t xml:space="preserve"> ljudi, veliko hiš je bilo porušenih in zasutih. Drugi veliki plazovi v Sloveniji so še: </w:t>
      </w:r>
      <w:hyperlink r:id="rId271" w:tooltip="Macesnikov plaz (stran ne obstaja)" w:history="1">
        <w:r w:rsidRPr="005771BD">
          <w:rPr>
            <w:rFonts w:eastAsia="Calibri" w:cs="Arial"/>
            <w:color w:val="252525"/>
            <w:szCs w:val="20"/>
            <w:shd w:val="clear" w:color="auto" w:fill="FFFFFF"/>
            <w:lang w:val="sl-SI"/>
          </w:rPr>
          <w:t>Macesnikov plaz</w:t>
        </w:r>
      </w:hyperlink>
      <w:r w:rsidRPr="005771BD">
        <w:rPr>
          <w:rFonts w:eastAsia="Calibri" w:cs="Arial"/>
          <w:color w:val="252525"/>
          <w:szCs w:val="20"/>
          <w:shd w:val="clear" w:color="auto" w:fill="FFFFFF"/>
          <w:lang w:val="sl-SI"/>
        </w:rPr>
        <w:t> pod </w:t>
      </w:r>
      <w:hyperlink r:id="rId272" w:tooltip="Olševa" w:history="1">
        <w:r>
          <w:rPr>
            <w:rFonts w:eastAsia="Calibri" w:cs="Arial"/>
            <w:color w:val="252525"/>
            <w:szCs w:val="20"/>
            <w:shd w:val="clear" w:color="auto" w:fill="FFFFFF"/>
            <w:lang w:val="sl-SI"/>
          </w:rPr>
          <w:t>o</w:t>
        </w:r>
      </w:hyperlink>
      <w:r w:rsidRPr="005771BD">
        <w:rPr>
          <w:rFonts w:eastAsia="Calibri" w:cs="Arial"/>
          <w:color w:val="252525"/>
          <w:szCs w:val="20"/>
          <w:shd w:val="clear" w:color="auto" w:fill="FFFFFF"/>
          <w:lang w:val="sl-SI"/>
        </w:rPr>
        <w:t>, </w:t>
      </w:r>
      <w:hyperlink r:id="rId273" w:tooltip="Slano blato (stran ne obstaja)" w:history="1">
        <w:r w:rsidRPr="005771BD">
          <w:rPr>
            <w:rFonts w:eastAsia="Calibri" w:cs="Arial"/>
            <w:color w:val="252525"/>
            <w:szCs w:val="20"/>
            <w:shd w:val="clear" w:color="auto" w:fill="FFFFFF"/>
            <w:lang w:val="sl-SI"/>
          </w:rPr>
          <w:t>Slano blato</w:t>
        </w:r>
      </w:hyperlink>
      <w:r w:rsidRPr="005771BD">
        <w:rPr>
          <w:rFonts w:eastAsia="Calibri" w:cs="Arial"/>
          <w:color w:val="252525"/>
          <w:szCs w:val="20"/>
          <w:shd w:val="clear" w:color="auto" w:fill="FFFFFF"/>
          <w:lang w:val="sl-SI"/>
        </w:rPr>
        <w:t> nad </w:t>
      </w:r>
      <w:hyperlink r:id="rId274" w:tooltip="Lokavec, Ajdovščina" w:history="1">
        <w:r w:rsidRPr="005771BD">
          <w:rPr>
            <w:rFonts w:eastAsia="Calibri" w:cs="Arial"/>
            <w:color w:val="252525"/>
            <w:szCs w:val="20"/>
            <w:shd w:val="clear" w:color="auto" w:fill="FFFFFF"/>
            <w:lang w:val="sl-SI"/>
          </w:rPr>
          <w:t>Lokavcem</w:t>
        </w:r>
      </w:hyperlink>
      <w:r w:rsidRPr="005771BD">
        <w:rPr>
          <w:rFonts w:eastAsia="Calibri" w:cs="Arial"/>
          <w:color w:val="252525"/>
          <w:szCs w:val="20"/>
          <w:shd w:val="clear" w:color="auto" w:fill="FFFFFF"/>
          <w:lang w:val="sl-SI"/>
        </w:rPr>
        <w:t> v </w:t>
      </w:r>
      <w:hyperlink r:id="rId275" w:tooltip="Vipavska dolina" w:history="1">
        <w:r w:rsidRPr="005771BD">
          <w:rPr>
            <w:rFonts w:eastAsia="Calibri" w:cs="Arial"/>
            <w:color w:val="252525"/>
            <w:szCs w:val="20"/>
            <w:shd w:val="clear" w:color="auto" w:fill="FFFFFF"/>
            <w:lang w:val="sl-SI"/>
          </w:rPr>
          <w:t>Vipavski dolini</w:t>
        </w:r>
      </w:hyperlink>
      <w:r w:rsidRPr="005771BD">
        <w:rPr>
          <w:rFonts w:eastAsia="Calibri" w:cs="Arial"/>
          <w:color w:val="252525"/>
          <w:szCs w:val="20"/>
          <w:shd w:val="clear" w:color="auto" w:fill="FFFFFF"/>
          <w:lang w:val="sl-SI"/>
        </w:rPr>
        <w:t>, Strug (tudi </w:t>
      </w:r>
      <w:hyperlink r:id="rId276" w:tooltip="Koseč" w:history="1">
        <w:r w:rsidRPr="005771BD">
          <w:rPr>
            <w:rFonts w:eastAsia="Calibri" w:cs="Arial"/>
            <w:color w:val="252525"/>
            <w:szCs w:val="20"/>
            <w:shd w:val="clear" w:color="auto" w:fill="FFFFFF"/>
            <w:lang w:val="sl-SI"/>
          </w:rPr>
          <w:t>Koseč</w:t>
        </w:r>
      </w:hyperlink>
      <w:r w:rsidRPr="005771BD">
        <w:rPr>
          <w:rFonts w:eastAsia="Calibri" w:cs="Arial"/>
          <w:color w:val="252525"/>
          <w:szCs w:val="20"/>
          <w:shd w:val="clear" w:color="auto" w:fill="FFFFFF"/>
          <w:lang w:val="sl-SI"/>
        </w:rPr>
        <w:t>) nad Kosečem v Drežniškem kotu, plaz nad Podrago v Vipavski dolini, plaz </w:t>
      </w:r>
      <w:hyperlink r:id="rId277" w:tooltip="Rebernice (stran ne obstaja)" w:history="1">
        <w:r w:rsidRPr="005771BD">
          <w:rPr>
            <w:rFonts w:eastAsia="Calibri" w:cs="Arial"/>
            <w:color w:val="252525"/>
            <w:szCs w:val="20"/>
            <w:shd w:val="clear" w:color="auto" w:fill="FFFFFF"/>
            <w:lang w:val="sl-SI"/>
          </w:rPr>
          <w:t>Rebernice</w:t>
        </w:r>
      </w:hyperlink>
      <w:r w:rsidRPr="005771BD">
        <w:rPr>
          <w:rFonts w:eastAsia="Calibri" w:cs="Arial"/>
          <w:color w:val="252525"/>
          <w:szCs w:val="20"/>
          <w:shd w:val="clear" w:color="auto" w:fill="FFFFFF"/>
          <w:lang w:val="sl-SI"/>
        </w:rPr>
        <w:t> pod </w:t>
      </w:r>
      <w:r>
        <w:rPr>
          <w:rFonts w:eastAsia="Calibri" w:cs="Arial"/>
          <w:color w:val="252525"/>
          <w:szCs w:val="20"/>
          <w:shd w:val="clear" w:color="auto" w:fill="FFFFFF"/>
          <w:lang w:val="sl-SI"/>
        </w:rPr>
        <w:t>Nanosom</w:t>
      </w:r>
      <w:r w:rsidRPr="005771BD">
        <w:rPr>
          <w:rFonts w:eastAsia="Calibri" w:cs="Arial"/>
          <w:color w:val="252525"/>
          <w:szCs w:val="20"/>
          <w:shd w:val="clear" w:color="auto" w:fill="FFFFFF"/>
          <w:lang w:val="sl-SI"/>
        </w:rPr>
        <w:t>, Tretičnikov plaz v </w:t>
      </w:r>
      <w:hyperlink r:id="rId278" w:tooltip="Podvolovljek" w:history="1">
        <w:r w:rsidRPr="005771BD">
          <w:rPr>
            <w:rFonts w:eastAsia="Calibri" w:cs="Arial"/>
            <w:color w:val="252525"/>
            <w:szCs w:val="20"/>
            <w:shd w:val="clear" w:color="auto" w:fill="FFFFFF"/>
            <w:lang w:val="sl-SI"/>
          </w:rPr>
          <w:t>Podvolovljeku</w:t>
        </w:r>
      </w:hyperlink>
      <w:r>
        <w:rPr>
          <w:rFonts w:eastAsia="Calibri" w:cs="Arial"/>
          <w:color w:val="252525"/>
          <w:szCs w:val="20"/>
          <w:shd w:val="clear" w:color="auto" w:fill="FFFFFF"/>
          <w:lang w:val="sl-SI"/>
        </w:rPr>
        <w:t xml:space="preserve"> in</w:t>
      </w:r>
      <w:r w:rsidRPr="005771BD">
        <w:rPr>
          <w:rFonts w:eastAsia="Calibri" w:cs="Arial"/>
          <w:color w:val="252525"/>
          <w:szCs w:val="20"/>
          <w:shd w:val="clear" w:color="auto" w:fill="FFFFFF"/>
          <w:lang w:val="sl-SI"/>
        </w:rPr>
        <w:t xml:space="preserve"> plaz v </w:t>
      </w:r>
      <w:hyperlink r:id="rId279" w:tooltip="Raduha" w:history="1">
        <w:r w:rsidRPr="005771BD">
          <w:rPr>
            <w:rFonts w:eastAsia="Calibri" w:cs="Arial"/>
            <w:color w:val="252525"/>
            <w:szCs w:val="20"/>
            <w:shd w:val="clear" w:color="auto" w:fill="FFFFFF"/>
            <w:lang w:val="sl-SI"/>
          </w:rPr>
          <w:t>Raduhi</w:t>
        </w:r>
      </w:hyperlink>
      <w:r w:rsidRPr="005771BD">
        <w:rPr>
          <w:rFonts w:eastAsia="Calibri" w:cs="Arial"/>
          <w:color w:val="252525"/>
          <w:szCs w:val="20"/>
          <w:shd w:val="clear" w:color="auto" w:fill="FFFFFF"/>
          <w:lang w:val="sl-SI"/>
        </w:rPr>
        <w:t>.</w:t>
      </w:r>
    </w:p>
    <w:p w:rsidR="003C1B05" w:rsidRPr="005771BD" w:rsidRDefault="003C1B05" w:rsidP="003C1B05">
      <w:pPr>
        <w:shd w:val="clear" w:color="auto" w:fill="FFFFFF"/>
        <w:spacing w:after="200" w:line="276" w:lineRule="auto"/>
        <w:jc w:val="both"/>
        <w:rPr>
          <w:rFonts w:eastAsia="Calibri" w:cs="Arial"/>
          <w:color w:val="252525"/>
          <w:szCs w:val="20"/>
          <w:shd w:val="clear" w:color="auto" w:fill="FFFFFF"/>
          <w:lang w:val="sl-SI"/>
        </w:rPr>
      </w:pPr>
      <w:r w:rsidRPr="005771BD">
        <w:rPr>
          <w:rFonts w:eastAsia="Calibri" w:cs="Arial"/>
          <w:color w:val="252525"/>
          <w:szCs w:val="20"/>
          <w:shd w:val="clear" w:color="auto" w:fill="FFFFFF"/>
          <w:lang w:val="sl-SI"/>
        </w:rPr>
        <w:t>Največji znani plaz v Sloveniji je </w:t>
      </w:r>
      <w:hyperlink r:id="rId280" w:tooltip="Ilirskobistriški fosilni plaz" w:history="1">
        <w:r>
          <w:rPr>
            <w:rFonts w:eastAsia="Calibri" w:cs="Arial"/>
            <w:color w:val="252525"/>
            <w:szCs w:val="20"/>
            <w:shd w:val="clear" w:color="auto" w:fill="FFFFFF"/>
            <w:lang w:val="sl-SI"/>
          </w:rPr>
          <w:t>i</w:t>
        </w:r>
        <w:r w:rsidRPr="005771BD">
          <w:rPr>
            <w:rFonts w:eastAsia="Calibri" w:cs="Arial"/>
            <w:color w:val="252525"/>
            <w:szCs w:val="20"/>
            <w:shd w:val="clear" w:color="auto" w:fill="FFFFFF"/>
            <w:lang w:val="sl-SI"/>
          </w:rPr>
          <w:t>lirskobistriški fosilni plaz</w:t>
        </w:r>
      </w:hyperlink>
      <w:r w:rsidRPr="005771BD">
        <w:rPr>
          <w:rFonts w:eastAsia="Calibri" w:cs="Arial"/>
          <w:color w:val="252525"/>
          <w:szCs w:val="20"/>
          <w:shd w:val="clear" w:color="auto" w:fill="FFFFFF"/>
          <w:lang w:val="sl-SI"/>
        </w:rPr>
        <w:t>, ki se je sprožil pred približno dvema milijonoma let na območju med </w:t>
      </w:r>
      <w:hyperlink r:id="rId281" w:tooltip="Ilirska Bistrica" w:history="1">
        <w:r w:rsidRPr="005771BD">
          <w:rPr>
            <w:rFonts w:eastAsia="Calibri" w:cs="Arial"/>
            <w:color w:val="252525"/>
            <w:szCs w:val="20"/>
            <w:shd w:val="clear" w:color="auto" w:fill="FFFFFF"/>
            <w:lang w:val="sl-SI"/>
          </w:rPr>
          <w:t>Ilirsko Bistrico</w:t>
        </w:r>
      </w:hyperlink>
      <w:r w:rsidRPr="005771BD">
        <w:rPr>
          <w:rFonts w:eastAsia="Calibri" w:cs="Arial"/>
          <w:color w:val="252525"/>
          <w:szCs w:val="20"/>
          <w:shd w:val="clear" w:color="auto" w:fill="FFFFFF"/>
          <w:lang w:val="sl-SI"/>
        </w:rPr>
        <w:t> in </w:t>
      </w:r>
      <w:hyperlink r:id="rId282" w:tooltip="Volovja reber" w:history="1">
        <w:r w:rsidRPr="005771BD">
          <w:rPr>
            <w:rFonts w:eastAsia="Calibri" w:cs="Arial"/>
            <w:color w:val="252525"/>
            <w:szCs w:val="20"/>
            <w:shd w:val="clear" w:color="auto" w:fill="FFFFFF"/>
            <w:lang w:val="sl-SI"/>
          </w:rPr>
          <w:t>Volovjo rebrijo</w:t>
        </w:r>
      </w:hyperlink>
      <w:r w:rsidRPr="005771BD">
        <w:rPr>
          <w:rFonts w:eastAsia="Calibri" w:cs="Arial"/>
          <w:color w:val="252525"/>
          <w:szCs w:val="20"/>
          <w:shd w:val="clear" w:color="auto" w:fill="FFFFFF"/>
          <w:lang w:val="sl-SI"/>
        </w:rPr>
        <w:t>. Gre za plaz izjemnih razsežnosti. Zdrsnil je rob </w:t>
      </w:r>
      <w:hyperlink r:id="rId283" w:tooltip="Snežnik" w:history="1">
        <w:r w:rsidRPr="005771BD">
          <w:rPr>
            <w:rFonts w:eastAsia="Calibri" w:cs="Arial"/>
            <w:color w:val="252525"/>
            <w:szCs w:val="20"/>
            <w:shd w:val="clear" w:color="auto" w:fill="FFFFFF"/>
            <w:lang w:val="sl-SI"/>
          </w:rPr>
          <w:t>Snežniške</w:t>
        </w:r>
      </w:hyperlink>
      <w:r w:rsidRPr="005771BD">
        <w:rPr>
          <w:rFonts w:eastAsia="Calibri" w:cs="Arial"/>
          <w:color w:val="252525"/>
          <w:szCs w:val="20"/>
          <w:shd w:val="clear" w:color="auto" w:fill="FFFFFF"/>
          <w:lang w:val="sl-SI"/>
        </w:rPr>
        <w:t xml:space="preserve"> planote površine približno 20 km², debeline med 200 in 250 m in prostornine okoli 5 milijard m³. Ker je plaz dobro ohranjen in je med največjimi na svetu, </w:t>
      </w:r>
      <w:r>
        <w:rPr>
          <w:rFonts w:eastAsia="Calibri" w:cs="Arial"/>
          <w:color w:val="252525"/>
          <w:szCs w:val="20"/>
          <w:shd w:val="clear" w:color="auto" w:fill="FFFFFF"/>
          <w:lang w:val="sl-SI"/>
        </w:rPr>
        <w:t xml:space="preserve">je v svetovnem merilu </w:t>
      </w:r>
      <w:r w:rsidRPr="005771BD">
        <w:rPr>
          <w:rFonts w:eastAsia="Calibri" w:cs="Arial"/>
          <w:color w:val="252525"/>
          <w:szCs w:val="20"/>
          <w:shd w:val="clear" w:color="auto" w:fill="FFFFFF"/>
          <w:lang w:val="sl-SI"/>
        </w:rPr>
        <w:t>vrhunsk</w:t>
      </w:r>
      <w:r>
        <w:rPr>
          <w:rFonts w:eastAsia="Calibri" w:cs="Arial"/>
          <w:color w:val="252525"/>
          <w:szCs w:val="20"/>
          <w:shd w:val="clear" w:color="auto" w:fill="FFFFFF"/>
          <w:lang w:val="sl-SI"/>
        </w:rPr>
        <w:t>a</w:t>
      </w:r>
      <w:r w:rsidRPr="005771BD">
        <w:rPr>
          <w:rFonts w:eastAsia="Calibri" w:cs="Arial"/>
          <w:color w:val="252525"/>
          <w:szCs w:val="20"/>
          <w:shd w:val="clear" w:color="auto" w:fill="FFFFFF"/>
          <w:lang w:val="sl-SI"/>
        </w:rPr>
        <w:t xml:space="preserve"> geološk</w:t>
      </w:r>
      <w:r>
        <w:rPr>
          <w:rFonts w:eastAsia="Calibri" w:cs="Arial"/>
          <w:color w:val="252525"/>
          <w:szCs w:val="20"/>
          <w:shd w:val="clear" w:color="auto" w:fill="FFFFFF"/>
          <w:lang w:val="sl-SI"/>
        </w:rPr>
        <w:t>a</w:t>
      </w:r>
      <w:r w:rsidRPr="005771BD">
        <w:rPr>
          <w:rFonts w:eastAsia="Calibri" w:cs="Arial"/>
          <w:color w:val="252525"/>
          <w:szCs w:val="20"/>
          <w:shd w:val="clear" w:color="auto" w:fill="FFFFFF"/>
          <w:lang w:val="sl-SI"/>
        </w:rPr>
        <w:t xml:space="preserve"> in geomorfološk</w:t>
      </w:r>
      <w:r>
        <w:rPr>
          <w:rFonts w:eastAsia="Calibri" w:cs="Arial"/>
          <w:color w:val="252525"/>
          <w:szCs w:val="20"/>
          <w:shd w:val="clear" w:color="auto" w:fill="FFFFFF"/>
          <w:lang w:val="sl-SI"/>
        </w:rPr>
        <w:t>a</w:t>
      </w:r>
      <w:r w:rsidRPr="005771BD">
        <w:rPr>
          <w:rFonts w:eastAsia="Calibri" w:cs="Arial"/>
          <w:color w:val="252525"/>
          <w:szCs w:val="20"/>
          <w:shd w:val="clear" w:color="auto" w:fill="FFFFFF"/>
          <w:lang w:val="sl-SI"/>
        </w:rPr>
        <w:t xml:space="preserve"> naravn</w:t>
      </w:r>
      <w:r>
        <w:rPr>
          <w:rFonts w:eastAsia="Calibri" w:cs="Arial"/>
          <w:color w:val="252525"/>
          <w:szCs w:val="20"/>
          <w:shd w:val="clear" w:color="auto" w:fill="FFFFFF"/>
          <w:lang w:val="sl-SI"/>
        </w:rPr>
        <w:t>a</w:t>
      </w:r>
      <w:r w:rsidRPr="005771BD">
        <w:rPr>
          <w:rFonts w:eastAsia="Calibri" w:cs="Arial"/>
          <w:color w:val="252525"/>
          <w:szCs w:val="20"/>
          <w:shd w:val="clear" w:color="auto" w:fill="FFFFFF"/>
          <w:lang w:val="sl-SI"/>
        </w:rPr>
        <w:t xml:space="preserve"> dediščin</w:t>
      </w:r>
      <w:r>
        <w:rPr>
          <w:rFonts w:eastAsia="Calibri" w:cs="Arial"/>
          <w:color w:val="252525"/>
          <w:szCs w:val="20"/>
          <w:shd w:val="clear" w:color="auto" w:fill="FFFFFF"/>
          <w:lang w:val="sl-SI"/>
        </w:rPr>
        <w:t>a</w:t>
      </w:r>
      <w:r w:rsidRPr="005771BD">
        <w:rPr>
          <w:rFonts w:eastAsia="Calibri" w:cs="Arial"/>
          <w:color w:val="252525"/>
          <w:szCs w:val="20"/>
          <w:shd w:val="clear" w:color="auto" w:fill="FFFFFF"/>
          <w:lang w:val="sl-SI"/>
        </w:rPr>
        <w:t xml:space="preserve"> </w:t>
      </w:r>
    </w:p>
    <w:p w:rsidR="003C1B05" w:rsidRPr="005771BD" w:rsidRDefault="003C1B05" w:rsidP="003C1B05">
      <w:pPr>
        <w:autoSpaceDE w:val="0"/>
        <w:autoSpaceDN w:val="0"/>
        <w:adjustRightInd w:val="0"/>
        <w:spacing w:after="200" w:line="276" w:lineRule="auto"/>
        <w:jc w:val="both"/>
        <w:rPr>
          <w:rFonts w:eastAsia="Calibri" w:cs="Arial"/>
          <w:szCs w:val="20"/>
          <w:lang w:val="sl-SI"/>
        </w:rPr>
      </w:pPr>
      <w:r>
        <w:rPr>
          <w:rFonts w:eastAsia="Calibri" w:cs="Arial"/>
          <w:szCs w:val="20"/>
          <w:lang w:val="sl-SI"/>
        </w:rPr>
        <w:t>O</w:t>
      </w:r>
      <w:r w:rsidRPr="005771BD">
        <w:rPr>
          <w:rFonts w:eastAsia="Calibri" w:cs="Arial"/>
          <w:szCs w:val="20"/>
          <w:lang w:val="sl-SI"/>
        </w:rPr>
        <w:t>dprav</w:t>
      </w:r>
      <w:r>
        <w:rPr>
          <w:rFonts w:eastAsia="Calibri" w:cs="Arial"/>
          <w:szCs w:val="20"/>
          <w:lang w:val="sl-SI"/>
        </w:rPr>
        <w:t>a</w:t>
      </w:r>
      <w:r w:rsidRPr="005771BD">
        <w:rPr>
          <w:rFonts w:eastAsia="Calibri" w:cs="Arial"/>
          <w:szCs w:val="20"/>
          <w:lang w:val="sl-SI"/>
        </w:rPr>
        <w:t xml:space="preserve"> posledic zemeljskih plazov na državn</w:t>
      </w:r>
      <w:r>
        <w:rPr>
          <w:rFonts w:eastAsia="Calibri" w:cs="Arial"/>
          <w:szCs w:val="20"/>
          <w:lang w:val="sl-SI"/>
        </w:rPr>
        <w:t>i ravni</w:t>
      </w:r>
      <w:r w:rsidRPr="005771BD">
        <w:rPr>
          <w:rFonts w:eastAsia="Calibri" w:cs="Arial"/>
          <w:szCs w:val="20"/>
          <w:lang w:val="sl-SI"/>
        </w:rPr>
        <w:t xml:space="preserve"> ni sistemsko in celovito rešena. Odprava posledic zemeljskih plazov se tako izvaja na podlagi zakonodaje s področja varstva pred nesrečami in Zakona o odpravi posledic naravnih nesreč (Uradni list RS, št. 114/05-UPB1, 90/07, 102/07, 40/12-ZUJF in 17/14) (v nadaljevanju: zakon). V zakonu je določeno, da Vlada </w:t>
      </w:r>
      <w:r>
        <w:rPr>
          <w:rFonts w:eastAsia="Calibri" w:cs="Arial"/>
          <w:szCs w:val="20"/>
          <w:lang w:val="sl-SI"/>
        </w:rPr>
        <w:t>R</w:t>
      </w:r>
      <w:r w:rsidRPr="005771BD">
        <w:rPr>
          <w:rFonts w:eastAsia="Calibri" w:cs="Arial"/>
          <w:szCs w:val="20"/>
          <w:lang w:val="sl-SI"/>
        </w:rPr>
        <w:t>epublike Slovenije odloči o uporabi sredstev državnega proračuna pri odpravi posledic naravnih nesreč, če znaša ocena neposredne škode na stvareh več kot 0,3 promil</w:t>
      </w:r>
      <w:r>
        <w:rPr>
          <w:rFonts w:eastAsia="Calibri" w:cs="Arial"/>
          <w:szCs w:val="20"/>
          <w:lang w:val="sl-SI"/>
        </w:rPr>
        <w:t>a</w:t>
      </w:r>
      <w:r w:rsidRPr="005771BD">
        <w:rPr>
          <w:rFonts w:eastAsia="Calibri" w:cs="Arial"/>
          <w:szCs w:val="20"/>
          <w:lang w:val="sl-SI"/>
        </w:rPr>
        <w:t xml:space="preserve"> načrtovanih prihodkov državnega proračuna (</w:t>
      </w:r>
      <w:r>
        <w:rPr>
          <w:rFonts w:eastAsia="Calibri" w:cs="Arial"/>
          <w:szCs w:val="20"/>
          <w:lang w:val="sl-SI"/>
        </w:rPr>
        <w:t>okoli</w:t>
      </w:r>
      <w:r w:rsidRPr="005771BD">
        <w:rPr>
          <w:rFonts w:eastAsia="Calibri" w:cs="Arial"/>
          <w:szCs w:val="20"/>
          <w:lang w:val="sl-SI"/>
        </w:rPr>
        <w:t xml:space="preserve"> 2,5 mio €). Navedeno oceno neposredne škode predloži Vladi Republike Slovenije v obravnavo ministrstvo, pristojno za varstvo pred naravnimi in drugimi nesrečami, po </w:t>
      </w:r>
      <w:r>
        <w:rPr>
          <w:rFonts w:eastAsia="Calibri" w:cs="Arial"/>
          <w:szCs w:val="20"/>
          <w:lang w:val="sl-SI"/>
        </w:rPr>
        <w:t xml:space="preserve">izvedenih </w:t>
      </w:r>
      <w:r w:rsidRPr="005771BD">
        <w:rPr>
          <w:rFonts w:eastAsia="Calibri" w:cs="Arial"/>
          <w:szCs w:val="20"/>
          <w:lang w:val="sl-SI"/>
        </w:rPr>
        <w:t>intervencijskih ukrep</w:t>
      </w:r>
      <w:r>
        <w:rPr>
          <w:rFonts w:eastAsia="Calibri" w:cs="Arial"/>
          <w:szCs w:val="20"/>
          <w:lang w:val="sl-SI"/>
        </w:rPr>
        <w:t xml:space="preserve">ih </w:t>
      </w:r>
      <w:r w:rsidRPr="005771BD">
        <w:rPr>
          <w:rFonts w:eastAsia="Calibri" w:cs="Arial"/>
          <w:szCs w:val="20"/>
          <w:lang w:val="sl-SI"/>
        </w:rPr>
        <w:t xml:space="preserve">v skladu s predpisi, ki urejajo varstvo pred naravnimi  in drugimi nesrečami. </w:t>
      </w:r>
    </w:p>
    <w:p w:rsidR="003C1B05" w:rsidRPr="005771BD" w:rsidRDefault="003C1B05" w:rsidP="003C1B05">
      <w:pPr>
        <w:autoSpaceDE w:val="0"/>
        <w:autoSpaceDN w:val="0"/>
        <w:adjustRightInd w:val="0"/>
        <w:spacing w:after="200" w:line="276" w:lineRule="auto"/>
        <w:jc w:val="both"/>
        <w:rPr>
          <w:rFonts w:eastAsia="Calibri" w:cs="Arial"/>
          <w:szCs w:val="20"/>
          <w:lang w:val="sl-SI"/>
        </w:rPr>
      </w:pPr>
      <w:r w:rsidRPr="005771BD">
        <w:rPr>
          <w:rFonts w:eastAsia="Calibri" w:cs="Arial"/>
          <w:szCs w:val="20"/>
          <w:lang w:val="sl-SI"/>
        </w:rPr>
        <w:t>V preteklih letih so se sredstva državnega proračuna dodeljevala za odpravo posledic obsežnih poplav v novembru 2010, septembru 2012, februarj</w:t>
      </w:r>
      <w:r>
        <w:rPr>
          <w:rFonts w:eastAsia="Calibri" w:cs="Arial"/>
          <w:szCs w:val="20"/>
          <w:lang w:val="sl-SI"/>
        </w:rPr>
        <w:t>u</w:t>
      </w:r>
      <w:r w:rsidRPr="005771BD">
        <w:rPr>
          <w:rFonts w:eastAsia="Calibri" w:cs="Arial"/>
          <w:szCs w:val="20"/>
          <w:lang w:val="sl-SI"/>
        </w:rPr>
        <w:t xml:space="preserve"> 2014, septembr</w:t>
      </w:r>
      <w:r>
        <w:rPr>
          <w:rFonts w:eastAsia="Calibri" w:cs="Arial"/>
          <w:szCs w:val="20"/>
          <w:lang w:val="sl-SI"/>
        </w:rPr>
        <w:t>u</w:t>
      </w:r>
      <w:r w:rsidRPr="005771BD">
        <w:rPr>
          <w:rFonts w:eastAsia="Calibri" w:cs="Arial"/>
          <w:szCs w:val="20"/>
          <w:lang w:val="sl-SI"/>
        </w:rPr>
        <w:t xml:space="preserve"> 2014, oktobr</w:t>
      </w:r>
      <w:r>
        <w:rPr>
          <w:rFonts w:eastAsia="Calibri" w:cs="Arial"/>
          <w:szCs w:val="20"/>
          <w:lang w:val="sl-SI"/>
        </w:rPr>
        <w:t>u</w:t>
      </w:r>
      <w:r w:rsidRPr="005771BD">
        <w:rPr>
          <w:rFonts w:eastAsia="Calibri" w:cs="Arial"/>
          <w:szCs w:val="20"/>
          <w:lang w:val="sl-SI"/>
        </w:rPr>
        <w:t xml:space="preserve"> 2014 in novembr</w:t>
      </w:r>
      <w:r>
        <w:rPr>
          <w:rFonts w:eastAsia="Calibri" w:cs="Arial"/>
          <w:szCs w:val="20"/>
          <w:lang w:val="sl-SI"/>
        </w:rPr>
        <w:t>u</w:t>
      </w:r>
      <w:r w:rsidRPr="005771BD">
        <w:rPr>
          <w:rFonts w:eastAsia="Calibri" w:cs="Arial"/>
          <w:szCs w:val="20"/>
          <w:lang w:val="sl-SI"/>
        </w:rPr>
        <w:t xml:space="preserve"> 2014.</w:t>
      </w:r>
    </w:p>
    <w:p w:rsidR="003C1B05" w:rsidRPr="00415D4E" w:rsidRDefault="003C1B05" w:rsidP="003C1B05">
      <w:pPr>
        <w:keepNext/>
        <w:keepLines/>
        <w:shd w:val="clear" w:color="auto" w:fill="FFFFFF"/>
        <w:spacing w:before="75" w:after="200" w:line="276" w:lineRule="auto"/>
        <w:jc w:val="both"/>
        <w:outlineLvl w:val="1"/>
        <w:rPr>
          <w:rFonts w:cs="Arial"/>
          <w:szCs w:val="20"/>
          <w:lang w:val="sl-SI" w:eastAsia="sl-SI"/>
        </w:rPr>
      </w:pPr>
      <w:r w:rsidRPr="00415D4E">
        <w:rPr>
          <w:rFonts w:cs="Arial"/>
          <w:szCs w:val="20"/>
          <w:lang w:val="sl-SI" w:eastAsia="sl-SI"/>
        </w:rPr>
        <w:t xml:space="preserve">V okviru programov odprave posledic posamezne nesreče </w:t>
      </w:r>
      <w:r>
        <w:rPr>
          <w:rFonts w:cs="Arial"/>
          <w:szCs w:val="20"/>
          <w:lang w:val="sl-SI" w:eastAsia="sl-SI"/>
        </w:rPr>
        <w:t xml:space="preserve">se </w:t>
      </w:r>
      <w:r w:rsidRPr="00415D4E">
        <w:rPr>
          <w:rFonts w:cs="Arial"/>
          <w:szCs w:val="20"/>
          <w:lang w:val="sl-SI" w:eastAsia="sl-SI"/>
        </w:rPr>
        <w:t xml:space="preserve">izvajajo tudi ukrepi za odpravo posledic zemeljskih plazov – izgradnja geotehničnih objektov. Sredstva se dodelijo lokalnim skupnostim, ki so nosilke izvedbe teh ukrepov,  vendar se evidenca  </w:t>
      </w:r>
      <w:r>
        <w:rPr>
          <w:rFonts w:cs="Arial"/>
          <w:szCs w:val="20"/>
          <w:lang w:val="sl-SI" w:eastAsia="sl-SI"/>
        </w:rPr>
        <w:t>le</w:t>
      </w:r>
      <w:r w:rsidRPr="00415D4E">
        <w:rPr>
          <w:rFonts w:cs="Arial"/>
          <w:szCs w:val="20"/>
          <w:lang w:val="sl-SI" w:eastAsia="sl-SI"/>
        </w:rPr>
        <w:t xml:space="preserve"> geotehničnih ukrepov ne vodi ločeno, temveč v okviru vseh objektov, ki se sanirajo na območju posamezne občine. Stroški sanacije plazov tudi močno presegajo neposredno materialno škodo, ocenjeno </w:t>
      </w:r>
      <w:r>
        <w:rPr>
          <w:rFonts w:cs="Arial"/>
          <w:szCs w:val="20"/>
          <w:lang w:val="sl-SI" w:eastAsia="sl-SI"/>
        </w:rPr>
        <w:t xml:space="preserve">v </w:t>
      </w:r>
      <w:r w:rsidRPr="00415D4E">
        <w:rPr>
          <w:rFonts w:cs="Arial"/>
          <w:szCs w:val="20"/>
          <w:lang w:val="sl-SI" w:eastAsia="sl-SI"/>
        </w:rPr>
        <w:t>sklad</w:t>
      </w:r>
      <w:r>
        <w:rPr>
          <w:rFonts w:cs="Arial"/>
          <w:szCs w:val="20"/>
          <w:lang w:val="sl-SI" w:eastAsia="sl-SI"/>
        </w:rPr>
        <w:t>u</w:t>
      </w:r>
      <w:r w:rsidRPr="00415D4E">
        <w:rPr>
          <w:rFonts w:cs="Arial"/>
          <w:szCs w:val="20"/>
          <w:lang w:val="sl-SI" w:eastAsia="sl-SI"/>
        </w:rPr>
        <w:t xml:space="preserve"> z metodologijo za ocenjevanje škode po naravnih nesrečah. Ocenjujemo, da znašajo stroški sanacije plazov </w:t>
      </w:r>
      <w:r>
        <w:rPr>
          <w:rFonts w:cs="Arial"/>
          <w:szCs w:val="20"/>
          <w:lang w:val="sl-SI" w:eastAsia="sl-SI"/>
        </w:rPr>
        <w:t>približno</w:t>
      </w:r>
      <w:r w:rsidRPr="00415D4E">
        <w:rPr>
          <w:rFonts w:cs="Arial"/>
          <w:szCs w:val="20"/>
          <w:lang w:val="sl-SI" w:eastAsia="sl-SI"/>
        </w:rPr>
        <w:t xml:space="preserve"> 85</w:t>
      </w:r>
      <w:r>
        <w:rPr>
          <w:rFonts w:cs="Arial"/>
          <w:szCs w:val="20"/>
          <w:lang w:val="sl-SI" w:eastAsia="sl-SI"/>
        </w:rPr>
        <w:t xml:space="preserve"> </w:t>
      </w:r>
      <w:r w:rsidRPr="00415D4E">
        <w:rPr>
          <w:rFonts w:cs="Arial"/>
          <w:szCs w:val="20"/>
          <w:lang w:val="sl-SI" w:eastAsia="sl-SI"/>
        </w:rPr>
        <w:t>% vseh dodeljenih sredstev lokalnim skupnosti</w:t>
      </w:r>
      <w:r>
        <w:rPr>
          <w:rFonts w:cs="Arial"/>
          <w:szCs w:val="20"/>
          <w:lang w:val="sl-SI" w:eastAsia="sl-SI"/>
        </w:rPr>
        <w:t>m</w:t>
      </w:r>
      <w:r w:rsidRPr="00415D4E">
        <w:rPr>
          <w:rFonts w:cs="Arial"/>
          <w:szCs w:val="20"/>
          <w:lang w:val="sl-SI" w:eastAsia="sl-SI"/>
        </w:rPr>
        <w:t xml:space="preserve"> za odpravo posledic naravnih nesreč in znašajo na letni ravni </w:t>
      </w:r>
      <w:r>
        <w:rPr>
          <w:rFonts w:cs="Arial"/>
          <w:szCs w:val="20"/>
          <w:lang w:val="sl-SI" w:eastAsia="sl-SI"/>
        </w:rPr>
        <w:t>okoli</w:t>
      </w:r>
      <w:r w:rsidRPr="00415D4E">
        <w:rPr>
          <w:rFonts w:cs="Arial"/>
          <w:szCs w:val="20"/>
          <w:lang w:val="sl-SI" w:eastAsia="sl-SI"/>
        </w:rPr>
        <w:t xml:space="preserve"> 4</w:t>
      </w:r>
      <w:r>
        <w:rPr>
          <w:rFonts w:cs="Arial"/>
          <w:szCs w:val="20"/>
          <w:lang w:val="sl-SI" w:eastAsia="sl-SI"/>
        </w:rPr>
        <w:t>–</w:t>
      </w:r>
      <w:r w:rsidRPr="00415D4E">
        <w:rPr>
          <w:rFonts w:cs="Arial"/>
          <w:szCs w:val="20"/>
          <w:lang w:val="sl-SI" w:eastAsia="sl-SI"/>
        </w:rPr>
        <w:t>6 mio E</w:t>
      </w:r>
      <w:r>
        <w:rPr>
          <w:rFonts w:cs="Arial"/>
          <w:szCs w:val="20"/>
          <w:lang w:val="sl-SI" w:eastAsia="sl-SI"/>
        </w:rPr>
        <w:t>UR</w:t>
      </w:r>
      <w:r w:rsidRPr="00415D4E">
        <w:rPr>
          <w:rFonts w:cs="Arial"/>
          <w:szCs w:val="20"/>
          <w:lang w:val="sl-SI" w:eastAsia="sl-SI"/>
        </w:rPr>
        <w:t>.</w:t>
      </w:r>
    </w:p>
    <w:p w:rsidR="003C1B05" w:rsidRPr="005771BD" w:rsidRDefault="003C1B05" w:rsidP="003C1B05">
      <w:pPr>
        <w:spacing w:after="200" w:line="276" w:lineRule="auto"/>
        <w:jc w:val="both"/>
        <w:rPr>
          <w:rFonts w:eastAsia="Calibri" w:cs="Arial"/>
          <w:b/>
          <w:szCs w:val="20"/>
          <w:lang w:val="sl-SI"/>
        </w:rPr>
      </w:pPr>
      <w:r w:rsidRPr="005771BD">
        <w:rPr>
          <w:rFonts w:eastAsia="Calibri" w:cs="Arial"/>
          <w:b/>
          <w:szCs w:val="20"/>
          <w:lang w:val="sl-SI"/>
        </w:rPr>
        <w:t>1</w:t>
      </w:r>
      <w:r w:rsidR="00696BAE">
        <w:rPr>
          <w:rFonts w:eastAsia="Calibri" w:cs="Arial"/>
          <w:b/>
          <w:szCs w:val="20"/>
          <w:lang w:val="sl-SI"/>
        </w:rPr>
        <w:t>4</w:t>
      </w:r>
      <w:r w:rsidRPr="005771BD">
        <w:rPr>
          <w:rFonts w:eastAsia="Calibri" w:cs="Arial"/>
          <w:b/>
          <w:szCs w:val="20"/>
          <w:lang w:val="sl-SI"/>
        </w:rPr>
        <w:t xml:space="preserve">.3.2 Plaz Čemšenik </w:t>
      </w:r>
    </w:p>
    <w:p w:rsidR="003C1B05" w:rsidRPr="005771BD" w:rsidRDefault="003C1B05" w:rsidP="003C1B05">
      <w:pPr>
        <w:spacing w:after="200" w:line="276" w:lineRule="auto"/>
        <w:jc w:val="both"/>
        <w:rPr>
          <w:rFonts w:eastAsia="Calibri" w:cs="Arial"/>
          <w:szCs w:val="20"/>
          <w:lang w:val="sl-SI"/>
        </w:rPr>
      </w:pPr>
      <w:r w:rsidRPr="005771BD">
        <w:rPr>
          <w:rFonts w:eastAsia="Calibri" w:cs="Arial"/>
          <w:szCs w:val="20"/>
          <w:lang w:val="sl-SI"/>
        </w:rPr>
        <w:t>Plaz v vasi Čemšenik</w:t>
      </w:r>
      <w:r>
        <w:rPr>
          <w:rFonts w:eastAsia="Calibri" w:cs="Arial"/>
          <w:szCs w:val="20"/>
          <w:lang w:val="sl-SI"/>
        </w:rPr>
        <w:t xml:space="preserve"> v</w:t>
      </w:r>
      <w:r w:rsidRPr="005771BD">
        <w:rPr>
          <w:rFonts w:eastAsia="Calibri" w:cs="Arial"/>
          <w:szCs w:val="20"/>
          <w:lang w:val="sl-SI"/>
        </w:rPr>
        <w:t xml:space="preserve"> občin</w:t>
      </w:r>
      <w:r>
        <w:rPr>
          <w:rFonts w:eastAsia="Calibri" w:cs="Arial"/>
          <w:szCs w:val="20"/>
          <w:lang w:val="sl-SI"/>
        </w:rPr>
        <w:t>i</w:t>
      </w:r>
      <w:r w:rsidRPr="005771BD">
        <w:rPr>
          <w:rFonts w:eastAsia="Calibri" w:cs="Arial"/>
          <w:szCs w:val="20"/>
          <w:lang w:val="sl-SI"/>
        </w:rPr>
        <w:t xml:space="preserve"> Zagorje ob Savi se je intenzivneje aktiviral v septembrskih poplavah v letu 2010. Osrednji del vas</w:t>
      </w:r>
      <w:r>
        <w:rPr>
          <w:rFonts w:eastAsia="Calibri" w:cs="Arial"/>
          <w:szCs w:val="20"/>
          <w:lang w:val="sl-SI"/>
        </w:rPr>
        <w:t>i je</w:t>
      </w:r>
      <w:r w:rsidRPr="005771BD">
        <w:rPr>
          <w:rFonts w:eastAsia="Calibri" w:cs="Arial"/>
          <w:szCs w:val="20"/>
          <w:lang w:val="sl-SI"/>
        </w:rPr>
        <w:t xml:space="preserve"> na globokem plazu globine do 25 m s površino 7 ha. Starejši objekti so poškodovani, cerkev pa je močno razpokana in statično nevarna, zato je predlagana prepoved bogoslužja v cerkvi. Mlajši objekti so primerno temeljeni in še nepoškodovani. Hitrost premikanja plazu je počasna</w:t>
      </w:r>
      <w:r>
        <w:rPr>
          <w:rFonts w:eastAsia="Calibri" w:cs="Arial"/>
          <w:szCs w:val="20"/>
          <w:lang w:val="sl-SI"/>
        </w:rPr>
        <w:t>,</w:t>
      </w:r>
      <w:r w:rsidRPr="005771BD">
        <w:rPr>
          <w:rFonts w:eastAsia="Calibri" w:cs="Arial"/>
          <w:szCs w:val="20"/>
          <w:lang w:val="sl-SI"/>
        </w:rPr>
        <w:t xml:space="preserve"> in sicer </w:t>
      </w:r>
      <w:r>
        <w:rPr>
          <w:rFonts w:eastAsia="Calibri" w:cs="Arial"/>
          <w:szCs w:val="20"/>
          <w:lang w:val="sl-SI"/>
        </w:rPr>
        <w:t xml:space="preserve">od </w:t>
      </w:r>
      <w:r w:rsidRPr="005771BD">
        <w:rPr>
          <w:rFonts w:eastAsia="Calibri" w:cs="Arial"/>
          <w:szCs w:val="20"/>
          <w:lang w:val="sl-SI"/>
        </w:rPr>
        <w:t>1 cm do 2 cm na leto. Ne pričakuje</w:t>
      </w:r>
      <w:r>
        <w:rPr>
          <w:rFonts w:eastAsia="Calibri" w:cs="Arial"/>
          <w:szCs w:val="20"/>
          <w:lang w:val="sl-SI"/>
        </w:rPr>
        <w:t>jo</w:t>
      </w:r>
      <w:r w:rsidRPr="005771BD">
        <w:rPr>
          <w:rFonts w:eastAsia="Calibri" w:cs="Arial"/>
          <w:szCs w:val="20"/>
          <w:lang w:val="sl-SI"/>
        </w:rPr>
        <w:t xml:space="preserve"> se hitri </w:t>
      </w:r>
      <w:r>
        <w:rPr>
          <w:rFonts w:eastAsia="Calibri" w:cs="Arial"/>
          <w:szCs w:val="20"/>
          <w:lang w:val="sl-SI"/>
        </w:rPr>
        <w:t>uničujoči</w:t>
      </w:r>
      <w:r w:rsidRPr="005771BD">
        <w:rPr>
          <w:rFonts w:eastAsia="Calibri" w:cs="Arial"/>
          <w:szCs w:val="20"/>
          <w:lang w:val="sl-SI"/>
        </w:rPr>
        <w:t xml:space="preserve"> premik</w:t>
      </w:r>
      <w:r>
        <w:rPr>
          <w:rFonts w:eastAsia="Calibri" w:cs="Arial"/>
          <w:szCs w:val="20"/>
          <w:lang w:val="sl-SI"/>
        </w:rPr>
        <w:t>i</w:t>
      </w:r>
      <w:r w:rsidRPr="005771BD">
        <w:rPr>
          <w:rFonts w:eastAsia="Calibri" w:cs="Arial"/>
          <w:szCs w:val="20"/>
          <w:lang w:val="sl-SI"/>
        </w:rPr>
        <w:t xml:space="preserve">, saj se plaz premika monolitno že več desetletij. Na plazu se izvaja </w:t>
      </w:r>
      <w:r>
        <w:rPr>
          <w:rFonts w:eastAsia="Calibri" w:cs="Arial"/>
          <w:szCs w:val="20"/>
          <w:lang w:val="sl-SI"/>
        </w:rPr>
        <w:t>spremljanje</w:t>
      </w:r>
      <w:r w:rsidRPr="005771BD">
        <w:rPr>
          <w:rFonts w:eastAsia="Calibri" w:cs="Arial"/>
          <w:szCs w:val="20"/>
          <w:lang w:val="sl-SI"/>
        </w:rPr>
        <w:t xml:space="preserve">. </w:t>
      </w:r>
      <w:r>
        <w:rPr>
          <w:rFonts w:eastAsia="Calibri" w:cs="Arial"/>
          <w:szCs w:val="20"/>
          <w:lang w:val="sl-SI"/>
        </w:rPr>
        <w:t>Skupni</w:t>
      </w:r>
      <w:r w:rsidRPr="005771BD">
        <w:rPr>
          <w:rFonts w:eastAsia="Calibri" w:cs="Arial"/>
          <w:szCs w:val="20"/>
          <w:lang w:val="sl-SI"/>
        </w:rPr>
        <w:t xml:space="preserve"> premik plazu od leta 2011 do 2015 je </w:t>
      </w:r>
      <w:r>
        <w:rPr>
          <w:rFonts w:eastAsia="Calibri" w:cs="Arial"/>
          <w:szCs w:val="20"/>
          <w:lang w:val="sl-SI"/>
        </w:rPr>
        <w:t xml:space="preserve">od </w:t>
      </w:r>
      <w:r w:rsidRPr="005771BD">
        <w:rPr>
          <w:rFonts w:eastAsia="Calibri" w:cs="Arial"/>
          <w:szCs w:val="20"/>
          <w:lang w:val="sl-SI"/>
        </w:rPr>
        <w:t xml:space="preserve">4 cm do 5 cm v območju cerkve ter </w:t>
      </w:r>
      <w:r>
        <w:rPr>
          <w:rFonts w:eastAsia="Calibri" w:cs="Arial"/>
          <w:szCs w:val="20"/>
          <w:lang w:val="sl-SI"/>
        </w:rPr>
        <w:t xml:space="preserve">od </w:t>
      </w:r>
      <w:r w:rsidRPr="005771BD">
        <w:rPr>
          <w:rFonts w:eastAsia="Calibri" w:cs="Arial"/>
          <w:szCs w:val="20"/>
          <w:lang w:val="sl-SI"/>
        </w:rPr>
        <w:t>2</w:t>
      </w:r>
      <w:r>
        <w:rPr>
          <w:rFonts w:eastAsia="Calibri" w:cs="Arial"/>
          <w:szCs w:val="20"/>
          <w:lang w:val="sl-SI"/>
        </w:rPr>
        <w:t xml:space="preserve"> </w:t>
      </w:r>
      <w:r w:rsidRPr="005771BD">
        <w:rPr>
          <w:rFonts w:eastAsia="Calibri" w:cs="Arial"/>
          <w:szCs w:val="20"/>
          <w:lang w:val="sl-SI"/>
        </w:rPr>
        <w:t xml:space="preserve">cm do 3 cm na </w:t>
      </w:r>
      <w:r>
        <w:rPr>
          <w:rFonts w:eastAsia="Calibri" w:cs="Arial"/>
          <w:szCs w:val="20"/>
          <w:lang w:val="sl-SI"/>
        </w:rPr>
        <w:t>drugem</w:t>
      </w:r>
      <w:r w:rsidRPr="005771BD">
        <w:rPr>
          <w:rFonts w:eastAsia="Calibri" w:cs="Arial"/>
          <w:szCs w:val="20"/>
          <w:lang w:val="sl-SI"/>
        </w:rPr>
        <w:t xml:space="preserve"> delu plazu. Močne in dolgotrajne padavine vplivajo na hitrost plazenja, ki se je po dosedanjih meritvah v spomladanskem obdobju povečala na 1,6 cm na leto.</w:t>
      </w:r>
    </w:p>
    <w:p w:rsidR="003C1B05" w:rsidRPr="005771BD" w:rsidRDefault="003C1B05" w:rsidP="003C1B05">
      <w:pPr>
        <w:spacing w:after="200" w:line="276" w:lineRule="auto"/>
        <w:jc w:val="both"/>
        <w:rPr>
          <w:rFonts w:eastAsia="Calibri" w:cs="Arial"/>
          <w:color w:val="000000"/>
          <w:szCs w:val="20"/>
          <w:lang w:val="sl-SI"/>
        </w:rPr>
      </w:pPr>
      <w:r w:rsidRPr="005771BD">
        <w:rPr>
          <w:rFonts w:eastAsia="Calibri" w:cs="Arial"/>
          <w:szCs w:val="20"/>
          <w:lang w:val="sl-SI"/>
        </w:rPr>
        <w:t xml:space="preserve">Kot naravna nesreča v skladu z Zakonom o odpravi posledic naravnih nesreč je bil plaz Čemšenik evidentiran v neurju s poplavami </w:t>
      </w:r>
      <w:r w:rsidRPr="005771BD">
        <w:rPr>
          <w:rFonts w:eastAsia="Calibri" w:cs="Arial"/>
          <w:color w:val="000000"/>
          <w:szCs w:val="20"/>
          <w:lang w:val="sl-SI"/>
        </w:rPr>
        <w:t xml:space="preserve"> med 16. in 20. septembrom 2010. Večjo aktivnost  sprožitve plazu je povzročilo močno deževje. Globina drsine je v območju vasi na globini od 18</w:t>
      </w:r>
      <w:r>
        <w:rPr>
          <w:rFonts w:eastAsia="Calibri" w:cs="Arial"/>
          <w:color w:val="000000"/>
          <w:szCs w:val="20"/>
          <w:lang w:val="sl-SI"/>
        </w:rPr>
        <w:t xml:space="preserve"> </w:t>
      </w:r>
      <w:r w:rsidRPr="005771BD">
        <w:rPr>
          <w:rFonts w:eastAsia="Calibri" w:cs="Arial"/>
          <w:color w:val="000000"/>
          <w:szCs w:val="20"/>
          <w:lang w:val="sl-SI"/>
        </w:rPr>
        <w:t>m do 25</w:t>
      </w:r>
      <w:r>
        <w:rPr>
          <w:rFonts w:eastAsia="Calibri" w:cs="Arial"/>
          <w:color w:val="000000"/>
          <w:szCs w:val="20"/>
          <w:lang w:val="sl-SI"/>
        </w:rPr>
        <w:t xml:space="preserve"> </w:t>
      </w:r>
      <w:r w:rsidRPr="005771BD">
        <w:rPr>
          <w:rFonts w:eastAsia="Calibri" w:cs="Arial"/>
          <w:color w:val="000000"/>
          <w:szCs w:val="20"/>
          <w:lang w:val="sl-SI"/>
        </w:rPr>
        <w:t xml:space="preserve">m. Proti zahodu in župnijskemu domu se plazina dvigne na globino 7 m, proti vzhodu pa je globina drsine 22 m. Načeloma </w:t>
      </w:r>
      <w:r>
        <w:rPr>
          <w:rFonts w:eastAsia="Calibri" w:cs="Arial"/>
          <w:color w:val="000000"/>
          <w:szCs w:val="20"/>
          <w:lang w:val="sl-SI"/>
        </w:rPr>
        <w:t>se</w:t>
      </w:r>
      <w:r w:rsidRPr="005771BD">
        <w:rPr>
          <w:rFonts w:eastAsia="Calibri" w:cs="Arial"/>
          <w:color w:val="000000"/>
          <w:szCs w:val="20"/>
          <w:lang w:val="sl-SI"/>
        </w:rPr>
        <w:t xml:space="preserve"> plaz</w:t>
      </w:r>
      <w:r>
        <w:rPr>
          <w:rFonts w:eastAsia="Calibri" w:cs="Arial"/>
          <w:color w:val="000000"/>
          <w:szCs w:val="20"/>
          <w:lang w:val="sl-SI"/>
        </w:rPr>
        <w:t xml:space="preserve"> premika</w:t>
      </w:r>
      <w:r w:rsidRPr="005771BD">
        <w:rPr>
          <w:rFonts w:eastAsia="Calibri" w:cs="Arial"/>
          <w:color w:val="000000"/>
          <w:szCs w:val="20"/>
          <w:lang w:val="sl-SI"/>
        </w:rPr>
        <w:t xml:space="preserve"> v smeri JJV</w:t>
      </w:r>
      <w:r>
        <w:rPr>
          <w:rFonts w:eastAsia="Calibri" w:cs="Arial"/>
          <w:color w:val="000000"/>
          <w:szCs w:val="20"/>
          <w:lang w:val="sl-SI"/>
        </w:rPr>
        <w:t>–</w:t>
      </w:r>
      <w:r w:rsidRPr="005771BD">
        <w:rPr>
          <w:rFonts w:eastAsia="Calibri" w:cs="Arial"/>
          <w:color w:val="000000"/>
          <w:szCs w:val="20"/>
          <w:lang w:val="sl-SI"/>
        </w:rPr>
        <w:t xml:space="preserve">JV. Hitrost premikanja plazu je odvisna od količine padavin. Premiki plazu kažejo na večjo hitrost premikanja območja pod cerkvijo. Tudi smer premikanja se v zadnjih </w:t>
      </w:r>
      <w:r>
        <w:rPr>
          <w:rFonts w:eastAsia="Calibri" w:cs="Arial"/>
          <w:color w:val="000000"/>
          <w:szCs w:val="20"/>
          <w:lang w:val="sl-SI"/>
        </w:rPr>
        <w:t>dveh</w:t>
      </w:r>
      <w:r w:rsidRPr="005771BD">
        <w:rPr>
          <w:rFonts w:eastAsia="Calibri" w:cs="Arial"/>
          <w:color w:val="000000"/>
          <w:szCs w:val="20"/>
          <w:lang w:val="sl-SI"/>
        </w:rPr>
        <w:t xml:space="preserve"> letih vedno bolj obrača proti vzhodu, saj prihaja do diferenčnih premikov vzhodnega in zahodnega dela objekta, kar se kaže z odpiranjem razpok. </w:t>
      </w:r>
    </w:p>
    <w:p w:rsidR="003C1B05" w:rsidRPr="005771BD" w:rsidRDefault="003C1B05" w:rsidP="003C1B05">
      <w:pPr>
        <w:spacing w:after="200" w:line="276" w:lineRule="auto"/>
        <w:jc w:val="both"/>
        <w:rPr>
          <w:rFonts w:eastAsia="Calibri" w:cs="Arial"/>
          <w:b/>
          <w:szCs w:val="20"/>
          <w:lang w:val="sl-SI"/>
        </w:rPr>
      </w:pPr>
      <w:r w:rsidRPr="005771BD">
        <w:rPr>
          <w:rFonts w:eastAsia="Calibri" w:cs="Arial"/>
          <w:b/>
          <w:szCs w:val="20"/>
          <w:lang w:val="sl-SI"/>
        </w:rPr>
        <w:t>1</w:t>
      </w:r>
      <w:r w:rsidR="00696BAE">
        <w:rPr>
          <w:rFonts w:eastAsia="Calibri" w:cs="Arial"/>
          <w:b/>
          <w:szCs w:val="20"/>
          <w:lang w:val="sl-SI"/>
        </w:rPr>
        <w:t>4</w:t>
      </w:r>
      <w:r w:rsidRPr="005771BD">
        <w:rPr>
          <w:rFonts w:eastAsia="Calibri" w:cs="Arial"/>
          <w:b/>
          <w:szCs w:val="20"/>
          <w:lang w:val="sl-SI"/>
        </w:rPr>
        <w:t xml:space="preserve">.3.3 Plaz Laze </w:t>
      </w:r>
    </w:p>
    <w:p w:rsidR="003C1B05" w:rsidRPr="005771BD" w:rsidRDefault="003C1B05" w:rsidP="003C1B05">
      <w:pPr>
        <w:spacing w:after="200" w:line="276" w:lineRule="auto"/>
        <w:jc w:val="both"/>
        <w:rPr>
          <w:rFonts w:eastAsia="Calibri" w:cs="Arial"/>
          <w:szCs w:val="20"/>
          <w:lang w:val="sl-SI"/>
        </w:rPr>
      </w:pPr>
      <w:r w:rsidRPr="005771BD">
        <w:rPr>
          <w:rFonts w:eastAsia="Calibri" w:cs="Arial"/>
          <w:szCs w:val="20"/>
          <w:lang w:val="sl-SI"/>
        </w:rPr>
        <w:t>Plaz Laze pri Leskovici v občini Gorenja vas Poljane</w:t>
      </w:r>
      <w:r>
        <w:rPr>
          <w:rFonts w:eastAsia="Calibri" w:cs="Arial"/>
          <w:szCs w:val="20"/>
          <w:lang w:val="sl-SI"/>
        </w:rPr>
        <w:t xml:space="preserve"> je</w:t>
      </w:r>
      <w:r w:rsidRPr="005771BD">
        <w:rPr>
          <w:rFonts w:eastAsia="Calibri" w:cs="Arial"/>
          <w:szCs w:val="20"/>
          <w:lang w:val="sl-SI"/>
        </w:rPr>
        <w:t xml:space="preserve"> nekaj kilometrov dolg</w:t>
      </w:r>
      <w:r>
        <w:rPr>
          <w:rFonts w:eastAsia="Calibri" w:cs="Arial"/>
          <w:szCs w:val="20"/>
          <w:lang w:val="sl-SI"/>
        </w:rPr>
        <w:t>a</w:t>
      </w:r>
      <w:r w:rsidRPr="005771BD">
        <w:rPr>
          <w:rFonts w:eastAsia="Calibri" w:cs="Arial"/>
          <w:szCs w:val="20"/>
          <w:lang w:val="sl-SI"/>
        </w:rPr>
        <w:t>, nekaj sto metrov širok</w:t>
      </w:r>
      <w:r>
        <w:rPr>
          <w:rFonts w:eastAsia="Calibri" w:cs="Arial"/>
          <w:szCs w:val="20"/>
          <w:lang w:val="sl-SI"/>
        </w:rPr>
        <w:t>a</w:t>
      </w:r>
      <w:r w:rsidRPr="005771BD">
        <w:rPr>
          <w:rFonts w:eastAsia="Calibri" w:cs="Arial"/>
          <w:szCs w:val="20"/>
          <w:lang w:val="sl-SI"/>
        </w:rPr>
        <w:t xml:space="preserve"> in </w:t>
      </w:r>
      <w:r>
        <w:rPr>
          <w:rFonts w:eastAsia="Calibri" w:cs="Arial"/>
          <w:szCs w:val="20"/>
          <w:lang w:val="sl-SI"/>
        </w:rPr>
        <w:t xml:space="preserve">od </w:t>
      </w:r>
      <w:r w:rsidRPr="005771BD">
        <w:rPr>
          <w:rFonts w:eastAsia="Calibri" w:cs="Arial"/>
          <w:szCs w:val="20"/>
          <w:lang w:val="sl-SI"/>
        </w:rPr>
        <w:t>20 cm do 30 cm debel</w:t>
      </w:r>
      <w:r>
        <w:rPr>
          <w:rFonts w:eastAsia="Calibri" w:cs="Arial"/>
          <w:szCs w:val="20"/>
          <w:lang w:val="sl-SI"/>
        </w:rPr>
        <w:t>a</w:t>
      </w:r>
      <w:r w:rsidRPr="005771BD">
        <w:rPr>
          <w:rFonts w:eastAsia="Calibri" w:cs="Arial"/>
          <w:szCs w:val="20"/>
          <w:lang w:val="sl-SI"/>
        </w:rPr>
        <w:t xml:space="preserve"> gmot</w:t>
      </w:r>
      <w:r>
        <w:rPr>
          <w:rFonts w:eastAsia="Calibri" w:cs="Arial"/>
          <w:szCs w:val="20"/>
          <w:lang w:val="sl-SI"/>
        </w:rPr>
        <w:t>a</w:t>
      </w:r>
      <w:r w:rsidRPr="005771BD">
        <w:rPr>
          <w:rFonts w:eastAsia="Calibri" w:cs="Arial"/>
          <w:szCs w:val="20"/>
          <w:lang w:val="sl-SI"/>
        </w:rPr>
        <w:t xml:space="preserve"> zaglinjenega grušča in kamnine, ki drsi v smeri proti dolini s hitrostjo </w:t>
      </w:r>
      <w:r>
        <w:rPr>
          <w:rFonts w:eastAsia="Calibri" w:cs="Arial"/>
          <w:szCs w:val="20"/>
          <w:lang w:val="sl-SI"/>
        </w:rPr>
        <w:t xml:space="preserve">od </w:t>
      </w:r>
      <w:r w:rsidRPr="005771BD">
        <w:rPr>
          <w:rFonts w:eastAsia="Calibri" w:cs="Arial"/>
          <w:szCs w:val="20"/>
          <w:lang w:val="sl-SI"/>
        </w:rPr>
        <w:t xml:space="preserve">20 cm do 30 cm na leto. Ob močnejših padavinah je hitrost tudi večja. Zaradi plazenja je bila že večkrat poškodovana občinska cesta, ogrožene pa so tudi stanovanjske hiše. V letih </w:t>
      </w:r>
      <w:r>
        <w:rPr>
          <w:rFonts w:eastAsia="Calibri" w:cs="Arial"/>
          <w:szCs w:val="20"/>
          <w:lang w:val="sl-SI"/>
        </w:rPr>
        <w:t xml:space="preserve">od </w:t>
      </w:r>
      <w:r w:rsidRPr="005771BD">
        <w:rPr>
          <w:rFonts w:eastAsia="Calibri" w:cs="Arial"/>
          <w:szCs w:val="20"/>
          <w:lang w:val="sl-SI"/>
        </w:rPr>
        <w:t>2006 do 2008 in v letu 2014 so bile izvedene nekatere raziskave  z globokim strukturnim vrtanjem, ki so določile obseg plazenja po globini, predvsem na območju poseljenega dela vasi Laze</w:t>
      </w:r>
      <w:r>
        <w:rPr>
          <w:rFonts w:eastAsia="Calibri" w:cs="Arial"/>
          <w:szCs w:val="20"/>
          <w:lang w:val="sl-SI"/>
        </w:rPr>
        <w:t>.</w:t>
      </w:r>
      <w:r w:rsidRPr="005771BD">
        <w:rPr>
          <w:rFonts w:eastAsia="Calibri" w:cs="Arial"/>
          <w:szCs w:val="20"/>
          <w:lang w:val="sl-SI"/>
        </w:rPr>
        <w:t xml:space="preserve"> Z njimi se je natančno določil</w:t>
      </w:r>
      <w:r>
        <w:rPr>
          <w:rFonts w:eastAsia="Calibri" w:cs="Arial"/>
          <w:szCs w:val="20"/>
          <w:lang w:val="sl-SI"/>
        </w:rPr>
        <w:t>a</w:t>
      </w:r>
      <w:r w:rsidRPr="005771BD">
        <w:rPr>
          <w:rFonts w:eastAsia="Calibri" w:cs="Arial"/>
          <w:szCs w:val="20"/>
          <w:lang w:val="sl-SI"/>
        </w:rPr>
        <w:t xml:space="preserve"> globin</w:t>
      </w:r>
      <w:r>
        <w:rPr>
          <w:rFonts w:eastAsia="Calibri" w:cs="Arial"/>
          <w:szCs w:val="20"/>
          <w:lang w:val="sl-SI"/>
        </w:rPr>
        <w:t>a</w:t>
      </w:r>
      <w:r w:rsidRPr="005771BD">
        <w:rPr>
          <w:rFonts w:eastAsia="Calibri" w:cs="Arial"/>
          <w:szCs w:val="20"/>
          <w:lang w:val="sl-SI"/>
        </w:rPr>
        <w:t xml:space="preserve"> drsne ploskve in velikostni red premikanja.</w:t>
      </w:r>
    </w:p>
    <w:p w:rsidR="003C1B05" w:rsidRPr="005771BD" w:rsidRDefault="003C1B05" w:rsidP="00696BAE">
      <w:pPr>
        <w:spacing w:after="360" w:line="276" w:lineRule="auto"/>
        <w:jc w:val="both"/>
        <w:rPr>
          <w:rFonts w:eastAsia="Calibri" w:cs="Arial"/>
          <w:color w:val="000000"/>
          <w:szCs w:val="20"/>
          <w:lang w:val="sl-SI"/>
        </w:rPr>
      </w:pPr>
      <w:r w:rsidRPr="005771BD">
        <w:rPr>
          <w:rFonts w:eastAsia="Calibri" w:cs="Arial"/>
          <w:szCs w:val="20"/>
          <w:lang w:val="sl-SI"/>
        </w:rPr>
        <w:t>Kot naravna nesreča v skladu z Zakonom o odpravi posledic naravnih nesreč je bil plaz Laze  evidentiran v poplavah, visokem snegu in žledu med 30. januarjem in 27. februarjem 2014.</w:t>
      </w:r>
      <w:r w:rsidRPr="005771BD">
        <w:rPr>
          <w:rFonts w:eastAsia="Calibri" w:cs="Arial"/>
          <w:color w:val="000000"/>
          <w:szCs w:val="20"/>
          <w:lang w:val="sl-SI"/>
        </w:rPr>
        <w:t xml:space="preserve"> Plazenj</w:t>
      </w:r>
      <w:r>
        <w:rPr>
          <w:rFonts w:eastAsia="Calibri" w:cs="Arial"/>
          <w:color w:val="000000"/>
          <w:szCs w:val="20"/>
          <w:lang w:val="sl-SI"/>
        </w:rPr>
        <w:t>e</w:t>
      </w:r>
      <w:r w:rsidRPr="005771BD">
        <w:rPr>
          <w:rFonts w:eastAsia="Calibri" w:cs="Arial"/>
          <w:color w:val="000000"/>
          <w:szCs w:val="20"/>
          <w:lang w:val="sl-SI"/>
        </w:rPr>
        <w:t xml:space="preserve"> je predvsem na zahodnem delu naselja vasi Laze, kjer hudourniški potok Kopačnica nima svojega zemljišča in teče večinoma po zasebnih zemljiščih. Posledično prihaja do erozijskih procesov in poglabljanja struge, ki vpliva</w:t>
      </w:r>
      <w:r>
        <w:rPr>
          <w:rFonts w:eastAsia="Calibri" w:cs="Arial"/>
          <w:color w:val="000000"/>
          <w:szCs w:val="20"/>
          <w:lang w:val="sl-SI"/>
        </w:rPr>
        <w:t>jo</w:t>
      </w:r>
      <w:r w:rsidRPr="005771BD">
        <w:rPr>
          <w:rFonts w:eastAsia="Calibri" w:cs="Arial"/>
          <w:color w:val="000000"/>
          <w:szCs w:val="20"/>
          <w:lang w:val="sl-SI"/>
        </w:rPr>
        <w:t xml:space="preserve"> na povečanje bočne erozije. Te nestabilne razmere so ob vsakem večjem dežju še bolj neugodne. Na levi in desni brežini s</w:t>
      </w:r>
      <w:r>
        <w:rPr>
          <w:rFonts w:eastAsia="Calibri" w:cs="Arial"/>
          <w:color w:val="000000"/>
          <w:szCs w:val="20"/>
          <w:lang w:val="sl-SI"/>
        </w:rPr>
        <w:t>o</w:t>
      </w:r>
      <w:r w:rsidRPr="005771BD">
        <w:rPr>
          <w:rFonts w:eastAsia="Calibri" w:cs="Arial"/>
          <w:color w:val="000000"/>
          <w:szCs w:val="20"/>
          <w:lang w:val="sl-SI"/>
        </w:rPr>
        <w:t xml:space="preserve"> travniki, na katerih so vidne razpoke, ki so posledica plazenja oziroma premikanja plazu. Območje se nahaja dolvodno od občinske ceste, kjer je na mestu prečkanja hudournika premostitev, ki pa je </w:t>
      </w:r>
      <w:r>
        <w:rPr>
          <w:rFonts w:eastAsia="Calibri" w:cs="Arial"/>
          <w:color w:val="000000"/>
          <w:szCs w:val="20"/>
          <w:lang w:val="sl-SI"/>
        </w:rPr>
        <w:t>prav</w:t>
      </w:r>
      <w:r w:rsidRPr="005771BD">
        <w:rPr>
          <w:rFonts w:eastAsia="Calibri" w:cs="Arial"/>
          <w:color w:val="000000"/>
          <w:szCs w:val="20"/>
          <w:lang w:val="sl-SI"/>
        </w:rPr>
        <w:t xml:space="preserve"> tako razpokana in kaže znake plazenja okoliškega terena. Ker so razmere zelo nestabilne, že manjša razpoka pomeni spremembo toka površinske  in talne vode. Ocena škode na plazu je bila ocenjena v letu 2014 in je znašala 3.928,50 €, sanacija celotnega plazu pa je ocenjena </w:t>
      </w:r>
      <w:r>
        <w:rPr>
          <w:rFonts w:eastAsia="Calibri" w:cs="Arial"/>
          <w:color w:val="000000"/>
          <w:szCs w:val="20"/>
          <w:lang w:val="sl-SI"/>
        </w:rPr>
        <w:t>na</w:t>
      </w:r>
      <w:r w:rsidRPr="005771BD">
        <w:rPr>
          <w:rFonts w:eastAsia="Calibri" w:cs="Arial"/>
          <w:color w:val="000000"/>
          <w:szCs w:val="20"/>
          <w:lang w:val="sl-SI"/>
        </w:rPr>
        <w:t xml:space="preserve"> 850.000,00 €.  Do</w:t>
      </w:r>
      <w:r>
        <w:rPr>
          <w:rFonts w:eastAsia="Calibri" w:cs="Arial"/>
          <w:color w:val="000000"/>
          <w:szCs w:val="20"/>
          <w:lang w:val="sl-SI"/>
        </w:rPr>
        <w:t>slej</w:t>
      </w:r>
      <w:r w:rsidRPr="005771BD">
        <w:rPr>
          <w:rFonts w:eastAsia="Calibri" w:cs="Arial"/>
          <w:color w:val="000000"/>
          <w:szCs w:val="20"/>
          <w:lang w:val="sl-SI"/>
        </w:rPr>
        <w:t xml:space="preserve"> je bila izvedena sanacija v višini 256.000,00 €, ki je obsegala izdelavo sidrne pilotne stene pod stanovanjskim objektom, sanacijo stanovanjske hiše, ureditev odvodnjavanja in popravilo občinske ceste. Ti ukrepi so bili usmerjeni v reševanje funkcionalnosti objektov, kar pa ne zaustavlja plazenja. Zato so v prihodnje načrtovani ukrepi za zmanjševanje vpliva dejavnikov za plazenje; predlagana sta dva glavna ukrepa: </w:t>
      </w:r>
      <w:r>
        <w:rPr>
          <w:rFonts w:eastAsia="Calibri" w:cs="Arial"/>
          <w:color w:val="000000"/>
          <w:szCs w:val="20"/>
          <w:lang w:val="sl-SI"/>
        </w:rPr>
        <w:t>i</w:t>
      </w:r>
      <w:r w:rsidRPr="005771BD">
        <w:rPr>
          <w:rFonts w:eastAsia="Calibri" w:cs="Arial"/>
          <w:color w:val="000000"/>
          <w:szCs w:val="20"/>
          <w:lang w:val="sl-SI"/>
        </w:rPr>
        <w:t>zdelava</w:t>
      </w:r>
      <w:r>
        <w:rPr>
          <w:rFonts w:eastAsia="Calibri" w:cs="Arial"/>
          <w:color w:val="000000"/>
          <w:szCs w:val="20"/>
          <w:lang w:val="sl-SI"/>
        </w:rPr>
        <w:t xml:space="preserve"> pregrade</w:t>
      </w:r>
      <w:r w:rsidRPr="005771BD">
        <w:rPr>
          <w:rFonts w:eastAsia="Calibri" w:cs="Arial"/>
          <w:color w:val="000000"/>
          <w:szCs w:val="20"/>
          <w:lang w:val="sl-SI"/>
        </w:rPr>
        <w:t xml:space="preserve"> z jeklenimi traverzami in </w:t>
      </w:r>
      <w:r>
        <w:rPr>
          <w:rFonts w:eastAsia="Calibri" w:cs="Arial"/>
          <w:color w:val="000000"/>
          <w:szCs w:val="20"/>
          <w:lang w:val="sl-SI"/>
        </w:rPr>
        <w:t>ureditev</w:t>
      </w:r>
      <w:r w:rsidRPr="005771BD">
        <w:rPr>
          <w:rFonts w:eastAsia="Calibri" w:cs="Arial"/>
          <w:color w:val="000000"/>
          <w:szCs w:val="20"/>
          <w:lang w:val="sl-SI"/>
        </w:rPr>
        <w:t xml:space="preserve"> vodnih poti in podtalnice na plazu </w:t>
      </w:r>
      <w:r>
        <w:rPr>
          <w:rFonts w:eastAsia="Calibri" w:cs="Arial"/>
          <w:color w:val="000000"/>
          <w:szCs w:val="20"/>
          <w:lang w:val="sl-SI"/>
        </w:rPr>
        <w:t>z</w:t>
      </w:r>
      <w:r w:rsidRPr="005771BD">
        <w:rPr>
          <w:rFonts w:eastAsia="Calibri" w:cs="Arial"/>
          <w:color w:val="000000"/>
          <w:szCs w:val="20"/>
          <w:lang w:val="sl-SI"/>
        </w:rPr>
        <w:t xml:space="preserve"> regulacijo potoka Kopačnica, ureditev drenažne vode in črpanje vode iz globokih vodnjakov. </w:t>
      </w:r>
    </w:p>
    <w:p w:rsidR="00A11C91" w:rsidRPr="00A11C91" w:rsidRDefault="00A11C91" w:rsidP="00A11C91">
      <w:pPr>
        <w:spacing w:after="200" w:line="276" w:lineRule="auto"/>
        <w:jc w:val="both"/>
        <w:rPr>
          <w:rFonts w:eastAsia="Calibri" w:cs="Arial"/>
          <w:b/>
          <w:szCs w:val="20"/>
          <w:u w:val="single"/>
          <w:lang w:val="sl-SI"/>
        </w:rPr>
      </w:pPr>
      <w:r w:rsidRPr="00A11C91">
        <w:rPr>
          <w:rFonts w:eastAsia="Calibri" w:cs="Arial"/>
          <w:b/>
          <w:szCs w:val="20"/>
          <w:u w:val="single"/>
          <w:lang w:val="sl-SI"/>
        </w:rPr>
        <w:t>1</w:t>
      </w:r>
      <w:r w:rsidR="00696BAE">
        <w:rPr>
          <w:rFonts w:eastAsia="Calibri" w:cs="Arial"/>
          <w:b/>
          <w:szCs w:val="20"/>
          <w:u w:val="single"/>
          <w:lang w:val="sl-SI"/>
        </w:rPr>
        <w:t>4</w:t>
      </w:r>
      <w:r w:rsidRPr="00A11C91">
        <w:rPr>
          <w:rFonts w:eastAsia="Calibri" w:cs="Arial"/>
          <w:b/>
          <w:szCs w:val="20"/>
          <w:u w:val="single"/>
          <w:lang w:val="sl-SI"/>
        </w:rPr>
        <w:t xml:space="preserve">.4 Požari v naravnem okolju </w:t>
      </w:r>
    </w:p>
    <w:p w:rsidR="00A11C91" w:rsidRPr="00A11C91" w:rsidRDefault="00A11C91" w:rsidP="00A11C91">
      <w:pPr>
        <w:spacing w:after="200" w:line="276" w:lineRule="auto"/>
        <w:jc w:val="both"/>
        <w:rPr>
          <w:rFonts w:eastAsia="Calibri" w:cs="Arial"/>
          <w:szCs w:val="20"/>
          <w:lang w:val="sl-SI"/>
        </w:rPr>
      </w:pPr>
      <w:r w:rsidRPr="00A11C91">
        <w:rPr>
          <w:rFonts w:eastAsia="Calibri" w:cs="Arial"/>
          <w:szCs w:val="20"/>
          <w:lang w:val="sl-SI"/>
        </w:rPr>
        <w:t>Požari v naravnem okolju so v nakaterih geografskih območjih del naravnega procesa obnove gozda in naravnega okolja, v Sloveniji pa so motnja, ki povzroča poškodbe naravnega okolja.</w:t>
      </w:r>
    </w:p>
    <w:p w:rsidR="00A11C91" w:rsidRPr="00A11C91" w:rsidRDefault="00A11C91" w:rsidP="00A11C91">
      <w:pPr>
        <w:spacing w:after="200" w:line="276" w:lineRule="auto"/>
        <w:jc w:val="both"/>
        <w:rPr>
          <w:rFonts w:eastAsia="Calibri" w:cs="Arial"/>
          <w:b/>
          <w:szCs w:val="20"/>
          <w:lang w:val="sl-SI"/>
        </w:rPr>
      </w:pPr>
      <w:r w:rsidRPr="00A11C91">
        <w:rPr>
          <w:rFonts w:eastAsia="Calibri" w:cs="Arial"/>
          <w:b/>
          <w:szCs w:val="20"/>
          <w:lang w:val="sl-SI"/>
        </w:rPr>
        <w:t>1</w:t>
      </w:r>
      <w:r w:rsidR="00696BAE">
        <w:rPr>
          <w:rFonts w:eastAsia="Calibri" w:cs="Arial"/>
          <w:b/>
          <w:szCs w:val="20"/>
          <w:lang w:val="sl-SI"/>
        </w:rPr>
        <w:t>4</w:t>
      </w:r>
      <w:r w:rsidRPr="00A11C91">
        <w:rPr>
          <w:rFonts w:eastAsia="Calibri" w:cs="Arial"/>
          <w:b/>
          <w:szCs w:val="20"/>
          <w:lang w:val="sl-SI"/>
        </w:rPr>
        <w:t>.4.1 Značilnosti požarov v naravnem okolju v Republiki Sloveniji</w:t>
      </w:r>
    </w:p>
    <w:p w:rsidR="00A11C91" w:rsidRPr="00A11C91" w:rsidRDefault="00A11C91" w:rsidP="00A11C91">
      <w:pPr>
        <w:spacing w:after="200" w:line="276" w:lineRule="auto"/>
        <w:jc w:val="both"/>
        <w:rPr>
          <w:rFonts w:eastAsia="Calibri" w:cs="Arial"/>
          <w:szCs w:val="20"/>
          <w:lang w:val="sl-SI"/>
        </w:rPr>
      </w:pPr>
      <w:r w:rsidRPr="00A11C91">
        <w:rPr>
          <w:rFonts w:eastAsia="Calibri" w:cs="Arial"/>
          <w:szCs w:val="20"/>
          <w:lang w:val="sl-SI"/>
        </w:rPr>
        <w:t xml:space="preserve">Republika Slovenija se nahaja na tako geografsko kot podnebno in vegetacijsko prehodnem območju. Požarov v naravnem okolju v deželah severno od nas je bistveno manj, so pa bistveno pogostejši v območju submediteranskega in mediteranskega podnebja južno od nas. </w:t>
      </w:r>
    </w:p>
    <w:p w:rsidR="00A11C91" w:rsidRPr="00A11C91" w:rsidRDefault="00A11C91" w:rsidP="00A11C91">
      <w:pPr>
        <w:spacing w:after="200" w:line="276" w:lineRule="auto"/>
        <w:jc w:val="both"/>
        <w:rPr>
          <w:rFonts w:eastAsia="Calibri" w:cs="Arial"/>
          <w:szCs w:val="20"/>
          <w:lang w:val="sl-SI"/>
        </w:rPr>
      </w:pPr>
      <w:r w:rsidRPr="00A11C91">
        <w:rPr>
          <w:rFonts w:eastAsia="Calibri" w:cs="Arial"/>
          <w:szCs w:val="20"/>
          <w:lang w:val="sl-SI"/>
        </w:rPr>
        <w:t>Republika Slovenija je nadpovprečno poraščena z gozdom, od leta 1875 se je s tedanjih 36,4 odstotka ozemlja do danes poraščenost povečala na 58,3 odstotka. V primerjavi z nekaterimi drugimi evropskimi državami, zlasti sredozemskimi, gozdni požari ne pomenijo resnejše grožnje celotnemu gozdu. Kljub majhnemu absolutnemu obsegu gozdnih požarov pa je treba nevarnost jemati zelo resno, posebno na Krasu in v Koprskem primorju. Skrb je toliko bolj razumljiva, če vemo, da je bil Kras pred 150 leti kamnita pokrajina, ki se je ozelenila z veliko dela, potrpežljivosti in prizadevanj. Zdaj je Kras poraščen kar 60-odstotno. Ekonomske izgube na lesni masi pri gozdnih požarih niso velike, velike pa so posredne škode na ekosistemih, saj je večji del Krasa vključen v območja Natura 2000. Veliki stroški nastajajo tudi pri obnovi pogorišč. Iz tega sledi, da je glavni cilj varovati gozdna rastišča in preprečevati škodo v naravi.</w:t>
      </w:r>
    </w:p>
    <w:p w:rsidR="00A11C91" w:rsidRPr="00A11C91" w:rsidRDefault="00A11C91" w:rsidP="00A11C91">
      <w:pPr>
        <w:spacing w:after="200" w:line="276" w:lineRule="auto"/>
        <w:jc w:val="both"/>
        <w:rPr>
          <w:rFonts w:eastAsia="Calibri" w:cs="Arial"/>
          <w:szCs w:val="20"/>
          <w:lang w:val="sl-SI"/>
        </w:rPr>
      </w:pPr>
      <w:r w:rsidRPr="00A11C91">
        <w:rPr>
          <w:rFonts w:eastAsia="Calibri" w:cs="Arial"/>
          <w:szCs w:val="20"/>
          <w:lang w:val="sl-SI"/>
        </w:rPr>
        <w:t>V Republiki Sloveniji je tveganje za požare v naravnem okolju vezano predvsem na Kras, Koprsko primorje in Goriško. Na tem submediteranskem rastlinsko-podnebnem območju poleg toplega podnebja in neenakomerne razporeditve padavin dovzetnost za požare povečujejo še karbonatna kamninska podlaga, ki ne zadržuje vode, in pogosti mogočni vetrovi, zlasti burja. Naravnim danostim se pridružuje še tisočletni vpliv človeka na naravno okolje, katerega delovanje se kaže predvsem v spremenjeni vegetacijski sestavi gozdov, zlasti antropogenih nasadov črnega (</w:t>
      </w:r>
      <w:r w:rsidRPr="00A11C91">
        <w:rPr>
          <w:rFonts w:eastAsia="Calibri" w:cs="Arial"/>
          <w:i/>
          <w:szCs w:val="20"/>
          <w:lang w:val="sl-SI"/>
        </w:rPr>
        <w:t>Pinus nigra</w:t>
      </w:r>
      <w:r w:rsidRPr="00A11C91">
        <w:rPr>
          <w:rFonts w:eastAsia="Calibri" w:cs="Arial"/>
          <w:szCs w:val="20"/>
          <w:lang w:val="sl-SI"/>
        </w:rPr>
        <w:t>) in rdečega bora (</w:t>
      </w:r>
      <w:r w:rsidRPr="00A11C91">
        <w:rPr>
          <w:rFonts w:eastAsia="Calibri" w:cs="Arial"/>
          <w:i/>
          <w:szCs w:val="20"/>
          <w:lang w:val="sl-SI"/>
        </w:rPr>
        <w:t>Pinus sylvestris</w:t>
      </w:r>
      <w:r w:rsidRPr="00A11C91">
        <w:rPr>
          <w:rFonts w:eastAsia="Calibri" w:cs="Arial"/>
          <w:szCs w:val="20"/>
          <w:lang w:val="sl-SI"/>
        </w:rPr>
        <w:t>). V preostalem delu države se pojavljajo manjši požari v naravnem okolju, ki pa z vidika tveganja ne pomenijo večje grožnje. Vzroki za nastanek požarov v naravnem okolju predvsem posledica človeške malomarnosti oziroma načrtnega požiga. Poleg naravnega okolja so ogrožena naselja in posamezni objekti, infrastrukturni objekti v naravnem okolju, predvsem nadzemni elektrovodi, črpališča za vodo ter cestna infrastruktura s pripadajočimi objekti. Železniška infrastruktura je ogrožena manj, je pa železniški promet pogosto tudi vzrok za nastanek požara v naravnem okolju. Tveganje povečujeta tudi zaraščanje naravnega okolja z gozdom in povečano število obiskovalcev, ki so s svojimi aktivnostmi lahko vzrok za nastanek požara.</w:t>
      </w:r>
    </w:p>
    <w:p w:rsidR="00A11C91" w:rsidRPr="00A11C91" w:rsidRDefault="00A11C91" w:rsidP="00A11C91">
      <w:pPr>
        <w:spacing w:after="200" w:line="276" w:lineRule="auto"/>
        <w:jc w:val="both"/>
        <w:rPr>
          <w:rFonts w:eastAsia="Calibri" w:cs="Arial"/>
          <w:szCs w:val="20"/>
          <w:lang w:val="sl-SI"/>
        </w:rPr>
      </w:pPr>
      <w:r w:rsidRPr="00A11C91">
        <w:rPr>
          <w:rFonts w:eastAsia="Calibri" w:cs="Arial"/>
          <w:szCs w:val="20"/>
          <w:lang w:val="sl-SI"/>
        </w:rPr>
        <w:t>Na število požarov v naravnem okolju vplivata predvsem vreme in človek s svojo dejavnostjo v naravnem okolju. Pri tem je treba ločiti požare, ki so nastali zaradi malomarnosti, od požarov, ki so bili podtaknjeni in so posledica načrtnega požiga. Kot družba težko vplivamo na število požarov, s preventivno dejavnostjo in protipožarno infrastrukturo v naravnem okolju ter z opremljenimi in izurjenimi silami za zaščito in reševanje (predvsem gasilci) pa lahko dosežemo, da se bo povprečna površina požarišča zmanjševala. Zelo pomemben element varstva pred požari v naravnem okolju je ozaveščenost prebivalcev, obiskovalcev in lastnikov nepremičnin v naravnem okolju ter drugih uporabnikov.</w:t>
      </w:r>
    </w:p>
    <w:p w:rsidR="00A11C91" w:rsidRPr="00A11C91" w:rsidRDefault="00A11C91" w:rsidP="00A11C91">
      <w:pPr>
        <w:spacing w:after="200" w:line="276" w:lineRule="auto"/>
        <w:jc w:val="both"/>
        <w:rPr>
          <w:rFonts w:eastAsia="Calibri" w:cs="Arial"/>
          <w:szCs w:val="20"/>
          <w:lang w:val="sl-SI"/>
        </w:rPr>
      </w:pPr>
      <w:r w:rsidRPr="00A11C91">
        <w:rPr>
          <w:rFonts w:eastAsia="Calibri" w:cs="Arial"/>
          <w:szCs w:val="20"/>
          <w:lang w:val="sl-SI"/>
        </w:rPr>
        <w:t xml:space="preserve">Letno in mesečno število požarov v naravnem okolju se lahko glede na vremenske razmere precej spreminja. Običajno je v Republiki Sloveniji vsako leto od 1300 do 1800 požarov v naravnem okolju in na prostem. Največ požarov se pojavlja v jugozahodnem, submediteranskem delu države. Največ požarov v naravnem okolju nastane v zgodnji spomladi in poleti. Največ požarov je bilo leta 2003 (2820), največ površin pa je ogenj uničil leta 1998 (3490 ha). Obseg povprečnega požara v submediteranskem delu države, kamor spadajo občine Ankaran, Koper, Izola, Piran, Ilirska Bistrica, Pivka, Postojna, Sežana, Divača, Hrpelje - Kozina, Komen, Vipava, Ajdovščina, Nova Gorica, Kanal, Brda, Miren - Kostanjevica, Renče - Vogrsko in Šempeter - Vrtojba, je bistveno večji (od dva do šestkrat) kot povprečen požar, ki je nastal v notranjosti države. Ta razlika je večja v požarno izrazitejših letih. Med letoma 1998 in 2004 je bil obseg požara v submediteranskem delu države od 0,7 do 2,9 ha, v notranjosti države pa od 0,13 do 0,75 ha. V prej navedenih občinah submediteranskega dela države je v tem obdobju nastalo od 24 do 50 odstotkov vseh požarov na prostem, pri površini pa je njihov delež od 38 do 82 odstotkov vseh opožarjenih površin v državi. Skoraj vsako leto je treba nekatere obsežnejše ali težko dostopne požare gasiti tudi iz zraka, takšnih požarov je bilo največ leta 2003, kar 23, običajno pa se to število giblje med štiri in sedem. </w:t>
      </w:r>
    </w:p>
    <w:p w:rsidR="00A11C91" w:rsidRPr="00A11C91" w:rsidRDefault="00A11C91" w:rsidP="00A11C91">
      <w:pPr>
        <w:spacing w:line="276" w:lineRule="auto"/>
        <w:jc w:val="both"/>
        <w:rPr>
          <w:rFonts w:eastAsia="Calibri" w:cs="Arial"/>
          <w:szCs w:val="20"/>
          <w:lang w:val="sl-SI"/>
        </w:rPr>
      </w:pPr>
    </w:p>
    <w:p w:rsidR="00A11C91" w:rsidRPr="00A11C91" w:rsidRDefault="00A11C91" w:rsidP="00A11C91">
      <w:pPr>
        <w:spacing w:after="200" w:line="276" w:lineRule="auto"/>
        <w:jc w:val="both"/>
        <w:rPr>
          <w:rFonts w:eastAsia="Calibri" w:cs="Arial"/>
          <w:szCs w:val="20"/>
          <w:lang w:val="sl-SI"/>
        </w:rPr>
      </w:pPr>
      <w:r w:rsidRPr="00A11C91">
        <w:rPr>
          <w:rFonts w:eastAsia="Calibri" w:cs="Arial"/>
          <w:noProof/>
          <w:szCs w:val="20"/>
          <w:lang w:val="sl-SI" w:eastAsia="sl-SI"/>
        </w:rPr>
        <w:drawing>
          <wp:inline distT="0" distB="0" distL="0" distR="0" wp14:anchorId="6E21E9DB" wp14:editId="261570D8">
            <wp:extent cx="5578475" cy="2048510"/>
            <wp:effectExtent l="0" t="0" r="3175" b="8890"/>
            <wp:docPr id="229"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5578475" cy="2048510"/>
                    </a:xfrm>
                    <a:prstGeom prst="rect">
                      <a:avLst/>
                    </a:prstGeom>
                    <a:noFill/>
                  </pic:spPr>
                </pic:pic>
              </a:graphicData>
            </a:graphic>
          </wp:inline>
        </w:drawing>
      </w:r>
    </w:p>
    <w:p w:rsidR="00A11C91" w:rsidRPr="00A11C91" w:rsidRDefault="00A11C91" w:rsidP="00A11C91">
      <w:pPr>
        <w:spacing w:after="200" w:line="276" w:lineRule="auto"/>
        <w:rPr>
          <w:rFonts w:cs="Arial"/>
          <w:i/>
          <w:szCs w:val="20"/>
          <w:lang w:val="sl-SI" w:eastAsia="sl-SI"/>
        </w:rPr>
      </w:pPr>
      <w:r w:rsidRPr="00A11C91">
        <w:rPr>
          <w:rFonts w:cs="Arial"/>
          <w:i/>
          <w:szCs w:val="20"/>
          <w:lang w:val="sl-SI" w:eastAsia="sl-SI"/>
        </w:rPr>
        <w:t>Slika 1</w:t>
      </w:r>
      <w:r w:rsidR="00696BAE">
        <w:rPr>
          <w:rFonts w:cs="Arial"/>
          <w:i/>
          <w:szCs w:val="20"/>
          <w:lang w:val="sl-SI" w:eastAsia="sl-SI"/>
        </w:rPr>
        <w:t>4</w:t>
      </w:r>
      <w:r w:rsidRPr="00A11C91">
        <w:rPr>
          <w:rFonts w:cs="Arial"/>
          <w:i/>
          <w:szCs w:val="20"/>
          <w:lang w:val="sl-SI" w:eastAsia="sl-SI"/>
        </w:rPr>
        <w:t>.14: Površina pogorišč (ha) in število gozdnih požarov v Republiki Slovenije v letih 2000–2014</w:t>
      </w:r>
    </w:p>
    <w:p w:rsidR="00696BAE" w:rsidRPr="00696BAE" w:rsidRDefault="00696BAE" w:rsidP="00696BAE">
      <w:pPr>
        <w:spacing w:after="200" w:line="276" w:lineRule="auto"/>
        <w:rPr>
          <w:rFonts w:cs="Arial"/>
          <w:szCs w:val="20"/>
          <w:lang w:val="sl-SI" w:eastAsia="sl-SI"/>
        </w:rPr>
      </w:pPr>
      <w:r w:rsidRPr="00696BAE">
        <w:rPr>
          <w:rFonts w:cs="Arial"/>
          <w:szCs w:val="20"/>
          <w:lang w:val="sl-SI" w:eastAsia="sl-SI"/>
        </w:rPr>
        <w:t xml:space="preserve">Zavod za gozdove Slovenije glede na dejavnike znotraj gozda, ki je glavni element naravnega okolja, ter zunanje dejavnike (temperatura, nadmorska višina itn.) razvršča v štiri stopnje potencialne požarne ogroženosti: zelo velika požarna ogroženost, velika požarna ogroženost, srednja požarna ogroženost in majhna požarna ogroženost. </w:t>
      </w:r>
    </w:p>
    <w:p w:rsidR="00A11C91" w:rsidRPr="00A11C91" w:rsidRDefault="00A11C91" w:rsidP="00A11C91">
      <w:pPr>
        <w:spacing w:after="200" w:line="276" w:lineRule="auto"/>
        <w:rPr>
          <w:rFonts w:cs="Arial"/>
          <w:szCs w:val="20"/>
          <w:lang w:val="sl-SI" w:eastAsia="sl-SI"/>
        </w:rPr>
      </w:pPr>
    </w:p>
    <w:p w:rsidR="00A11C91" w:rsidRPr="00A11C91" w:rsidRDefault="00A11C91" w:rsidP="00A11C91">
      <w:pPr>
        <w:spacing w:after="200" w:line="276" w:lineRule="auto"/>
        <w:rPr>
          <w:rFonts w:cs="Arial"/>
          <w:szCs w:val="20"/>
          <w:lang w:val="sl-SI" w:eastAsia="sl-SI"/>
        </w:rPr>
      </w:pPr>
    </w:p>
    <w:p w:rsidR="00A11C91" w:rsidRPr="00A11C91" w:rsidRDefault="00A11C91" w:rsidP="00A11C91">
      <w:pPr>
        <w:spacing w:after="200" w:line="276" w:lineRule="auto"/>
        <w:jc w:val="center"/>
        <w:rPr>
          <w:rFonts w:eastAsia="Calibri" w:cs="Arial"/>
          <w:szCs w:val="20"/>
          <w:lang w:val="sl-SI"/>
        </w:rPr>
      </w:pPr>
      <w:r w:rsidRPr="00A11C91">
        <w:rPr>
          <w:rFonts w:eastAsia="Calibri" w:cs="Arial"/>
          <w:noProof/>
          <w:szCs w:val="20"/>
          <w:lang w:val="sl-SI" w:eastAsia="sl-SI"/>
        </w:rPr>
        <w:drawing>
          <wp:inline distT="0" distB="0" distL="0" distR="0" wp14:anchorId="467055CB" wp14:editId="5E982EFA">
            <wp:extent cx="4127500" cy="2810510"/>
            <wp:effectExtent l="0" t="0" r="6350" b="8890"/>
            <wp:docPr id="230" name="Slika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4127500" cy="2810510"/>
                    </a:xfrm>
                    <a:prstGeom prst="rect">
                      <a:avLst/>
                    </a:prstGeom>
                    <a:noFill/>
                  </pic:spPr>
                </pic:pic>
              </a:graphicData>
            </a:graphic>
          </wp:inline>
        </w:drawing>
      </w:r>
    </w:p>
    <w:p w:rsidR="00A11C91" w:rsidRPr="00A11C91" w:rsidRDefault="00A11C91" w:rsidP="00A11C91">
      <w:pPr>
        <w:keepNext/>
        <w:tabs>
          <w:tab w:val="left" w:pos="0"/>
          <w:tab w:val="left" w:pos="1134"/>
        </w:tabs>
        <w:spacing w:before="200" w:after="360" w:line="276" w:lineRule="auto"/>
        <w:jc w:val="both"/>
        <w:rPr>
          <w:rFonts w:cs="Arial"/>
          <w:bCs/>
          <w:i/>
          <w:noProof/>
          <w:szCs w:val="20"/>
          <w:lang w:val="sl-SI"/>
        </w:rPr>
      </w:pPr>
      <w:r w:rsidRPr="00A11C91">
        <w:rPr>
          <w:rFonts w:cs="Arial"/>
          <w:bCs/>
          <w:i/>
          <w:noProof/>
          <w:szCs w:val="20"/>
          <w:lang w:val="sl-SI"/>
        </w:rPr>
        <w:t>Slika 1</w:t>
      </w:r>
      <w:r w:rsidR="00696BAE">
        <w:rPr>
          <w:rFonts w:cs="Arial"/>
          <w:bCs/>
          <w:i/>
          <w:noProof/>
          <w:szCs w:val="20"/>
          <w:lang w:val="sl-SI"/>
        </w:rPr>
        <w:t>4</w:t>
      </w:r>
      <w:r w:rsidRPr="00A11C91">
        <w:rPr>
          <w:rFonts w:cs="Arial"/>
          <w:bCs/>
          <w:i/>
          <w:noProof/>
          <w:szCs w:val="20"/>
          <w:lang w:val="sl-SI"/>
        </w:rPr>
        <w:t>.15: Prikaz centroidov gozdnih požarov v Republiki Sloveniji za obdobje 2000–2014 glede na velikosti požara in gozdnogospodarska območja</w:t>
      </w:r>
    </w:p>
    <w:p w:rsidR="00A11C91" w:rsidRPr="00A11C91" w:rsidRDefault="00A11C91" w:rsidP="00A11C91">
      <w:pPr>
        <w:spacing w:after="200" w:line="276" w:lineRule="auto"/>
        <w:jc w:val="center"/>
        <w:rPr>
          <w:rFonts w:eastAsia="Calibri" w:cs="Arial"/>
          <w:szCs w:val="20"/>
          <w:lang w:val="sl-SI"/>
        </w:rPr>
      </w:pPr>
      <w:r w:rsidRPr="00A11C91">
        <w:rPr>
          <w:rFonts w:eastAsia="Calibri" w:cs="Arial"/>
          <w:noProof/>
          <w:szCs w:val="20"/>
          <w:lang w:val="sl-SI" w:eastAsia="sl-SI"/>
        </w:rPr>
        <w:drawing>
          <wp:inline distT="0" distB="0" distL="0" distR="0" wp14:anchorId="2630627D" wp14:editId="293F1B65">
            <wp:extent cx="4090670" cy="2767965"/>
            <wp:effectExtent l="0" t="0" r="5080" b="0"/>
            <wp:docPr id="231" name="Slika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4090670" cy="2767965"/>
                    </a:xfrm>
                    <a:prstGeom prst="rect">
                      <a:avLst/>
                    </a:prstGeom>
                    <a:noFill/>
                  </pic:spPr>
                </pic:pic>
              </a:graphicData>
            </a:graphic>
          </wp:inline>
        </w:drawing>
      </w:r>
    </w:p>
    <w:p w:rsidR="00A11C91" w:rsidRPr="00A11C91" w:rsidRDefault="00A11C91" w:rsidP="00A11C91">
      <w:pPr>
        <w:keepNext/>
        <w:tabs>
          <w:tab w:val="left" w:pos="0"/>
          <w:tab w:val="left" w:pos="284"/>
          <w:tab w:val="left" w:pos="851"/>
        </w:tabs>
        <w:spacing w:before="200" w:after="200" w:line="276" w:lineRule="auto"/>
        <w:rPr>
          <w:rFonts w:cs="Arial"/>
          <w:bCs/>
          <w:i/>
          <w:noProof/>
          <w:szCs w:val="20"/>
          <w:lang w:val="sl-SI"/>
        </w:rPr>
      </w:pPr>
      <w:r w:rsidRPr="00A11C91">
        <w:rPr>
          <w:rFonts w:cs="Arial"/>
          <w:bCs/>
          <w:i/>
          <w:noProof/>
          <w:szCs w:val="20"/>
          <w:lang w:val="sl-SI"/>
        </w:rPr>
        <w:t>Slika 1</w:t>
      </w:r>
      <w:r w:rsidR="00696BAE">
        <w:rPr>
          <w:rFonts w:cs="Arial"/>
          <w:bCs/>
          <w:i/>
          <w:noProof/>
          <w:szCs w:val="20"/>
          <w:lang w:val="sl-SI"/>
        </w:rPr>
        <w:t>4</w:t>
      </w:r>
      <w:r w:rsidRPr="00A11C91">
        <w:rPr>
          <w:rFonts w:cs="Arial"/>
          <w:bCs/>
          <w:i/>
          <w:noProof/>
          <w:szCs w:val="20"/>
          <w:lang w:val="sl-SI"/>
        </w:rPr>
        <w:t>.16: Požarna ogroženost gozdov v Sloveniji</w:t>
      </w:r>
    </w:p>
    <w:p w:rsidR="00A11C91" w:rsidRPr="00A11C91" w:rsidRDefault="00A11C91" w:rsidP="00A11C91">
      <w:pPr>
        <w:spacing w:after="200" w:line="276" w:lineRule="auto"/>
        <w:jc w:val="both"/>
        <w:rPr>
          <w:rFonts w:eastAsia="Calibri" w:cs="Arial"/>
          <w:szCs w:val="20"/>
          <w:lang w:val="sl-SI"/>
        </w:rPr>
      </w:pPr>
      <w:r w:rsidRPr="00A11C91">
        <w:rPr>
          <w:rFonts w:eastAsia="Calibri" w:cs="Arial"/>
          <w:szCs w:val="20"/>
          <w:lang w:val="sl-SI"/>
        </w:rPr>
        <w:t>Kategorizacija tveganja oziroma razvrščanje občin v razrede ogroženosti zaradi požarov v naravnem okolju, ki je prikazano na spodnji sliki, je bilo narejeno na podlagi potencialne ogroženosti gozdov. Po ogroženosti, kot že omenjeno, izstopa predvsem jugozahodni, submediteranski del države.</w:t>
      </w:r>
    </w:p>
    <w:p w:rsidR="00A11C91" w:rsidRPr="00A11C91" w:rsidRDefault="00A11C91" w:rsidP="00A11C91">
      <w:pPr>
        <w:spacing w:after="200" w:line="276" w:lineRule="auto"/>
        <w:jc w:val="center"/>
        <w:rPr>
          <w:rFonts w:eastAsia="Calibri" w:cs="Arial"/>
          <w:szCs w:val="20"/>
          <w:lang w:val="sl-SI"/>
        </w:rPr>
      </w:pPr>
      <w:r w:rsidRPr="00A11C91">
        <w:rPr>
          <w:rFonts w:eastAsia="Calibri" w:cs="Arial"/>
          <w:noProof/>
          <w:szCs w:val="20"/>
          <w:lang w:val="sl-SI" w:eastAsia="sl-SI"/>
        </w:rPr>
        <w:drawing>
          <wp:inline distT="0" distB="0" distL="0" distR="0" wp14:anchorId="5F32710C" wp14:editId="2D27BC91">
            <wp:extent cx="4432300" cy="3139440"/>
            <wp:effectExtent l="0" t="0" r="6350" b="3810"/>
            <wp:docPr id="232" name="Slika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4432300" cy="3139440"/>
                    </a:xfrm>
                    <a:prstGeom prst="rect">
                      <a:avLst/>
                    </a:prstGeom>
                    <a:noFill/>
                  </pic:spPr>
                </pic:pic>
              </a:graphicData>
            </a:graphic>
          </wp:inline>
        </w:drawing>
      </w:r>
    </w:p>
    <w:p w:rsidR="00A11C91" w:rsidRPr="00A11C91" w:rsidRDefault="00A11C91" w:rsidP="00A11C91">
      <w:pPr>
        <w:keepNext/>
        <w:tabs>
          <w:tab w:val="left" w:pos="0"/>
          <w:tab w:val="left" w:pos="142"/>
          <w:tab w:val="left" w:pos="1134"/>
        </w:tabs>
        <w:spacing w:before="200" w:after="360" w:line="276" w:lineRule="auto"/>
        <w:rPr>
          <w:rFonts w:cs="Arial"/>
          <w:bCs/>
          <w:i/>
          <w:noProof/>
          <w:szCs w:val="20"/>
          <w:lang w:val="sl-SI"/>
        </w:rPr>
      </w:pPr>
      <w:r w:rsidRPr="00A11C91">
        <w:rPr>
          <w:rFonts w:cs="Arial"/>
          <w:bCs/>
          <w:i/>
          <w:noProof/>
          <w:szCs w:val="20"/>
          <w:lang w:val="sl-SI"/>
        </w:rPr>
        <w:t>Slika 1</w:t>
      </w:r>
      <w:r w:rsidR="00696BAE">
        <w:rPr>
          <w:rFonts w:cs="Arial"/>
          <w:bCs/>
          <w:i/>
          <w:noProof/>
          <w:szCs w:val="20"/>
          <w:lang w:val="sl-SI"/>
        </w:rPr>
        <w:t>4</w:t>
      </w:r>
      <w:r w:rsidRPr="00A11C91">
        <w:rPr>
          <w:rFonts w:cs="Arial"/>
          <w:bCs/>
          <w:i/>
          <w:noProof/>
          <w:szCs w:val="20"/>
          <w:lang w:val="sl-SI"/>
        </w:rPr>
        <w:t>.17: Stopnja požarne ogroženosti naravnega okolja zaradi požarov v naravnem okolju po občinah</w:t>
      </w:r>
    </w:p>
    <w:p w:rsidR="00A11C91" w:rsidRPr="00A11C91" w:rsidRDefault="00A11C91" w:rsidP="00A11C91">
      <w:pPr>
        <w:spacing w:after="200" w:line="276" w:lineRule="auto"/>
        <w:jc w:val="both"/>
        <w:rPr>
          <w:rFonts w:eastAsia="Calibri" w:cs="Arial"/>
          <w:szCs w:val="20"/>
          <w:lang w:val="sl-SI"/>
        </w:rPr>
      </w:pPr>
      <w:r w:rsidRPr="00A11C91">
        <w:rPr>
          <w:rFonts w:eastAsia="Calibri" w:cs="Arial"/>
          <w:szCs w:val="20"/>
          <w:lang w:val="sl-SI"/>
        </w:rPr>
        <w:t>V zvezi s požari v naravnem okolju je pomembno omeniti, da ti požari lahko povzročijo verižne nesreče, kot so eksplozije neeksplodiranih ubojnih sredstev, nastanek ekološke nesreče, razširitev požara v naselje, razširitev požara na infrastrukturne, stanovanjske, gospodarske objekte in na objekte kulturne dediščine ter prometne nesreče (zaradi širjenja dima, izvajanja intervencije itn).</w:t>
      </w:r>
    </w:p>
    <w:p w:rsidR="00A11C91" w:rsidRPr="00A11C91" w:rsidRDefault="00A11C91" w:rsidP="00A11C91">
      <w:pPr>
        <w:spacing w:line="276" w:lineRule="auto"/>
        <w:jc w:val="both"/>
        <w:rPr>
          <w:rFonts w:eastAsia="Calibri" w:cs="Arial"/>
          <w:szCs w:val="20"/>
          <w:lang w:val="sl-SI"/>
        </w:rPr>
      </w:pPr>
    </w:p>
    <w:p w:rsidR="00A11C91" w:rsidRPr="00A11C91" w:rsidRDefault="00A11C91" w:rsidP="00A11C91">
      <w:pPr>
        <w:spacing w:after="200" w:line="276" w:lineRule="auto"/>
        <w:jc w:val="both"/>
        <w:rPr>
          <w:rFonts w:eastAsia="Calibri" w:cs="Arial"/>
          <w:szCs w:val="20"/>
          <w:lang w:val="sl-SI"/>
        </w:rPr>
      </w:pPr>
      <w:r w:rsidRPr="00A11C91">
        <w:rPr>
          <w:rFonts w:eastAsia="Calibri" w:cs="Arial"/>
          <w:szCs w:val="20"/>
          <w:lang w:val="sl-SI"/>
        </w:rPr>
        <w:t>Eden največjih požarov v naravnem okolju doslej, če ne največji, je nastal marca 1992 na širšem območju Kobariškega stola nad Breginjem v občini Kobarid. Takrat je zgorelo več kot 1800 ha površin, večinoma visokogorskih travnikov in pašnikov. Vsi ostali največji požari po letu 1991, praktično vsi s površino nad 500 ha, razen omenjenega nad Breginjem, pa so nastali v submediteranskem delu države, predvsem na Krasu.</w:t>
      </w:r>
    </w:p>
    <w:p w:rsidR="00A11C91" w:rsidRPr="00A11C91" w:rsidRDefault="00A11C91" w:rsidP="00A11C91">
      <w:pPr>
        <w:spacing w:after="200" w:line="276" w:lineRule="auto"/>
        <w:jc w:val="both"/>
        <w:rPr>
          <w:rFonts w:eastAsia="Calibri" w:cs="Arial"/>
          <w:szCs w:val="20"/>
          <w:lang w:val="sl-SI"/>
        </w:rPr>
      </w:pPr>
      <w:r w:rsidRPr="00A11C91">
        <w:rPr>
          <w:rFonts w:eastAsia="Calibri" w:cs="Arial"/>
          <w:szCs w:val="20"/>
          <w:lang w:val="sl-SI"/>
        </w:rPr>
        <w:t>Po obsežnosti izstopata zlasti dva gozdna požara na Krasu. Požar na območju Sel na Krasu je trajal od 29. do 31. julija 2003. Skupna površina požarišča je bila 1049 ha, od tega 958 ha gozda in 91 ha drugih zemljišč. Stroški intervencije gasilcev so bili 250.175 evrov, škoda na gozdu zaradi požara je bila ocenjena na 243.000 evrov, stroški obnove gozda, izdelave sanacijskega načrta ter materialni in drugi stroški dela Zavoda za gozdove Slovenije pa so znašali 222.970 evrov. Skupni strošek požara je tako bil 716.345 evrov, pri tem pa niso upoštevani stroški helikopterskega gašenja. Požar na območju Šumke in Trstelja je trajal od 21. do 24. julija 2006. Skupna površina požarišča je bila 950 ha,  od tega 707 ha gozda in 243 ha drugih zemljišč. Stroški intervencije gasilcev so bili 200.300 evrov, vendar je tu treba poudariti, da niso vključeni stroški, nastali na gasilskih vozilih. Škoda na gozdu zaradi požara je bila 453.000 evrov, stroški obnove gozda, izdelave sanacijskega načrta ter materialni in drugi stroški dela ZGS pa so bili 441.400 evrov. Skupni strošek požara je bil tako 1.094.700 evrov, pri čemer pa niso upoštevani stroški helikopterskega gašenja in stroški, nstali na gasilski vozilih.</w:t>
      </w:r>
    </w:p>
    <w:p w:rsidR="00A11C91" w:rsidRPr="00A11C91" w:rsidRDefault="00A11C91" w:rsidP="00A11C91">
      <w:pPr>
        <w:spacing w:after="200" w:line="276" w:lineRule="auto"/>
        <w:jc w:val="both"/>
        <w:rPr>
          <w:rFonts w:eastAsia="Calibri" w:cs="Arial"/>
          <w:szCs w:val="20"/>
          <w:lang w:val="sl-SI"/>
        </w:rPr>
      </w:pPr>
      <w:r w:rsidRPr="00A11C91">
        <w:rPr>
          <w:rFonts w:eastAsia="Calibri" w:cs="Arial"/>
          <w:szCs w:val="20"/>
          <w:lang w:val="sl-SI"/>
        </w:rPr>
        <w:t>Škoda v obeh opisanih požarih bi lahko bila bistveno večja, če bi ogenj zajel naselja in uničil stanovanjske ter druge objekte, saj so bile v obeh primerih za tak razplet stvarne možnosti.</w:t>
      </w:r>
    </w:p>
    <w:p w:rsidR="00A11C91" w:rsidRPr="00A11C91" w:rsidRDefault="00A11C91" w:rsidP="00A11C91">
      <w:pPr>
        <w:spacing w:after="200" w:line="276" w:lineRule="auto"/>
        <w:jc w:val="both"/>
        <w:rPr>
          <w:rFonts w:eastAsia="Calibri" w:cs="Arial"/>
          <w:szCs w:val="20"/>
          <w:lang w:val="sl-SI"/>
        </w:rPr>
      </w:pPr>
    </w:p>
    <w:p w:rsidR="00A11C91" w:rsidRPr="00A11C91" w:rsidRDefault="00A11C91" w:rsidP="00696BAE">
      <w:pPr>
        <w:spacing w:after="360" w:line="276" w:lineRule="auto"/>
        <w:jc w:val="both"/>
        <w:rPr>
          <w:rFonts w:eastAsia="Calibri" w:cs="Arial"/>
          <w:b/>
          <w:szCs w:val="20"/>
          <w:lang w:val="sl-SI"/>
        </w:rPr>
      </w:pPr>
      <w:r w:rsidRPr="00A11C91">
        <w:rPr>
          <w:rFonts w:eastAsia="Calibri" w:cs="Arial"/>
          <w:b/>
          <w:szCs w:val="20"/>
          <w:lang w:val="sl-SI"/>
        </w:rPr>
        <w:t>1</w:t>
      </w:r>
      <w:r w:rsidR="00696BAE">
        <w:rPr>
          <w:rFonts w:eastAsia="Calibri" w:cs="Arial"/>
          <w:b/>
          <w:szCs w:val="20"/>
          <w:lang w:val="sl-SI"/>
        </w:rPr>
        <w:t>4</w:t>
      </w:r>
      <w:r w:rsidRPr="00A11C91">
        <w:rPr>
          <w:rFonts w:eastAsia="Calibri" w:cs="Arial"/>
          <w:b/>
          <w:szCs w:val="20"/>
          <w:lang w:val="sl-SI"/>
        </w:rPr>
        <w:t>.4.2 Požari v naravnem okolju v Sloveniji v obdobju 2009–2015</w:t>
      </w:r>
    </w:p>
    <w:p w:rsidR="00A11C91" w:rsidRPr="00A11C91" w:rsidRDefault="00A11C91" w:rsidP="00A11C91">
      <w:pPr>
        <w:spacing w:line="276" w:lineRule="auto"/>
        <w:jc w:val="both"/>
        <w:rPr>
          <w:rFonts w:eastAsia="Calibri" w:cs="Arial"/>
          <w:szCs w:val="20"/>
          <w:lang w:val="sl-SI"/>
        </w:rPr>
      </w:pPr>
      <w:r w:rsidRPr="00A11C91">
        <w:rPr>
          <w:rFonts w:eastAsia="Calibri" w:cs="Arial"/>
          <w:szCs w:val="20"/>
          <w:lang w:val="sl-SI"/>
        </w:rPr>
        <w:t xml:space="preserve">Kljub pogostim sušnim obmdobjem in vrememu, ki je pogosto toplejše od povprečja, število in površina požarov v naravnem okolju v obdobju 2009–2015 večinoma nista odstopala od popvprečnih vrednosti. Izjema je le sušo in toplo leto 2012. </w:t>
      </w:r>
    </w:p>
    <w:p w:rsidR="00A11C91" w:rsidRPr="00A11C91" w:rsidRDefault="00A11C91" w:rsidP="00A11C91">
      <w:pPr>
        <w:spacing w:line="276" w:lineRule="auto"/>
        <w:jc w:val="both"/>
        <w:rPr>
          <w:rFonts w:eastAsia="Calibri" w:cs="Arial"/>
          <w:szCs w:val="20"/>
          <w:lang w:val="sl-SI"/>
        </w:rPr>
      </w:pPr>
    </w:p>
    <w:p w:rsidR="00A11C91" w:rsidRPr="00A11C91" w:rsidRDefault="00A11C91" w:rsidP="00A11C91">
      <w:pPr>
        <w:spacing w:line="276" w:lineRule="auto"/>
        <w:jc w:val="both"/>
        <w:rPr>
          <w:rFonts w:eastAsia="Calibri" w:cs="Arial"/>
          <w:i/>
          <w:szCs w:val="20"/>
          <w:lang w:val="sl-SI"/>
        </w:rPr>
      </w:pPr>
      <w:r w:rsidRPr="00A11C91">
        <w:rPr>
          <w:rFonts w:eastAsia="Calibri" w:cs="Arial"/>
          <w:i/>
          <w:szCs w:val="20"/>
          <w:lang w:val="sl-SI"/>
        </w:rPr>
        <w:t>Preglednica 1</w:t>
      </w:r>
      <w:r w:rsidR="00696BAE">
        <w:rPr>
          <w:rFonts w:eastAsia="Calibri" w:cs="Arial"/>
          <w:i/>
          <w:szCs w:val="20"/>
          <w:lang w:val="sl-SI"/>
        </w:rPr>
        <w:t>4</w:t>
      </w:r>
      <w:r w:rsidRPr="00A11C91">
        <w:rPr>
          <w:rFonts w:eastAsia="Calibri" w:cs="Arial"/>
          <w:i/>
          <w:szCs w:val="20"/>
          <w:lang w:val="sl-SI"/>
        </w:rPr>
        <w:t>.</w:t>
      </w:r>
      <w:r w:rsidR="00107DE0">
        <w:rPr>
          <w:rFonts w:eastAsia="Calibri" w:cs="Arial"/>
          <w:i/>
          <w:szCs w:val="20"/>
          <w:lang w:val="sl-SI"/>
        </w:rPr>
        <w:t>6</w:t>
      </w:r>
      <w:r w:rsidRPr="00A11C91">
        <w:rPr>
          <w:rFonts w:eastAsia="Calibri" w:cs="Arial"/>
          <w:i/>
          <w:szCs w:val="20"/>
          <w:lang w:val="sl-SI"/>
        </w:rPr>
        <w:t xml:space="preserve">: Število požarov v naravnem okolju v obdobju 2009–2015 in opožarjena površina </w:t>
      </w:r>
    </w:p>
    <w:tbl>
      <w:tblPr>
        <w:tblStyle w:val="Tabelamrea15"/>
        <w:tblW w:w="0" w:type="auto"/>
        <w:tblLook w:val="04A0" w:firstRow="1" w:lastRow="0" w:firstColumn="1" w:lastColumn="0" w:noHBand="0" w:noVBand="1"/>
      </w:tblPr>
      <w:tblGrid>
        <w:gridCol w:w="1101"/>
        <w:gridCol w:w="1984"/>
        <w:gridCol w:w="1985"/>
      </w:tblGrid>
      <w:tr w:rsidR="00A11C91" w:rsidRPr="00A11C91" w:rsidTr="0077619C">
        <w:tc>
          <w:tcPr>
            <w:tcW w:w="1101" w:type="dxa"/>
          </w:tcPr>
          <w:p w:rsidR="00A11C91" w:rsidRPr="00A11C91" w:rsidRDefault="00A11C91" w:rsidP="00A11C91">
            <w:pPr>
              <w:spacing w:line="276" w:lineRule="auto"/>
              <w:jc w:val="both"/>
              <w:rPr>
                <w:rFonts w:cs="Arial"/>
                <w:szCs w:val="20"/>
                <w:lang w:val="sl-SI"/>
              </w:rPr>
            </w:pPr>
            <w:r w:rsidRPr="00A11C91">
              <w:rPr>
                <w:rFonts w:cs="Arial"/>
                <w:szCs w:val="20"/>
                <w:lang w:val="sl-SI"/>
              </w:rPr>
              <w:t>Leto</w:t>
            </w:r>
          </w:p>
        </w:tc>
        <w:tc>
          <w:tcPr>
            <w:tcW w:w="1984" w:type="dxa"/>
          </w:tcPr>
          <w:p w:rsidR="00A11C91" w:rsidRPr="00A11C91" w:rsidRDefault="00A11C91" w:rsidP="00A11C91">
            <w:pPr>
              <w:spacing w:line="276" w:lineRule="auto"/>
              <w:jc w:val="center"/>
              <w:rPr>
                <w:rFonts w:cs="Arial"/>
                <w:szCs w:val="20"/>
                <w:lang w:val="sl-SI"/>
              </w:rPr>
            </w:pPr>
            <w:r w:rsidRPr="00A11C91">
              <w:rPr>
                <w:rFonts w:cs="Arial"/>
                <w:szCs w:val="20"/>
                <w:lang w:val="sl-SI"/>
              </w:rPr>
              <w:t>Število požarov v naravnem okolju</w:t>
            </w:r>
          </w:p>
        </w:tc>
        <w:tc>
          <w:tcPr>
            <w:tcW w:w="1985" w:type="dxa"/>
          </w:tcPr>
          <w:p w:rsidR="00A11C91" w:rsidRPr="00A11C91" w:rsidRDefault="00A11C91" w:rsidP="00A11C91">
            <w:pPr>
              <w:spacing w:line="276" w:lineRule="auto"/>
              <w:jc w:val="center"/>
              <w:rPr>
                <w:rFonts w:cs="Arial"/>
                <w:szCs w:val="20"/>
                <w:lang w:val="sl-SI"/>
              </w:rPr>
            </w:pPr>
            <w:r w:rsidRPr="00A11C91">
              <w:rPr>
                <w:rFonts w:cs="Arial"/>
                <w:szCs w:val="20"/>
                <w:lang w:val="sl-SI"/>
              </w:rPr>
              <w:t>Opožarjena površina v ha</w:t>
            </w:r>
          </w:p>
        </w:tc>
      </w:tr>
      <w:tr w:rsidR="00A11C91" w:rsidRPr="00A11C91" w:rsidTr="0077619C">
        <w:tc>
          <w:tcPr>
            <w:tcW w:w="1101" w:type="dxa"/>
          </w:tcPr>
          <w:p w:rsidR="00A11C91" w:rsidRPr="00A11C91" w:rsidRDefault="00A11C91" w:rsidP="00A11C91">
            <w:pPr>
              <w:spacing w:line="276" w:lineRule="auto"/>
              <w:jc w:val="both"/>
              <w:rPr>
                <w:rFonts w:cs="Arial"/>
                <w:szCs w:val="20"/>
                <w:lang w:val="sl-SI"/>
              </w:rPr>
            </w:pPr>
            <w:r w:rsidRPr="00A11C91">
              <w:rPr>
                <w:rFonts w:cs="Arial"/>
                <w:szCs w:val="20"/>
                <w:lang w:val="sl-SI"/>
              </w:rPr>
              <w:t>2009</w:t>
            </w:r>
          </w:p>
        </w:tc>
        <w:tc>
          <w:tcPr>
            <w:tcW w:w="1984" w:type="dxa"/>
          </w:tcPr>
          <w:p w:rsidR="00A11C91" w:rsidRPr="00A11C91" w:rsidRDefault="00A11C91" w:rsidP="00A11C91">
            <w:pPr>
              <w:spacing w:line="276" w:lineRule="auto"/>
              <w:jc w:val="center"/>
              <w:rPr>
                <w:rFonts w:cs="Arial"/>
                <w:szCs w:val="20"/>
                <w:lang w:val="sl-SI"/>
              </w:rPr>
            </w:pPr>
            <w:r w:rsidRPr="00A11C91">
              <w:rPr>
                <w:rFonts w:cs="Arial"/>
                <w:szCs w:val="20"/>
                <w:lang w:val="sl-SI"/>
              </w:rPr>
              <w:t>1840</w:t>
            </w:r>
          </w:p>
        </w:tc>
        <w:tc>
          <w:tcPr>
            <w:tcW w:w="1985" w:type="dxa"/>
          </w:tcPr>
          <w:p w:rsidR="00A11C91" w:rsidRPr="00A11C91" w:rsidRDefault="00A11C91" w:rsidP="00A11C91">
            <w:pPr>
              <w:spacing w:line="276" w:lineRule="auto"/>
              <w:jc w:val="center"/>
              <w:rPr>
                <w:rFonts w:cs="Arial"/>
                <w:szCs w:val="20"/>
                <w:lang w:val="sl-SI"/>
              </w:rPr>
            </w:pPr>
            <w:r w:rsidRPr="00A11C91">
              <w:rPr>
                <w:rFonts w:cs="Arial"/>
                <w:szCs w:val="20"/>
                <w:lang w:val="sl-SI"/>
              </w:rPr>
              <w:t>996</w:t>
            </w:r>
          </w:p>
        </w:tc>
      </w:tr>
      <w:tr w:rsidR="00A11C91" w:rsidRPr="00A11C91" w:rsidTr="0077619C">
        <w:tc>
          <w:tcPr>
            <w:tcW w:w="1101" w:type="dxa"/>
          </w:tcPr>
          <w:p w:rsidR="00A11C91" w:rsidRPr="00A11C91" w:rsidRDefault="00A11C91" w:rsidP="00A11C91">
            <w:pPr>
              <w:spacing w:line="276" w:lineRule="auto"/>
              <w:jc w:val="both"/>
              <w:rPr>
                <w:rFonts w:cs="Arial"/>
                <w:szCs w:val="20"/>
                <w:lang w:val="sl-SI"/>
              </w:rPr>
            </w:pPr>
            <w:r w:rsidRPr="00A11C91">
              <w:rPr>
                <w:rFonts w:cs="Arial"/>
                <w:szCs w:val="20"/>
                <w:lang w:val="sl-SI"/>
              </w:rPr>
              <w:t>2010</w:t>
            </w:r>
          </w:p>
        </w:tc>
        <w:tc>
          <w:tcPr>
            <w:tcW w:w="1984" w:type="dxa"/>
          </w:tcPr>
          <w:p w:rsidR="00A11C91" w:rsidRPr="00A11C91" w:rsidRDefault="00A11C91" w:rsidP="00A11C91">
            <w:pPr>
              <w:spacing w:line="276" w:lineRule="auto"/>
              <w:jc w:val="center"/>
              <w:rPr>
                <w:rFonts w:cs="Arial"/>
                <w:szCs w:val="20"/>
                <w:lang w:val="sl-SI"/>
              </w:rPr>
            </w:pPr>
            <w:r w:rsidRPr="00A11C91">
              <w:rPr>
                <w:rFonts w:cs="Arial"/>
                <w:szCs w:val="20"/>
                <w:lang w:val="sl-SI"/>
              </w:rPr>
              <w:t>1040</w:t>
            </w:r>
          </w:p>
        </w:tc>
        <w:tc>
          <w:tcPr>
            <w:tcW w:w="1985" w:type="dxa"/>
          </w:tcPr>
          <w:p w:rsidR="00A11C91" w:rsidRPr="00A11C91" w:rsidRDefault="00A11C91" w:rsidP="00A11C91">
            <w:pPr>
              <w:spacing w:line="276" w:lineRule="auto"/>
              <w:jc w:val="center"/>
              <w:rPr>
                <w:rFonts w:cs="Arial"/>
                <w:szCs w:val="20"/>
                <w:lang w:val="sl-SI"/>
              </w:rPr>
            </w:pPr>
            <w:r w:rsidRPr="00A11C91">
              <w:rPr>
                <w:rFonts w:cs="Arial"/>
                <w:szCs w:val="20"/>
                <w:lang w:val="sl-SI"/>
              </w:rPr>
              <w:t>410</w:t>
            </w:r>
          </w:p>
        </w:tc>
      </w:tr>
      <w:tr w:rsidR="00A11C91" w:rsidRPr="00A11C91" w:rsidTr="0077619C">
        <w:tc>
          <w:tcPr>
            <w:tcW w:w="1101" w:type="dxa"/>
          </w:tcPr>
          <w:p w:rsidR="00A11C91" w:rsidRPr="00A11C91" w:rsidRDefault="00A11C91" w:rsidP="00A11C91">
            <w:pPr>
              <w:spacing w:line="276" w:lineRule="auto"/>
              <w:jc w:val="both"/>
              <w:rPr>
                <w:rFonts w:cs="Arial"/>
                <w:szCs w:val="20"/>
                <w:lang w:val="sl-SI"/>
              </w:rPr>
            </w:pPr>
            <w:r w:rsidRPr="00A11C91">
              <w:rPr>
                <w:rFonts w:cs="Arial"/>
                <w:szCs w:val="20"/>
                <w:lang w:val="sl-SI"/>
              </w:rPr>
              <w:t>2011</w:t>
            </w:r>
          </w:p>
        </w:tc>
        <w:tc>
          <w:tcPr>
            <w:tcW w:w="1984" w:type="dxa"/>
          </w:tcPr>
          <w:p w:rsidR="00A11C91" w:rsidRPr="00A11C91" w:rsidRDefault="00A11C91" w:rsidP="00A11C91">
            <w:pPr>
              <w:spacing w:line="276" w:lineRule="auto"/>
              <w:jc w:val="center"/>
              <w:rPr>
                <w:rFonts w:cs="Arial"/>
                <w:szCs w:val="20"/>
                <w:lang w:val="sl-SI"/>
              </w:rPr>
            </w:pPr>
            <w:r w:rsidRPr="00A11C91">
              <w:rPr>
                <w:rFonts w:cs="Arial"/>
                <w:szCs w:val="20"/>
                <w:lang w:val="sl-SI"/>
              </w:rPr>
              <w:t>1940</w:t>
            </w:r>
          </w:p>
        </w:tc>
        <w:tc>
          <w:tcPr>
            <w:tcW w:w="1985" w:type="dxa"/>
          </w:tcPr>
          <w:p w:rsidR="00A11C91" w:rsidRPr="00A11C91" w:rsidRDefault="00A11C91" w:rsidP="00A11C91">
            <w:pPr>
              <w:spacing w:line="276" w:lineRule="auto"/>
              <w:jc w:val="center"/>
              <w:rPr>
                <w:rFonts w:cs="Arial"/>
                <w:szCs w:val="20"/>
                <w:lang w:val="sl-SI"/>
              </w:rPr>
            </w:pPr>
            <w:r w:rsidRPr="00A11C91">
              <w:rPr>
                <w:rFonts w:cs="Arial"/>
                <w:szCs w:val="20"/>
                <w:lang w:val="sl-SI"/>
              </w:rPr>
              <w:t>1219</w:t>
            </w:r>
          </w:p>
        </w:tc>
      </w:tr>
      <w:tr w:rsidR="00A11C91" w:rsidRPr="00A11C91" w:rsidTr="0077619C">
        <w:tc>
          <w:tcPr>
            <w:tcW w:w="1101" w:type="dxa"/>
          </w:tcPr>
          <w:p w:rsidR="00A11C91" w:rsidRPr="00A11C91" w:rsidRDefault="00A11C91" w:rsidP="00A11C91">
            <w:pPr>
              <w:spacing w:line="276" w:lineRule="auto"/>
              <w:jc w:val="both"/>
              <w:rPr>
                <w:rFonts w:cs="Arial"/>
                <w:szCs w:val="20"/>
                <w:lang w:val="sl-SI"/>
              </w:rPr>
            </w:pPr>
            <w:r w:rsidRPr="00A11C91">
              <w:rPr>
                <w:rFonts w:cs="Arial"/>
                <w:szCs w:val="20"/>
                <w:lang w:val="sl-SI"/>
              </w:rPr>
              <w:t>2012</w:t>
            </w:r>
          </w:p>
        </w:tc>
        <w:tc>
          <w:tcPr>
            <w:tcW w:w="1984" w:type="dxa"/>
          </w:tcPr>
          <w:p w:rsidR="00A11C91" w:rsidRPr="00A11C91" w:rsidRDefault="00A11C91" w:rsidP="00A11C91">
            <w:pPr>
              <w:spacing w:line="276" w:lineRule="auto"/>
              <w:jc w:val="center"/>
              <w:rPr>
                <w:rFonts w:cs="Arial"/>
                <w:szCs w:val="20"/>
                <w:lang w:val="sl-SI"/>
              </w:rPr>
            </w:pPr>
            <w:r w:rsidRPr="00A11C91">
              <w:rPr>
                <w:rFonts w:cs="Arial"/>
                <w:szCs w:val="20"/>
                <w:lang w:val="sl-SI"/>
              </w:rPr>
              <w:t>2430</w:t>
            </w:r>
          </w:p>
        </w:tc>
        <w:tc>
          <w:tcPr>
            <w:tcW w:w="1985" w:type="dxa"/>
          </w:tcPr>
          <w:p w:rsidR="00A11C91" w:rsidRPr="00A11C91" w:rsidRDefault="00A11C91" w:rsidP="00A11C91">
            <w:pPr>
              <w:spacing w:line="276" w:lineRule="auto"/>
              <w:jc w:val="center"/>
              <w:rPr>
                <w:rFonts w:cs="Arial"/>
                <w:szCs w:val="20"/>
                <w:lang w:val="sl-SI"/>
              </w:rPr>
            </w:pPr>
            <w:r w:rsidRPr="00A11C91">
              <w:rPr>
                <w:rFonts w:cs="Arial"/>
                <w:szCs w:val="20"/>
                <w:lang w:val="sl-SI"/>
              </w:rPr>
              <w:t>1424</w:t>
            </w:r>
          </w:p>
        </w:tc>
      </w:tr>
      <w:tr w:rsidR="00A11C91" w:rsidRPr="00A11C91" w:rsidTr="0077619C">
        <w:tc>
          <w:tcPr>
            <w:tcW w:w="1101" w:type="dxa"/>
          </w:tcPr>
          <w:p w:rsidR="00A11C91" w:rsidRPr="00A11C91" w:rsidRDefault="00A11C91" w:rsidP="00A11C91">
            <w:pPr>
              <w:spacing w:line="276" w:lineRule="auto"/>
              <w:jc w:val="both"/>
              <w:rPr>
                <w:rFonts w:cs="Arial"/>
                <w:szCs w:val="20"/>
                <w:lang w:val="sl-SI"/>
              </w:rPr>
            </w:pPr>
            <w:r w:rsidRPr="00A11C91">
              <w:rPr>
                <w:rFonts w:cs="Arial"/>
                <w:szCs w:val="20"/>
                <w:lang w:val="sl-SI"/>
              </w:rPr>
              <w:t>2013</w:t>
            </w:r>
          </w:p>
        </w:tc>
        <w:tc>
          <w:tcPr>
            <w:tcW w:w="1984" w:type="dxa"/>
          </w:tcPr>
          <w:p w:rsidR="00A11C91" w:rsidRPr="00A11C91" w:rsidRDefault="00A11C91" w:rsidP="00A11C91">
            <w:pPr>
              <w:spacing w:line="276" w:lineRule="auto"/>
              <w:jc w:val="center"/>
              <w:rPr>
                <w:rFonts w:cs="Arial"/>
                <w:szCs w:val="20"/>
                <w:lang w:val="sl-SI"/>
              </w:rPr>
            </w:pPr>
            <w:r w:rsidRPr="00A11C91">
              <w:rPr>
                <w:rFonts w:cs="Arial"/>
                <w:szCs w:val="20"/>
                <w:lang w:val="sl-SI"/>
              </w:rPr>
              <w:t>1314</w:t>
            </w:r>
          </w:p>
        </w:tc>
        <w:tc>
          <w:tcPr>
            <w:tcW w:w="1985" w:type="dxa"/>
          </w:tcPr>
          <w:p w:rsidR="00A11C91" w:rsidRPr="00A11C91" w:rsidRDefault="00A11C91" w:rsidP="00A11C91">
            <w:pPr>
              <w:spacing w:line="276" w:lineRule="auto"/>
              <w:jc w:val="center"/>
              <w:rPr>
                <w:rFonts w:cs="Arial"/>
                <w:szCs w:val="20"/>
                <w:lang w:val="sl-SI"/>
              </w:rPr>
            </w:pPr>
            <w:r w:rsidRPr="00A11C91">
              <w:rPr>
                <w:rFonts w:cs="Arial"/>
                <w:szCs w:val="20"/>
                <w:lang w:val="sl-SI"/>
              </w:rPr>
              <w:t>449</w:t>
            </w:r>
          </w:p>
        </w:tc>
      </w:tr>
      <w:tr w:rsidR="00A11C91" w:rsidRPr="00A11C91" w:rsidTr="0077619C">
        <w:tc>
          <w:tcPr>
            <w:tcW w:w="1101" w:type="dxa"/>
          </w:tcPr>
          <w:p w:rsidR="00A11C91" w:rsidRPr="00A11C91" w:rsidRDefault="00A11C91" w:rsidP="00A11C91">
            <w:pPr>
              <w:spacing w:line="276" w:lineRule="auto"/>
              <w:jc w:val="both"/>
              <w:rPr>
                <w:rFonts w:cs="Arial"/>
                <w:szCs w:val="20"/>
                <w:lang w:val="sl-SI"/>
              </w:rPr>
            </w:pPr>
            <w:r w:rsidRPr="00A11C91">
              <w:rPr>
                <w:rFonts w:cs="Arial"/>
                <w:szCs w:val="20"/>
                <w:lang w:val="sl-SI"/>
              </w:rPr>
              <w:t>2014</w:t>
            </w:r>
          </w:p>
        </w:tc>
        <w:tc>
          <w:tcPr>
            <w:tcW w:w="1984" w:type="dxa"/>
          </w:tcPr>
          <w:p w:rsidR="00A11C91" w:rsidRPr="00A11C91" w:rsidRDefault="00A11C91" w:rsidP="00A11C91">
            <w:pPr>
              <w:spacing w:line="276" w:lineRule="auto"/>
              <w:jc w:val="center"/>
              <w:rPr>
                <w:rFonts w:cs="Arial"/>
                <w:szCs w:val="20"/>
                <w:lang w:val="sl-SI"/>
              </w:rPr>
            </w:pPr>
            <w:r w:rsidRPr="00A11C91">
              <w:rPr>
                <w:rFonts w:cs="Arial"/>
                <w:szCs w:val="20"/>
                <w:lang w:val="sl-SI"/>
              </w:rPr>
              <w:t>842</w:t>
            </w:r>
          </w:p>
        </w:tc>
        <w:tc>
          <w:tcPr>
            <w:tcW w:w="1985" w:type="dxa"/>
          </w:tcPr>
          <w:p w:rsidR="00A11C91" w:rsidRPr="00A11C91" w:rsidRDefault="00A11C91" w:rsidP="00A11C91">
            <w:pPr>
              <w:spacing w:line="276" w:lineRule="auto"/>
              <w:jc w:val="center"/>
              <w:rPr>
                <w:rFonts w:cs="Arial"/>
                <w:szCs w:val="20"/>
                <w:lang w:val="sl-SI"/>
              </w:rPr>
            </w:pPr>
            <w:r w:rsidRPr="00A11C91">
              <w:rPr>
                <w:rFonts w:cs="Arial"/>
                <w:szCs w:val="20"/>
                <w:lang w:val="sl-SI"/>
              </w:rPr>
              <w:t>350</w:t>
            </w:r>
          </w:p>
        </w:tc>
      </w:tr>
      <w:tr w:rsidR="00A11C91" w:rsidRPr="00A11C91" w:rsidTr="0077619C">
        <w:tc>
          <w:tcPr>
            <w:tcW w:w="1101" w:type="dxa"/>
          </w:tcPr>
          <w:p w:rsidR="00A11C91" w:rsidRPr="00A11C91" w:rsidRDefault="00A11C91" w:rsidP="00A11C91">
            <w:pPr>
              <w:spacing w:line="276" w:lineRule="auto"/>
              <w:jc w:val="both"/>
              <w:rPr>
                <w:rFonts w:cs="Arial"/>
                <w:szCs w:val="20"/>
                <w:lang w:val="sl-SI"/>
              </w:rPr>
            </w:pPr>
            <w:r w:rsidRPr="00A11C91">
              <w:rPr>
                <w:rFonts w:cs="Arial"/>
                <w:szCs w:val="20"/>
                <w:lang w:val="sl-SI"/>
              </w:rPr>
              <w:t>2015</w:t>
            </w:r>
          </w:p>
        </w:tc>
        <w:tc>
          <w:tcPr>
            <w:tcW w:w="1984" w:type="dxa"/>
          </w:tcPr>
          <w:p w:rsidR="00A11C91" w:rsidRPr="00A11C91" w:rsidRDefault="00A11C91" w:rsidP="00A11C91">
            <w:pPr>
              <w:spacing w:line="276" w:lineRule="auto"/>
              <w:jc w:val="center"/>
              <w:rPr>
                <w:rFonts w:cs="Arial"/>
                <w:szCs w:val="20"/>
                <w:lang w:val="sl-SI"/>
              </w:rPr>
            </w:pPr>
            <w:r w:rsidRPr="00A11C91">
              <w:rPr>
                <w:rFonts w:cs="Arial"/>
                <w:szCs w:val="20"/>
                <w:lang w:val="sl-SI"/>
              </w:rPr>
              <w:t>1348</w:t>
            </w:r>
          </w:p>
        </w:tc>
        <w:tc>
          <w:tcPr>
            <w:tcW w:w="1985" w:type="dxa"/>
          </w:tcPr>
          <w:p w:rsidR="00A11C91" w:rsidRPr="00A11C91" w:rsidRDefault="00A11C91" w:rsidP="00A11C91">
            <w:pPr>
              <w:spacing w:line="276" w:lineRule="auto"/>
              <w:jc w:val="center"/>
              <w:rPr>
                <w:rFonts w:cs="Arial"/>
                <w:szCs w:val="20"/>
                <w:lang w:val="sl-SI"/>
              </w:rPr>
            </w:pPr>
            <w:r w:rsidRPr="00A11C91">
              <w:rPr>
                <w:rFonts w:cs="Arial"/>
                <w:szCs w:val="20"/>
                <w:lang w:val="sl-SI"/>
              </w:rPr>
              <w:t>719</w:t>
            </w:r>
          </w:p>
        </w:tc>
      </w:tr>
    </w:tbl>
    <w:p w:rsidR="00696BAE" w:rsidRDefault="00696BAE" w:rsidP="00696BAE">
      <w:pPr>
        <w:spacing w:after="120" w:line="276" w:lineRule="auto"/>
        <w:jc w:val="both"/>
        <w:rPr>
          <w:rFonts w:eastAsia="Calibri" w:cs="Arial"/>
          <w:szCs w:val="20"/>
          <w:lang w:val="sl-SI"/>
        </w:rPr>
      </w:pPr>
    </w:p>
    <w:p w:rsidR="00A11C91" w:rsidRPr="00A11C91" w:rsidRDefault="00A11C91" w:rsidP="00696BAE">
      <w:pPr>
        <w:spacing w:after="360" w:line="276" w:lineRule="auto"/>
        <w:jc w:val="both"/>
        <w:rPr>
          <w:rFonts w:eastAsia="Calibri" w:cs="Arial"/>
          <w:szCs w:val="20"/>
          <w:lang w:val="sl-SI"/>
        </w:rPr>
      </w:pPr>
      <w:r w:rsidRPr="00A11C91">
        <w:rPr>
          <w:rFonts w:eastAsia="Calibri" w:cs="Arial"/>
          <w:szCs w:val="20"/>
          <w:lang w:val="sl-SI"/>
        </w:rPr>
        <w:t xml:space="preserve">Tudi število obsežnejših požarov v naravnem okolju (s površino, večjo od 200 ha) je bilo v obravnavanem obdobju manjše kot npr. v obdobju 1998–2003. Več obsežnejših požarov v naravnem okolju je v dolgem obdobju suhega in vročega vremena nastalo le avgusta 2012, med njimi predvsem požar pri Črnotičah in Črnem Kalu 10. avgusta, ki je uničil okoli 325 ha površin, ter požar pri Malih Ločah v občini Ilirska Bistrica istega dne, kjer je ogenj uničil okoli 230 ha površin. </w:t>
      </w:r>
    </w:p>
    <w:p w:rsidR="00A11C91" w:rsidRPr="00A11C91" w:rsidRDefault="00A11C91" w:rsidP="00A11C91">
      <w:pPr>
        <w:spacing w:after="200" w:line="276" w:lineRule="auto"/>
        <w:jc w:val="both"/>
        <w:rPr>
          <w:rFonts w:eastAsia="Calibri" w:cs="Arial"/>
          <w:b/>
          <w:szCs w:val="20"/>
          <w:lang w:val="sl-SI"/>
        </w:rPr>
      </w:pPr>
      <w:r w:rsidRPr="00A11C91">
        <w:rPr>
          <w:rFonts w:eastAsia="Calibri" w:cs="Arial"/>
          <w:b/>
          <w:szCs w:val="20"/>
          <w:lang w:val="sl-SI"/>
        </w:rPr>
        <w:t>1</w:t>
      </w:r>
      <w:r w:rsidR="00107DE0">
        <w:rPr>
          <w:rFonts w:eastAsia="Calibri" w:cs="Arial"/>
          <w:b/>
          <w:szCs w:val="20"/>
          <w:lang w:val="sl-SI"/>
        </w:rPr>
        <w:t>4</w:t>
      </w:r>
      <w:r w:rsidRPr="00A11C91">
        <w:rPr>
          <w:rFonts w:eastAsia="Calibri" w:cs="Arial"/>
          <w:b/>
          <w:szCs w:val="20"/>
          <w:lang w:val="sl-SI"/>
        </w:rPr>
        <w:t>.4.3 Obvladovanje požarov</w:t>
      </w:r>
    </w:p>
    <w:p w:rsidR="00A11C91" w:rsidRPr="00A11C91" w:rsidRDefault="00A11C91" w:rsidP="00A11C91">
      <w:pPr>
        <w:spacing w:line="276" w:lineRule="auto"/>
        <w:jc w:val="both"/>
        <w:rPr>
          <w:rFonts w:eastAsia="Calibri" w:cs="Arial"/>
          <w:szCs w:val="20"/>
          <w:lang w:val="sl-SI"/>
        </w:rPr>
      </w:pPr>
      <w:r w:rsidRPr="00A11C91">
        <w:rPr>
          <w:rFonts w:eastAsia="Calibri" w:cs="Arial"/>
          <w:szCs w:val="20"/>
          <w:lang w:val="sl-SI"/>
        </w:rPr>
        <w:t>Preventivni ukrepi za varstvo pred požarom v naravnem okolju, ki jih izvajajo lastniki oziroma upravljavci naravnega okolja, posebno še gozdov in drugih zemljišč, ter lokalne skupnosti, so predvsem:</w:t>
      </w:r>
    </w:p>
    <w:p w:rsidR="00A11C91" w:rsidRPr="00A11C91" w:rsidRDefault="00A11C91" w:rsidP="00A11C91">
      <w:pPr>
        <w:numPr>
          <w:ilvl w:val="0"/>
          <w:numId w:val="22"/>
        </w:numPr>
        <w:spacing w:before="60" w:line="276" w:lineRule="auto"/>
        <w:ind w:left="284" w:hanging="284"/>
        <w:jc w:val="both"/>
        <w:rPr>
          <w:rFonts w:eastAsia="Calibri" w:cs="Arial"/>
          <w:szCs w:val="20"/>
          <w:lang w:val="sl-SI"/>
        </w:rPr>
      </w:pPr>
      <w:r w:rsidRPr="00A11C91">
        <w:rPr>
          <w:rFonts w:eastAsia="Calibri" w:cs="Arial"/>
          <w:szCs w:val="20"/>
          <w:lang w:val="sl-SI"/>
        </w:rPr>
        <w:t>redna sanitarna sečnja močno poškodovanih in oslabelih dreves v gozdu,</w:t>
      </w:r>
    </w:p>
    <w:p w:rsidR="00A11C91" w:rsidRPr="00A11C91" w:rsidRDefault="00A11C91" w:rsidP="00A11C91">
      <w:pPr>
        <w:numPr>
          <w:ilvl w:val="0"/>
          <w:numId w:val="22"/>
        </w:numPr>
        <w:spacing w:before="60" w:line="276" w:lineRule="auto"/>
        <w:ind w:left="284" w:hanging="284"/>
        <w:jc w:val="both"/>
        <w:rPr>
          <w:rFonts w:eastAsia="Calibri" w:cs="Arial"/>
          <w:szCs w:val="20"/>
          <w:lang w:val="sl-SI"/>
        </w:rPr>
      </w:pPr>
      <w:r w:rsidRPr="00A11C91">
        <w:rPr>
          <w:rFonts w:eastAsia="Calibri" w:cs="Arial"/>
          <w:szCs w:val="20"/>
          <w:lang w:val="sl-SI"/>
        </w:rPr>
        <w:t>redno odstranjevanje suhih organskih materialov na negozdnih površinah,</w:t>
      </w:r>
    </w:p>
    <w:p w:rsidR="00A11C91" w:rsidRPr="00A11C91" w:rsidRDefault="00A11C91" w:rsidP="00A11C91">
      <w:pPr>
        <w:numPr>
          <w:ilvl w:val="0"/>
          <w:numId w:val="22"/>
        </w:numPr>
        <w:spacing w:before="60" w:line="276" w:lineRule="auto"/>
        <w:ind w:left="284" w:hanging="284"/>
        <w:jc w:val="both"/>
        <w:rPr>
          <w:rFonts w:eastAsia="Calibri" w:cs="Arial"/>
          <w:szCs w:val="20"/>
          <w:lang w:val="sl-SI"/>
        </w:rPr>
      </w:pPr>
      <w:r w:rsidRPr="00A11C91">
        <w:rPr>
          <w:rFonts w:eastAsia="Calibri" w:cs="Arial"/>
          <w:szCs w:val="20"/>
          <w:lang w:val="sl-SI"/>
        </w:rPr>
        <w:t>vzdrževanje prehodnosti prevoznih poti,</w:t>
      </w:r>
    </w:p>
    <w:p w:rsidR="00A11C91" w:rsidRPr="00A11C91" w:rsidRDefault="00A11C91" w:rsidP="00A11C91">
      <w:pPr>
        <w:numPr>
          <w:ilvl w:val="0"/>
          <w:numId w:val="22"/>
        </w:numPr>
        <w:spacing w:before="60" w:line="276" w:lineRule="auto"/>
        <w:ind w:left="284" w:hanging="284"/>
        <w:jc w:val="both"/>
        <w:rPr>
          <w:rFonts w:eastAsia="Calibri" w:cs="Arial"/>
          <w:szCs w:val="20"/>
          <w:lang w:val="sl-SI"/>
        </w:rPr>
      </w:pPr>
      <w:r w:rsidRPr="00A11C91">
        <w:rPr>
          <w:rFonts w:eastAsia="Calibri" w:cs="Arial"/>
          <w:szCs w:val="20"/>
          <w:lang w:val="sl-SI"/>
        </w:rPr>
        <w:t xml:space="preserve">čiščenje požarnovarnostnih pasov ob železniških progah, daljnovodih in plinovodih ter gradnja požarnih zidov ob železniških progah, </w:t>
      </w:r>
    </w:p>
    <w:p w:rsidR="00A11C91" w:rsidRPr="00A11C91" w:rsidRDefault="00A11C91" w:rsidP="00A11C91">
      <w:pPr>
        <w:numPr>
          <w:ilvl w:val="0"/>
          <w:numId w:val="22"/>
        </w:numPr>
        <w:spacing w:before="60" w:line="276" w:lineRule="auto"/>
        <w:ind w:left="284" w:hanging="284"/>
        <w:jc w:val="both"/>
        <w:rPr>
          <w:rFonts w:eastAsia="Calibri" w:cs="Arial"/>
          <w:szCs w:val="20"/>
          <w:lang w:val="sl-SI"/>
        </w:rPr>
      </w:pPr>
      <w:r w:rsidRPr="00A11C91">
        <w:rPr>
          <w:rFonts w:eastAsia="Calibri" w:cs="Arial"/>
          <w:szCs w:val="20"/>
          <w:lang w:val="sl-SI"/>
        </w:rPr>
        <w:t>gradnja in vzdrževanje protipožarnih presek, vodnih zbiralnikov in drugih tehničnih objektov,</w:t>
      </w:r>
    </w:p>
    <w:p w:rsidR="00A11C91" w:rsidRPr="00A11C91" w:rsidRDefault="00A11C91" w:rsidP="00A11C91">
      <w:pPr>
        <w:numPr>
          <w:ilvl w:val="0"/>
          <w:numId w:val="22"/>
        </w:numPr>
        <w:spacing w:before="60" w:line="276" w:lineRule="auto"/>
        <w:ind w:left="284" w:hanging="284"/>
        <w:jc w:val="both"/>
        <w:rPr>
          <w:rFonts w:eastAsia="Calibri" w:cs="Arial"/>
          <w:szCs w:val="20"/>
          <w:lang w:val="sl-SI"/>
        </w:rPr>
      </w:pPr>
      <w:r w:rsidRPr="00A11C91">
        <w:rPr>
          <w:rFonts w:eastAsia="Calibri" w:cs="Arial"/>
          <w:szCs w:val="20"/>
          <w:lang w:val="sl-SI"/>
        </w:rPr>
        <w:t>vzdrževanje požarnovarnostnih pasov med objekti in gozdom,</w:t>
      </w:r>
    </w:p>
    <w:p w:rsidR="00A11C91" w:rsidRPr="00A11C91" w:rsidRDefault="00A11C91" w:rsidP="00A11C91">
      <w:pPr>
        <w:numPr>
          <w:ilvl w:val="0"/>
          <w:numId w:val="22"/>
        </w:numPr>
        <w:spacing w:before="60" w:after="240" w:line="276" w:lineRule="auto"/>
        <w:ind w:left="284" w:hanging="284"/>
        <w:jc w:val="both"/>
        <w:rPr>
          <w:rFonts w:eastAsia="Calibri" w:cs="Arial"/>
          <w:szCs w:val="20"/>
          <w:lang w:val="sl-SI"/>
        </w:rPr>
      </w:pPr>
      <w:r w:rsidRPr="00A11C91">
        <w:rPr>
          <w:rFonts w:eastAsia="Calibri" w:cs="Arial"/>
          <w:szCs w:val="20"/>
          <w:lang w:val="sl-SI"/>
        </w:rPr>
        <w:t>določitev pristajališč za helikopterje in krajev za zajemanje vode v prostorskih dokumentih lokalnih skupnosti.</w:t>
      </w:r>
    </w:p>
    <w:p w:rsidR="00A11C91" w:rsidRPr="00A11C91" w:rsidRDefault="00A11C91" w:rsidP="00696BAE">
      <w:pPr>
        <w:tabs>
          <w:tab w:val="left" w:pos="0"/>
        </w:tabs>
        <w:spacing w:after="360" w:line="276" w:lineRule="auto"/>
        <w:jc w:val="both"/>
        <w:rPr>
          <w:rFonts w:cs="Arial"/>
          <w:szCs w:val="20"/>
          <w:lang w:val="sl-SI" w:eastAsia="sl-SI"/>
        </w:rPr>
      </w:pPr>
      <w:r w:rsidRPr="00A11C91">
        <w:rPr>
          <w:rFonts w:cs="Arial"/>
          <w:szCs w:val="20"/>
          <w:lang w:val="sl-SI" w:eastAsia="sl-SI"/>
        </w:rPr>
        <w:t xml:space="preserve">Za analizo uspešnosti varstva gozdov pred požari je pomemben kazalec povprečna površina požarišča. Nihanja povprečne površine navzgor so povezana predvsem z dolgimi obdobji brez padavin in visokimi temperaturami, ko praviloma nastanejo večji gozdni požari. V analiziranem obdobju je povprečna površina požarišča, preračunano v trendno linijo, padla s pet hektarjev leta 2000, na dva hektarja leta 2014, kar kaže na uspešnost preventive in gašenja. </w:t>
      </w:r>
      <w:r w:rsidRPr="00A11C91">
        <w:rPr>
          <w:rFonts w:cs="Arial"/>
          <w:szCs w:val="20"/>
          <w:lang w:val="sl-SI"/>
        </w:rPr>
        <w:t xml:space="preserve">RS je država z dolgo in bogato tradicijo gasilstva, ki je dobro opremljeno in usposobljeno za izvajanje nalog zaščite in reševanja, s poudarkom na gašenju. Sistem varstva pred požarom temelji predvsem na prostovoljnih gasilcih, ki so organizirani v 1348 gasilskih društvih, 120 gasilskih zvezah in 17 regijah. Celotno članstvo vključuje nekaj manj kot 160.000 gasilcev, od tega je operativnih približno 50.000. Poklicne enote so predvsem v večjih urbanih naseljih in združujejo v 13 poklicnih enotah približno 550 poklicnih gasilcev. Če te podatke primerjamo s podatki v svetu, iz nje izhaja, da je naša država v svetovnem vrhu po deležu prostovoljnih gasilcev v celotnem številu vseh operativnih gasilcev. K temu je prispevala tudi </w:t>
      </w:r>
      <w:r w:rsidRPr="00A11C91">
        <w:rPr>
          <w:rFonts w:cs="Arial"/>
          <w:szCs w:val="20"/>
          <w:lang w:val="sl-SI" w:eastAsia="sl-SI"/>
        </w:rPr>
        <w:t xml:space="preserve">gradnja protipožarne infrastrukture v gozdu. </w:t>
      </w:r>
    </w:p>
    <w:p w:rsidR="00A11C91" w:rsidRPr="00A11C91" w:rsidRDefault="00A11C91" w:rsidP="00A11C91">
      <w:pPr>
        <w:spacing w:after="200" w:line="276" w:lineRule="auto"/>
        <w:jc w:val="both"/>
        <w:rPr>
          <w:rFonts w:eastAsia="Calibri" w:cs="Arial"/>
          <w:b/>
          <w:szCs w:val="20"/>
          <w:u w:val="single"/>
          <w:lang w:val="sl-SI"/>
        </w:rPr>
      </w:pPr>
      <w:r w:rsidRPr="00A11C91">
        <w:rPr>
          <w:rFonts w:eastAsia="Calibri" w:cs="Arial"/>
          <w:b/>
          <w:szCs w:val="20"/>
          <w:u w:val="single"/>
          <w:lang w:val="sl-SI"/>
        </w:rPr>
        <w:t>1</w:t>
      </w:r>
      <w:r w:rsidR="00696BAE">
        <w:rPr>
          <w:rFonts w:eastAsia="Calibri" w:cs="Arial"/>
          <w:b/>
          <w:szCs w:val="20"/>
          <w:u w:val="single"/>
          <w:lang w:val="sl-SI"/>
        </w:rPr>
        <w:t>4</w:t>
      </w:r>
      <w:r w:rsidRPr="00A11C91">
        <w:rPr>
          <w:rFonts w:eastAsia="Calibri" w:cs="Arial"/>
          <w:b/>
          <w:szCs w:val="20"/>
          <w:u w:val="single"/>
          <w:lang w:val="sl-SI"/>
        </w:rPr>
        <w:t xml:space="preserve">.5 Žled </w:t>
      </w:r>
    </w:p>
    <w:p w:rsidR="00A11C91" w:rsidRPr="00A11C91" w:rsidRDefault="00A11C91" w:rsidP="00A11C91">
      <w:pPr>
        <w:spacing w:after="200" w:line="276" w:lineRule="auto"/>
        <w:jc w:val="both"/>
        <w:rPr>
          <w:rFonts w:eastAsia="Calibri" w:cs="Arial"/>
          <w:szCs w:val="20"/>
          <w:lang w:val="sl-SI"/>
        </w:rPr>
      </w:pPr>
      <w:r w:rsidRPr="00A11C91">
        <w:rPr>
          <w:rFonts w:eastAsia="Calibri" w:cs="Arial"/>
          <w:szCs w:val="20"/>
          <w:lang w:val="sl-SI"/>
        </w:rPr>
        <w:t>Žled je led, ki se nabere bodisi na delih rastlin bodisi na predmetih in zgradbah ter tleh. Nastane v hladni polovici leta (pozimi), ko pri tleh dežuje ali rosi pri temperaturah pod lediščem oziroma ko padavine v tekoči obliki padajo na podhlajeno podlago. Pogoj za nastanek žleda je, da je ob padavinah temperatura prizemne plasti zraka pod lediščem, medtem ko je nad njo plast toplega zraka s pozitivnimi temperaturami. Tanek žled ne povzroča večje škode. Prve poškodbe, zlasti dreves, se pričnejo, ko debelina ledenih oblog preseže 20 milimetrov, z naraščanjem debeline, zlasti nad 50 milimetrov, pa se obseg in stopnja poškodb hitro povečujeta. Na pojavljanje žleda in na obseg posledic oziroma škode, zlasti v gozdovih, dodatno vpliva več dejavnikov: drevesna sestava, oblikovanost ter velikost krošenj, asimetričnost krošenj, nagnjenost dreves, nadmorska višina, veter, ekspozicija, nagib terena, kamninska sestava, vlažnost in globina tal, vpliv mikroreliefa ali mikrolokacije ter človekovi posegi v gozd in gospodarjenje z gozdovi. Zaradi naštetih dejavnikov je natančno pojavljanje in obseg žleda in poškodb zaradi žleda zelo težko ocenjevati, sam žled kot pojav v splošnem razmeroma dobro napovedljiv.</w:t>
      </w:r>
    </w:p>
    <w:p w:rsidR="00A11C91" w:rsidRPr="00A11C91" w:rsidRDefault="00A11C91" w:rsidP="00696BAE">
      <w:pPr>
        <w:spacing w:after="360" w:line="276" w:lineRule="auto"/>
        <w:jc w:val="both"/>
        <w:rPr>
          <w:rFonts w:eastAsia="Calibri" w:cs="Arial"/>
          <w:szCs w:val="20"/>
          <w:lang w:val="sl-SI"/>
        </w:rPr>
      </w:pPr>
      <w:r w:rsidRPr="00A11C91">
        <w:rPr>
          <w:rFonts w:eastAsia="Calibri" w:cs="Arial"/>
          <w:szCs w:val="20"/>
          <w:lang w:val="sl-SI"/>
        </w:rPr>
        <w:t>Žled spada med naravne nesreče, katerih posledice so lahko različne, obsežne in zelo neprijetne. Človeštvo je kot družba docela nemočno pri preprečevanju nastajanja pojava. Zmanjševanje njegovih posledic, predvsem v gozdovih in na infrastrukturnih sistemih, bi zahtevalo velika finančna, organizacijska in druga prizadevanja, ki vseh posledic ne bi preprečili, temveč bi jih le nekoliko zmanjšali. Največ škode žled s preobtežitvijo povzroči v gozdovih, pogosto pa tudi na elektroenergetski infrastrukturi (prenosni in zlasti distribucijski daljnovodi). Poleg tega žled negativno vpliva tudi na prometne tokove, ki so lahko precej upočasnjeni, ovirani, pogosto pa tudi prekinjeni. Dolgotrajnejše in obsežnejše pomanjkanje električne energije in zmanjšana prevoznost prometnih infrastrukturnih sistemov lahko znatno vplivata na vsakodnevno življenje in aktivnosti ljudi, gospodarstva in družbe kot celote.</w:t>
      </w:r>
    </w:p>
    <w:p w:rsidR="00A11C91" w:rsidRPr="00A11C91" w:rsidRDefault="00A11C91" w:rsidP="00A11C91">
      <w:pPr>
        <w:spacing w:after="200" w:line="276" w:lineRule="auto"/>
        <w:jc w:val="both"/>
        <w:rPr>
          <w:rFonts w:eastAsia="Calibri" w:cs="Arial"/>
          <w:b/>
          <w:szCs w:val="20"/>
          <w:lang w:val="sl-SI"/>
        </w:rPr>
      </w:pPr>
      <w:r w:rsidRPr="00A11C91">
        <w:rPr>
          <w:rFonts w:eastAsia="Calibri" w:cs="Arial"/>
          <w:b/>
          <w:szCs w:val="20"/>
          <w:lang w:val="sl-SI"/>
        </w:rPr>
        <w:t>1</w:t>
      </w:r>
      <w:r w:rsidR="00696BAE">
        <w:rPr>
          <w:rFonts w:eastAsia="Calibri" w:cs="Arial"/>
          <w:b/>
          <w:szCs w:val="20"/>
          <w:lang w:val="sl-SI"/>
        </w:rPr>
        <w:t>4</w:t>
      </w:r>
      <w:r w:rsidRPr="00A11C91">
        <w:rPr>
          <w:rFonts w:eastAsia="Calibri" w:cs="Arial"/>
          <w:b/>
          <w:szCs w:val="20"/>
          <w:lang w:val="sl-SI"/>
        </w:rPr>
        <w:t>.5.1 Značilnosti pojavljanja žleda v Sloveniji</w:t>
      </w:r>
    </w:p>
    <w:p w:rsidR="00A11C91" w:rsidRPr="00A11C91" w:rsidRDefault="00A11C91" w:rsidP="00696BAE">
      <w:pPr>
        <w:spacing w:after="360" w:line="276" w:lineRule="auto"/>
        <w:jc w:val="both"/>
        <w:rPr>
          <w:rFonts w:eastAsia="Calibri" w:cs="Arial"/>
          <w:szCs w:val="20"/>
          <w:lang w:val="sl-SI"/>
        </w:rPr>
      </w:pPr>
      <w:r w:rsidRPr="00A11C91">
        <w:rPr>
          <w:rFonts w:eastAsia="Calibri" w:cs="Arial"/>
          <w:szCs w:val="20"/>
          <w:lang w:val="sl-SI"/>
        </w:rPr>
        <w:t xml:space="preserve">Žled se pojavlja marsikje po svetu, tudi naša država spada med tiste, kjer žled ni neznan pojav. Še več, v Sloveniji obstajajo t. i. </w:t>
      </w:r>
      <w:r w:rsidRPr="00A11C91">
        <w:rPr>
          <w:rFonts w:eastAsia="Calibri" w:cs="Arial"/>
          <w:szCs w:val="20"/>
          <w:u w:val="single"/>
          <w:lang w:val="sl-SI"/>
        </w:rPr>
        <w:t>žledne pokrajine</w:t>
      </w:r>
      <w:r w:rsidRPr="00A11C91">
        <w:rPr>
          <w:rFonts w:eastAsia="Calibri" w:cs="Arial"/>
          <w:szCs w:val="20"/>
          <w:lang w:val="sl-SI"/>
        </w:rPr>
        <w:t xml:space="preserve">, kjer se žled pojavlja najpogosteje (skoraj vsako zimo) in kjer običajno povzroči tudi največje posledice. Gre za pas od severozahodnega do južnega dela države, ki zajema območja Idrijskega hribovja, prek Visokega Krasa (Trnovski gozd, Nanos, Hrušica, Javornik, Snežnik) in njegovega obrobja ter sosedstva (Cerkljansko hribovje, Banjšice, Pivka, Senožeški hribi, Brkini) do hrvaške meje (Slavnik, Čičarija). Predvsem za te pokrajine je značilen tudi tako imenovalni </w:t>
      </w:r>
      <w:r w:rsidRPr="00A11C91">
        <w:rPr>
          <w:rFonts w:eastAsia="Calibri" w:cs="Arial"/>
          <w:szCs w:val="20"/>
          <w:u w:val="single"/>
          <w:lang w:val="sl-SI"/>
        </w:rPr>
        <w:t>žledni pas</w:t>
      </w:r>
      <w:r w:rsidRPr="00A11C91">
        <w:rPr>
          <w:rFonts w:eastAsia="Calibri" w:cs="Arial"/>
          <w:szCs w:val="20"/>
          <w:lang w:val="sl-SI"/>
        </w:rPr>
        <w:t>, to je višinski pas, kjer žled običajno povzroča najhujše posledice. Gre za območja med 600 in 900 metri nadmorske višine, čeprav tudi v teh pokrajinah žled običajno seže še vsaj 100 metrov niže in še vsaj 200 metrov navzgor. Žled se sicer lahko pojavlja pravzaprav skoraj povsod po državi, razen nad nadmorsko višino okoli 1400 metrov ter v nanjižjih delih Vipavske doline in Koprskega primorja, a je zunaj žlednih pokrajin načeloma manj pogost in manj intenziven. Več hujših žlednih dogodkov (npr. v letu 1980, 1985, v zimah 1995/96 in 1996/97 ter leta 2014) je povzročilo znatne posledice tudi drugod po državi, kar je lahko tudi znak, da se značilnosti pojavljanja žleda v zadnjih dobrih tridesetih letih spreminjajo - morda tudi zaradi podnebnih sprememb. O žlednih dogodkih od leta 1890 dalje obstajajo sicer nepopolni, a razmeroma zanesljivi podatki, še največ podatkov pa je na razpolago za žledne dogodke v zadnjih nekaj manj kot petdesetih letih. Upoštevajoč vse te podatke so bile največje žledne ujme na območju današnjega državnega ozemlja v zadnjem desetletju devetnajstega stoletja, leta 1933, 1952, 1975, 1980, 1985, 1996, 1997 in 2014.</w:t>
      </w:r>
    </w:p>
    <w:p w:rsidR="00A11C91" w:rsidRPr="00A11C91" w:rsidRDefault="00A11C91" w:rsidP="00A11C91">
      <w:pPr>
        <w:spacing w:after="200" w:line="276" w:lineRule="auto"/>
        <w:jc w:val="both"/>
        <w:rPr>
          <w:rFonts w:eastAsia="Calibri" w:cs="Arial"/>
          <w:b/>
          <w:szCs w:val="20"/>
          <w:lang w:val="sl-SI"/>
        </w:rPr>
      </w:pPr>
      <w:r w:rsidRPr="00A11C91">
        <w:rPr>
          <w:rFonts w:eastAsia="Calibri" w:cs="Arial"/>
          <w:b/>
          <w:szCs w:val="20"/>
          <w:lang w:val="sl-SI"/>
        </w:rPr>
        <w:t>1</w:t>
      </w:r>
      <w:r w:rsidR="00696BAE">
        <w:rPr>
          <w:rFonts w:eastAsia="Calibri" w:cs="Arial"/>
          <w:b/>
          <w:szCs w:val="20"/>
          <w:lang w:val="sl-SI"/>
        </w:rPr>
        <w:t>4</w:t>
      </w:r>
      <w:r w:rsidRPr="00A11C91">
        <w:rPr>
          <w:rFonts w:eastAsia="Calibri" w:cs="Arial"/>
          <w:b/>
          <w:szCs w:val="20"/>
          <w:lang w:val="sl-SI"/>
        </w:rPr>
        <w:t>.5.2 Prostorska kategorizacija tveganja za žled (na ravni občin)</w:t>
      </w:r>
    </w:p>
    <w:p w:rsidR="00A11C91" w:rsidRPr="00A11C91" w:rsidRDefault="00A11C91" w:rsidP="00A11C91">
      <w:pPr>
        <w:spacing w:line="276" w:lineRule="auto"/>
        <w:jc w:val="both"/>
        <w:rPr>
          <w:rFonts w:cs="Arial"/>
          <w:szCs w:val="20"/>
        </w:rPr>
      </w:pPr>
      <w:r w:rsidRPr="00A11C91">
        <w:rPr>
          <w:rFonts w:cs="Arial"/>
          <w:szCs w:val="20"/>
          <w:lang w:val="sl-SI"/>
        </w:rPr>
        <w:t>V nekaterih občinah (Izola, Piran, Ankaran, Šempeter – Vrtojba) se žled praktično ne pojavlja, zato imajo najnižjo stopnjo tveganja. V drugi stopnji tveganja so občina Koper (zaradi višjega kraškega zaledja Slavnika, ob morju se žled ne pojavlja), občine v nižjem delu Krasa (Miren – Kostanjevica, Renče – Vogrsko, Komen), občine v hribovitem in gorskem svetu severne Slovenije, v katerih se žled pojavlja redkeje (v najvišjih predelih se ne pojavlja) ter več občin v severovzhodnem delu države. Žled v teh občinah (68) ne pomeni večjega tveganja. Večina občin, 112, je uvrščena v srednjo stopnjo tveganja, v glavnem gre za občine, ki ležijo v vzhodni polovici države. V četrti in peti razred oziroma stopnjo kategorizacije tveganja so uvrščene občine, ki ležijo v tako imenovanih žlednih pokrajinah, kjer je žled najpogostejši, najdebelejši in tudi povzroča največ škode. Večina jih je sicer uvrščena v četrti razred oziroma stopnjo tveganja. Gre za skupno 24 občin, in sicer: Tolmin, Cerkno, Kanal, Nova Gorica, Ajdovščina, Vipava, Škofja Loka, Gorenja vas - Poljane, Žiri, Logatec, Vrhnika, Horjul, Borovnica, Dobrova - Polhov Gradec,</w:t>
      </w:r>
      <w:r w:rsidRPr="00A11C91">
        <w:rPr>
          <w:rFonts w:cs="Arial"/>
          <w:szCs w:val="20"/>
        </w:rPr>
        <w:t xml:space="preserve"> </w:t>
      </w:r>
      <w:r w:rsidRPr="00A11C91">
        <w:rPr>
          <w:rFonts w:cs="Arial"/>
          <w:szCs w:val="20"/>
          <w:lang w:val="sl-SI"/>
        </w:rPr>
        <w:t>Sodražica, Loški potok, Osilnica, Kostel, Kočevje, Cerknica, Bloke, Loška dolina, Hrpelje - Kozina in Divača. V peti razred oziroma stopnjo tveganja spadajo štiri občine (Postojna, Pivka, Ilirska Bistrica in Idrija).</w:t>
      </w:r>
    </w:p>
    <w:p w:rsidR="00696BAE" w:rsidRDefault="00A11C91" w:rsidP="00A11C91">
      <w:pPr>
        <w:spacing w:after="200" w:line="276" w:lineRule="auto"/>
        <w:jc w:val="both"/>
        <w:rPr>
          <w:rFonts w:eastAsia="Calibri" w:cs="Arial"/>
          <w:szCs w:val="20"/>
          <w:lang w:val="sl-SI"/>
        </w:rPr>
      </w:pPr>
      <w:r w:rsidRPr="00A11C91">
        <w:rPr>
          <w:rFonts w:eastAsia="Calibri" w:cs="Arial"/>
          <w:szCs w:val="20"/>
          <w:lang w:val="sl-SI"/>
        </w:rPr>
        <w:t>Prostorska kategorizacija tveganja zaradi žleda je razvidna tudi iz priložene slike.</w:t>
      </w:r>
    </w:p>
    <w:p w:rsidR="00A11C91" w:rsidRPr="00A11C91" w:rsidRDefault="00A11C91" w:rsidP="00A11C91">
      <w:pPr>
        <w:spacing w:after="200" w:line="276" w:lineRule="auto"/>
        <w:jc w:val="both"/>
        <w:rPr>
          <w:rFonts w:eastAsia="Calibri" w:cs="Arial"/>
          <w:szCs w:val="20"/>
          <w:lang w:val="sl-SI"/>
        </w:rPr>
      </w:pPr>
      <w:r w:rsidRPr="00A11C91">
        <w:rPr>
          <w:rFonts w:eastAsia="Calibri" w:cs="Arial"/>
          <w:noProof/>
          <w:szCs w:val="20"/>
          <w:lang w:val="sl-SI" w:eastAsia="sl-SI"/>
        </w:rPr>
        <w:drawing>
          <wp:inline distT="0" distB="0" distL="0" distR="0" wp14:anchorId="0F4F9394" wp14:editId="7ADD4A56">
            <wp:extent cx="4722125" cy="2986928"/>
            <wp:effectExtent l="0" t="0" r="2540" b="4445"/>
            <wp:docPr id="2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8" cstate="print"/>
                    <a:srcRect/>
                    <a:stretch>
                      <a:fillRect/>
                    </a:stretch>
                  </pic:blipFill>
                  <pic:spPr bwMode="auto">
                    <a:xfrm>
                      <a:off x="0" y="0"/>
                      <a:ext cx="4723244" cy="2987636"/>
                    </a:xfrm>
                    <a:prstGeom prst="rect">
                      <a:avLst/>
                    </a:prstGeom>
                    <a:noFill/>
                    <a:ln w="9525">
                      <a:noFill/>
                      <a:miter lim="800000"/>
                      <a:headEnd/>
                      <a:tailEnd/>
                    </a:ln>
                  </pic:spPr>
                </pic:pic>
              </a:graphicData>
            </a:graphic>
          </wp:inline>
        </w:drawing>
      </w:r>
    </w:p>
    <w:p w:rsidR="00A11C91" w:rsidRPr="00A11C91" w:rsidRDefault="00A11C91" w:rsidP="00A11C91">
      <w:pPr>
        <w:keepNext/>
        <w:spacing w:before="240" w:after="200" w:line="276" w:lineRule="auto"/>
        <w:jc w:val="center"/>
        <w:outlineLvl w:val="0"/>
        <w:rPr>
          <w:rFonts w:cs="Arial"/>
          <w:b/>
          <w:bCs/>
          <w:kern w:val="32"/>
          <w:szCs w:val="20"/>
          <w:lang w:val="sl-SI"/>
        </w:rPr>
      </w:pPr>
      <w:r w:rsidRPr="00A11C91">
        <w:rPr>
          <w:rFonts w:cs="Arial"/>
          <w:b/>
          <w:bCs/>
          <w:noProof/>
          <w:kern w:val="32"/>
          <w:szCs w:val="20"/>
          <w:lang w:val="sl-SI" w:eastAsia="sl-SI"/>
        </w:rPr>
        <w:drawing>
          <wp:inline distT="0" distB="0" distL="0" distR="0" wp14:anchorId="57DDA07E" wp14:editId="6C62DA7C">
            <wp:extent cx="2951480" cy="553085"/>
            <wp:effectExtent l="19050" t="0" r="1270" b="0"/>
            <wp:docPr id="2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9" cstate="print"/>
                    <a:srcRect/>
                    <a:stretch>
                      <a:fillRect/>
                    </a:stretch>
                  </pic:blipFill>
                  <pic:spPr bwMode="auto">
                    <a:xfrm>
                      <a:off x="0" y="0"/>
                      <a:ext cx="2951480" cy="553085"/>
                    </a:xfrm>
                    <a:prstGeom prst="rect">
                      <a:avLst/>
                    </a:prstGeom>
                    <a:noFill/>
                    <a:ln w="9525">
                      <a:noFill/>
                      <a:miter lim="800000"/>
                      <a:headEnd/>
                      <a:tailEnd/>
                    </a:ln>
                  </pic:spPr>
                </pic:pic>
              </a:graphicData>
            </a:graphic>
          </wp:inline>
        </w:drawing>
      </w:r>
    </w:p>
    <w:p w:rsidR="00A11C91" w:rsidRPr="00A11C91" w:rsidRDefault="00A11C91" w:rsidP="00A11C91">
      <w:pPr>
        <w:spacing w:after="200" w:line="276" w:lineRule="auto"/>
        <w:ind w:firstLine="709"/>
        <w:jc w:val="both"/>
        <w:rPr>
          <w:rFonts w:cs="Arial"/>
          <w:szCs w:val="20"/>
          <w:lang w:val="sl-SI" w:eastAsia="sl-SI"/>
        </w:rPr>
      </w:pPr>
      <w:r w:rsidRPr="00A11C91">
        <w:rPr>
          <w:rFonts w:cs="Arial"/>
          <w:szCs w:val="20"/>
          <w:lang w:val="sl-SI" w:eastAsia="sl-SI"/>
        </w:rPr>
        <w:t>Stopnja tveganja: 1 – zelo majhna,  2 – majhna,  3 – srednja,  4 – velika,  5 – zelo velika</w:t>
      </w:r>
    </w:p>
    <w:p w:rsidR="00A11C91" w:rsidRPr="00A11C91" w:rsidRDefault="00A11C91" w:rsidP="00A11C91">
      <w:pPr>
        <w:spacing w:after="360" w:line="276" w:lineRule="auto"/>
        <w:rPr>
          <w:rFonts w:eastAsia="Calibri" w:cs="Arial"/>
          <w:i/>
          <w:szCs w:val="20"/>
          <w:lang w:val="sl-SI"/>
        </w:rPr>
      </w:pPr>
      <w:r w:rsidRPr="00A11C91">
        <w:rPr>
          <w:rFonts w:eastAsia="Calibri" w:cs="Arial"/>
          <w:i/>
          <w:szCs w:val="20"/>
          <w:lang w:val="sl-SI"/>
        </w:rPr>
        <w:t>Slika 1</w:t>
      </w:r>
      <w:r w:rsidR="00696BAE">
        <w:rPr>
          <w:rFonts w:eastAsia="Calibri" w:cs="Arial"/>
          <w:i/>
          <w:szCs w:val="20"/>
          <w:lang w:val="sl-SI"/>
        </w:rPr>
        <w:t>4</w:t>
      </w:r>
      <w:r w:rsidRPr="00A11C91">
        <w:rPr>
          <w:rFonts w:eastAsia="Calibri" w:cs="Arial"/>
          <w:i/>
          <w:szCs w:val="20"/>
          <w:lang w:val="sl-SI"/>
        </w:rPr>
        <w:t>.18: Kategorizacija občin po tveganju zaradi žleda</w:t>
      </w:r>
    </w:p>
    <w:p w:rsidR="00A11C91" w:rsidRPr="00A11C91" w:rsidRDefault="00A11C91" w:rsidP="00A11C91">
      <w:pPr>
        <w:spacing w:after="200" w:line="276" w:lineRule="auto"/>
        <w:jc w:val="both"/>
        <w:rPr>
          <w:rFonts w:eastAsia="Calibri" w:cs="Arial"/>
          <w:b/>
          <w:szCs w:val="20"/>
          <w:lang w:val="sl-SI"/>
        </w:rPr>
      </w:pPr>
      <w:r w:rsidRPr="00A11C91">
        <w:rPr>
          <w:rFonts w:eastAsia="Calibri" w:cs="Arial"/>
          <w:b/>
          <w:szCs w:val="20"/>
          <w:lang w:val="sl-SI"/>
        </w:rPr>
        <w:t>1</w:t>
      </w:r>
      <w:r w:rsidR="00696BAE">
        <w:rPr>
          <w:rFonts w:eastAsia="Calibri" w:cs="Arial"/>
          <w:b/>
          <w:szCs w:val="20"/>
          <w:lang w:val="sl-SI"/>
        </w:rPr>
        <w:t>4</w:t>
      </w:r>
      <w:r w:rsidRPr="00A11C91">
        <w:rPr>
          <w:rFonts w:eastAsia="Calibri" w:cs="Arial"/>
          <w:b/>
          <w:szCs w:val="20"/>
          <w:lang w:val="sl-SI"/>
        </w:rPr>
        <w:t>.5.3 Žledne ujme v Sloveniji v obdobju 2009–2015</w:t>
      </w:r>
    </w:p>
    <w:p w:rsidR="00A11C91" w:rsidRPr="00A11C91" w:rsidRDefault="00A11C91" w:rsidP="00A11C91">
      <w:pPr>
        <w:spacing w:line="276" w:lineRule="auto"/>
        <w:jc w:val="both"/>
        <w:rPr>
          <w:rFonts w:cs="Arial"/>
          <w:szCs w:val="20"/>
          <w:lang w:val="sl-SI"/>
        </w:rPr>
      </w:pPr>
      <w:r w:rsidRPr="00A11C91">
        <w:rPr>
          <w:rFonts w:cs="Arial"/>
          <w:szCs w:val="20"/>
          <w:lang w:val="sl-SI"/>
        </w:rPr>
        <w:t xml:space="preserve">Februarja 2009 je bilo nekaj žleda na Blokah in v Brkinih, vendar večje škode ni povzročil. </w:t>
      </w:r>
    </w:p>
    <w:p w:rsidR="00A11C91" w:rsidRPr="00A11C91" w:rsidRDefault="00A11C91" w:rsidP="00A11C91">
      <w:pPr>
        <w:spacing w:line="276" w:lineRule="auto"/>
        <w:jc w:val="both"/>
        <w:rPr>
          <w:rFonts w:cs="Arial"/>
          <w:szCs w:val="20"/>
          <w:lang w:val="sl-SI"/>
        </w:rPr>
      </w:pPr>
    </w:p>
    <w:p w:rsidR="00A11C91" w:rsidRPr="00A11C91" w:rsidRDefault="00A11C91" w:rsidP="00A11C91">
      <w:pPr>
        <w:spacing w:line="276" w:lineRule="auto"/>
        <w:jc w:val="both"/>
        <w:rPr>
          <w:rFonts w:cs="Arial"/>
          <w:szCs w:val="20"/>
          <w:lang w:val="sl-SI"/>
        </w:rPr>
      </w:pPr>
      <w:r w:rsidRPr="00A11C91">
        <w:rPr>
          <w:rFonts w:cs="Arial"/>
          <w:szCs w:val="20"/>
          <w:lang w:val="sl-SI"/>
        </w:rPr>
        <w:t>Več škode je nastalo ob žledu 8. in 9. januarja 2010. V Brkinih, kjer je bila škoda zaradi žleda največja, je debelina žleda v višinskem pasu med 600 in 700 metri dosegala do 20 milimetrov, nad 700 metri pa do 30 milimetrov. V tem pasu je žled poškodoval okoli tri odstotke dreves. Drevesa se niso lomila, dokler so bila ovita v led. Ko pa se je ozračje segrelo in je začel ledeni oklep popuščati, so se lomile veje in krošnje dreves, zlasti listavcev, prelomila so se posamezna tanjša drevesa ter drevesa z asimetričnimi krošnjami. Skupaj je žled prizadel območje, veliko 5150 hektarjev, na katerem je bilo 3720 hektarjev gozda. Zaradi poškodb naj bi bilo treba posekati okoli 850 m</w:t>
      </w:r>
      <w:r w:rsidRPr="00A11C91">
        <w:rPr>
          <w:rFonts w:cs="Arial"/>
          <w:szCs w:val="20"/>
          <w:vertAlign w:val="superscript"/>
          <w:lang w:val="sl-SI"/>
        </w:rPr>
        <w:t>3</w:t>
      </w:r>
      <w:r w:rsidRPr="00A11C91">
        <w:rPr>
          <w:rFonts w:cs="Arial"/>
          <w:szCs w:val="20"/>
          <w:lang w:val="sl-SI"/>
        </w:rPr>
        <w:t xml:space="preserve"> lesne mase dreves, škode in stroškov pa naj bi po začetnih podatkih bilo za okoli 32.000 evrov. Žled se je pojavil tudi na območju Postojnskih vrat, na območju Mašuna, na Orlici, na Bohorju ter na severnih pobočjih Gorjancev. Na teh območjih je žled dosegal debelino do 20 milimetrov, poškodovana pa so bila posamična, predvsem tanjša drevesa.</w:t>
      </w:r>
    </w:p>
    <w:p w:rsidR="00A11C91" w:rsidRPr="00A11C91" w:rsidRDefault="00A11C91" w:rsidP="00A11C91">
      <w:pPr>
        <w:spacing w:line="276" w:lineRule="auto"/>
        <w:jc w:val="both"/>
        <w:rPr>
          <w:rFonts w:cs="Arial"/>
          <w:sz w:val="22"/>
          <w:szCs w:val="22"/>
          <w:lang w:val="sl-SI"/>
        </w:rPr>
      </w:pPr>
    </w:p>
    <w:p w:rsidR="00A11C91" w:rsidRDefault="00A11C91" w:rsidP="00A11C91">
      <w:pPr>
        <w:spacing w:after="200" w:line="276" w:lineRule="auto"/>
        <w:jc w:val="both"/>
        <w:rPr>
          <w:rFonts w:cs="Arial"/>
          <w:i/>
          <w:iCs/>
          <w:szCs w:val="20"/>
          <w:lang w:val="sl-SI"/>
        </w:rPr>
      </w:pPr>
      <w:r w:rsidRPr="00A11C91">
        <w:rPr>
          <w:rFonts w:eastAsia="Calibri" w:cs="Arial"/>
          <w:szCs w:val="20"/>
          <w:lang w:val="sl-SI"/>
        </w:rPr>
        <w:t>Žledni dogodek februarja 2014 predstavlja eno največjih naravnih nesreč pri nas, prav gotovo pa za daleč največjo žledno ujmo do zdaj, ki je povzročila razdejanje v gozdovih in z obsežnimi in dolgotrajnimi prekinitvami oskrbe z električno energijo ter velikimi težavami v prometu precej vplivala tako na življenje ljudi kot na delovanje gospodarstva in družbe kot celote. Debelina žlednih oblog je ponekod presegla debelino 80 milimetrov. Življenje je bilo zaradi žleda, ko niso bile prevozne prometnice, marsikje ni deloval niti železniški promet, ni bilo električne energije itd., marsikje precej ohromljeno. Žled je na 601.900 hektarjih uničil 9,3 milijona m</w:t>
      </w:r>
      <w:r w:rsidRPr="00A11C91">
        <w:rPr>
          <w:rFonts w:eastAsia="Calibri" w:cs="Arial"/>
          <w:szCs w:val="20"/>
          <w:vertAlign w:val="superscript"/>
          <w:lang w:val="sl-SI"/>
        </w:rPr>
        <w:t>3</w:t>
      </w:r>
      <w:r w:rsidRPr="00A11C91">
        <w:rPr>
          <w:rFonts w:eastAsia="Calibri" w:cs="Arial"/>
          <w:szCs w:val="20"/>
          <w:lang w:val="sl-SI"/>
        </w:rPr>
        <w:t xml:space="preserve"> lesne mase, kar je več kot desetkrat več, kot v do tedaj najhujši žledni ujmi, in v gozdovih povzročil za več kot 214 milijonov evrov škode. Velika škoda je nastala tudi v elektroenergetski in železniški infrastrukturi ter gospodarstvu. Tako je bilo 3. februarja 2014 več kot 300.000 ljudi po državi brez električne energije. Žled je uničil ali poškodoval kar 1643 kilometrov daljnovodnega omrežja. Zaradi porušitve odsekov obeh prenosnih daljnovodov med osednjim in zahodnim delom Slovenije, se je celoten zahodni del napajal preko Hrvaškega prenosnega omrežja do junija 2014, ko sta bila oba daljnovoda obnovljena.  Veliko škode je bilo na železniški progi med Ljubljano in Koprom, kjer se je stanje normaliziralo šele po več kot letu dni. Skupna škoda zaradi žleda je bila skoraj 430 milijonov evrov, stroški intervencij pa so znašali več kot 46 milijonov evrov. Žled je neposredno ali posredno povzročil smrt najmanj 13 ljudi, najmanj 168 pa jih je bilo poškodovanih. Med poškodovanimi je bilo največ pripadnikov gasilskih enot na intervencijah, med mrtvimi pa jih je največ umrlo zaradi delovnih nesreč pri gozdnih opravilih. Na intervencijah je sodelovalo več kot 80.000 pripadnikov sil za zaščito, reševanje in pomoč in javnih služb, od tega čez 60.000 gasilcev. Zaradi kritičnih razmer pri oskrbi z električno energijo je RS preko EU zaprosila tudi za mednarodno pomoč v električnih agregatih. Hitra in učinkovita mednarodna intervencija, ki je sledila prošnji, v kateri so sodelovali predvsem gasilci in drugi reševalci iz večine okoliških držav, je bila najobsežnejša v Evropi v zadnjih letih.</w:t>
      </w:r>
      <w:r w:rsidRPr="00A11C91">
        <w:rPr>
          <w:rFonts w:cs="Arial"/>
          <w:i/>
          <w:iCs/>
          <w:szCs w:val="20"/>
          <w:lang w:val="sl-SI"/>
        </w:rPr>
        <w:t xml:space="preserve"> </w:t>
      </w:r>
    </w:p>
    <w:p w:rsidR="00696BAE" w:rsidRPr="00A11C91" w:rsidRDefault="00696BAE" w:rsidP="00696BAE">
      <w:pPr>
        <w:spacing w:after="360" w:line="276" w:lineRule="auto"/>
        <w:jc w:val="both"/>
        <w:rPr>
          <w:rFonts w:eastAsia="Calibri" w:cs="Arial"/>
          <w:szCs w:val="20"/>
          <w:lang w:val="sl-SI"/>
        </w:rPr>
      </w:pPr>
      <w:r w:rsidRPr="00A11C91">
        <w:rPr>
          <w:rFonts w:eastAsia="Calibri" w:cs="Arial"/>
          <w:szCs w:val="20"/>
          <w:lang w:val="sl-SI"/>
        </w:rPr>
        <w:t xml:space="preserve">Manjši žledni dogodek je bil zabeležen tudi decembra 2014 na območju </w:t>
      </w:r>
      <w:r w:rsidRPr="00A11C91">
        <w:rPr>
          <w:rFonts w:cs="Arial"/>
          <w:szCs w:val="20"/>
          <w:lang w:val="sl-SI"/>
        </w:rPr>
        <w:t>Trnovskega gozda, Predmeje, Banjšic in Črnega Vrha. Poškodovanih je bilo 30.000 m</w:t>
      </w:r>
      <w:r w:rsidRPr="00A11C91">
        <w:rPr>
          <w:rFonts w:cs="Arial"/>
          <w:szCs w:val="20"/>
          <w:vertAlign w:val="superscript"/>
          <w:lang w:val="sl-SI"/>
        </w:rPr>
        <w:t>3</w:t>
      </w:r>
      <w:r w:rsidRPr="00A11C91">
        <w:rPr>
          <w:rFonts w:cs="Arial"/>
          <w:szCs w:val="20"/>
          <w:lang w:val="sl-SI"/>
        </w:rPr>
        <w:t xml:space="preserve"> drevja. Največ škode je bilo na višini med 700 in 1100 metri, nekaj škode je žled povzročil tudi na električni napeljavi.</w:t>
      </w:r>
    </w:p>
    <w:p w:rsidR="00696BAE" w:rsidRPr="00A11C91" w:rsidRDefault="00696BAE" w:rsidP="00696BAE">
      <w:pPr>
        <w:spacing w:after="200" w:line="276" w:lineRule="auto"/>
        <w:jc w:val="both"/>
        <w:rPr>
          <w:rFonts w:eastAsia="Calibri" w:cs="Arial"/>
          <w:b/>
          <w:szCs w:val="20"/>
          <w:lang w:val="sl-SI"/>
        </w:rPr>
      </w:pPr>
      <w:r w:rsidRPr="00A11C91">
        <w:rPr>
          <w:rFonts w:eastAsia="Calibri" w:cs="Arial"/>
          <w:b/>
          <w:szCs w:val="20"/>
          <w:lang w:val="sl-SI"/>
        </w:rPr>
        <w:t>1</w:t>
      </w:r>
      <w:r>
        <w:rPr>
          <w:rFonts w:eastAsia="Calibri" w:cs="Arial"/>
          <w:b/>
          <w:szCs w:val="20"/>
          <w:lang w:val="sl-SI"/>
        </w:rPr>
        <w:t>4</w:t>
      </w:r>
      <w:r w:rsidRPr="00A11C91">
        <w:rPr>
          <w:rFonts w:eastAsia="Calibri" w:cs="Arial"/>
          <w:b/>
          <w:szCs w:val="20"/>
          <w:lang w:val="sl-SI"/>
        </w:rPr>
        <w:t>.5.4 Obvladovanje žledne ujme</w:t>
      </w:r>
    </w:p>
    <w:p w:rsidR="00696BAE" w:rsidRPr="00A11C91" w:rsidRDefault="00696BAE" w:rsidP="00696BAE">
      <w:pPr>
        <w:spacing w:after="200" w:line="276" w:lineRule="auto"/>
        <w:jc w:val="both"/>
        <w:rPr>
          <w:rFonts w:eastAsia="Calibri" w:cs="Arial"/>
          <w:szCs w:val="20"/>
          <w:lang w:val="sl-SI"/>
        </w:rPr>
      </w:pPr>
      <w:r w:rsidRPr="00A11C91">
        <w:rPr>
          <w:rFonts w:eastAsia="Calibri" w:cs="Arial"/>
          <w:szCs w:val="20"/>
          <w:lang w:val="sl-SI"/>
        </w:rPr>
        <w:t>Žledna ujma februarja 2014 je pokazala ranljivost naše države na več področjih. Največ prizadevanj bo treba usmeriti v prostorsko načrtovanje, načrtovanje in določevanje prednostnih naložb na področju preventive, izvajanje preventivnih ukrepov in ukrepov za pripravljenost ter načrtovanje ustreznega odziva na nesrečo, predvsem na območju najbolj ogroženih občin. Kar se tiče področij, na katerih bi bilo navedeno treba prioritetno izvajati, pa je treba izpostaviti predvsem področje elektroenergetske in železniške infrastrukture ter gozdarstvo. Le na ta način bodo lahko posledice žlednih ujm v prihodnosti manjše.</w:t>
      </w:r>
    </w:p>
    <w:p w:rsidR="00A11C91" w:rsidRPr="00A11C91" w:rsidRDefault="00A11C91" w:rsidP="00A11C91">
      <w:pPr>
        <w:spacing w:line="276" w:lineRule="auto"/>
        <w:jc w:val="both"/>
        <w:rPr>
          <w:rFonts w:eastAsia="Calibri" w:cs="Arial"/>
          <w:szCs w:val="20"/>
          <w:lang w:val="sl-SI"/>
        </w:rPr>
      </w:pPr>
      <w:r w:rsidRPr="00A11C91">
        <w:rPr>
          <w:rFonts w:cs="Arial"/>
          <w:i/>
          <w:iCs/>
          <w:szCs w:val="20"/>
          <w:lang w:val="sl-SI"/>
        </w:rPr>
        <w:t>Preglednica 1</w:t>
      </w:r>
      <w:r w:rsidR="00696BAE">
        <w:rPr>
          <w:rFonts w:cs="Arial"/>
          <w:i/>
          <w:iCs/>
          <w:szCs w:val="20"/>
          <w:lang w:val="sl-SI"/>
        </w:rPr>
        <w:t>4</w:t>
      </w:r>
      <w:r w:rsidRPr="00A11C91">
        <w:rPr>
          <w:rFonts w:cs="Arial"/>
          <w:i/>
          <w:iCs/>
          <w:szCs w:val="20"/>
          <w:lang w:val="sl-SI"/>
        </w:rPr>
        <w:t>.</w:t>
      </w:r>
      <w:r w:rsidR="00107DE0">
        <w:rPr>
          <w:rFonts w:cs="Arial"/>
          <w:i/>
          <w:iCs/>
          <w:szCs w:val="20"/>
          <w:lang w:val="sl-SI"/>
        </w:rPr>
        <w:t>7</w:t>
      </w:r>
      <w:r w:rsidRPr="00A11C91">
        <w:rPr>
          <w:rFonts w:cs="Arial"/>
          <w:i/>
          <w:iCs/>
          <w:szCs w:val="20"/>
          <w:lang w:val="sl-SI"/>
        </w:rPr>
        <w:t>: Neposredna škoda zaradi žleda februarja 2014</w:t>
      </w:r>
    </w:p>
    <w:tbl>
      <w:tblPr>
        <w:tblW w:w="4077" w:type="pct"/>
        <w:tblLayout w:type="fixed"/>
        <w:tblCellMar>
          <w:left w:w="70" w:type="dxa"/>
          <w:right w:w="70" w:type="dxa"/>
        </w:tblCellMar>
        <w:tblLook w:val="04A0" w:firstRow="1" w:lastRow="0" w:firstColumn="1" w:lastColumn="0" w:noHBand="0" w:noVBand="1"/>
      </w:tblPr>
      <w:tblGrid>
        <w:gridCol w:w="4671"/>
        <w:gridCol w:w="2610"/>
      </w:tblGrid>
      <w:tr w:rsidR="00A11C91" w:rsidRPr="00A11C91" w:rsidTr="0077619C">
        <w:trPr>
          <w:trHeight w:val="209"/>
          <w:tblHeader/>
        </w:trPr>
        <w:tc>
          <w:tcPr>
            <w:tcW w:w="3208" w:type="pct"/>
            <w:tcBorders>
              <w:top w:val="single" w:sz="8" w:space="0" w:color="auto"/>
              <w:left w:val="single" w:sz="4" w:space="0" w:color="auto"/>
              <w:bottom w:val="single" w:sz="8" w:space="0" w:color="auto"/>
              <w:right w:val="single" w:sz="8" w:space="0" w:color="auto"/>
            </w:tcBorders>
            <w:shd w:val="clear" w:color="000000" w:fill="DDD9C3"/>
          </w:tcPr>
          <w:p w:rsidR="00A11C91" w:rsidRPr="00A11C91" w:rsidRDefault="00A11C91" w:rsidP="00A11C91">
            <w:pPr>
              <w:spacing w:before="60" w:line="276" w:lineRule="auto"/>
              <w:rPr>
                <w:rFonts w:eastAsia="Calibri" w:cs="Arial"/>
                <w:b/>
                <w:bCs/>
                <w:szCs w:val="20"/>
                <w:lang w:val="sl-SI"/>
              </w:rPr>
            </w:pPr>
            <w:r w:rsidRPr="00A11C91">
              <w:rPr>
                <w:rFonts w:eastAsia="Calibri" w:cs="Arial"/>
                <w:b/>
                <w:bCs/>
                <w:szCs w:val="20"/>
                <w:lang w:val="sl-SI"/>
              </w:rPr>
              <w:t>Vrsta neposredne škode</w:t>
            </w:r>
          </w:p>
        </w:tc>
        <w:tc>
          <w:tcPr>
            <w:tcW w:w="1792" w:type="pct"/>
            <w:tcBorders>
              <w:top w:val="single" w:sz="8" w:space="0" w:color="auto"/>
              <w:left w:val="nil"/>
              <w:bottom w:val="single" w:sz="8" w:space="0" w:color="auto"/>
              <w:right w:val="single" w:sz="8" w:space="0" w:color="auto"/>
            </w:tcBorders>
            <w:shd w:val="clear" w:color="000000" w:fill="DDD9C3"/>
          </w:tcPr>
          <w:p w:rsidR="00A11C91" w:rsidRPr="00A11C91" w:rsidRDefault="00A11C91" w:rsidP="00A11C91">
            <w:pPr>
              <w:spacing w:before="60" w:line="276" w:lineRule="auto"/>
              <w:jc w:val="center"/>
              <w:rPr>
                <w:rFonts w:eastAsia="Calibri" w:cs="Arial"/>
                <w:b/>
                <w:bCs/>
                <w:szCs w:val="20"/>
                <w:lang w:val="sl-SI"/>
              </w:rPr>
            </w:pPr>
            <w:r w:rsidRPr="00A11C91">
              <w:rPr>
                <w:rFonts w:eastAsia="Calibri" w:cs="Arial"/>
                <w:b/>
                <w:bCs/>
                <w:szCs w:val="20"/>
                <w:lang w:val="sl-SI"/>
              </w:rPr>
              <w:t>Eur</w:t>
            </w:r>
          </w:p>
        </w:tc>
      </w:tr>
      <w:tr w:rsidR="00A11C91" w:rsidRPr="00A11C91" w:rsidTr="0077619C">
        <w:trPr>
          <w:trHeight w:val="330"/>
        </w:trPr>
        <w:tc>
          <w:tcPr>
            <w:tcW w:w="3208" w:type="pct"/>
            <w:tcBorders>
              <w:top w:val="single" w:sz="4" w:space="0" w:color="auto"/>
              <w:left w:val="single" w:sz="4" w:space="0" w:color="auto"/>
              <w:bottom w:val="single" w:sz="4" w:space="0" w:color="auto"/>
              <w:right w:val="single" w:sz="8" w:space="0" w:color="auto"/>
            </w:tcBorders>
            <w:shd w:val="clear" w:color="auto" w:fill="auto"/>
            <w:vAlign w:val="center"/>
          </w:tcPr>
          <w:p w:rsidR="00A11C91" w:rsidRPr="00A11C91" w:rsidRDefault="00A11C91" w:rsidP="00A11C91">
            <w:pPr>
              <w:spacing w:before="60" w:line="276" w:lineRule="auto"/>
              <w:rPr>
                <w:rFonts w:eastAsia="Calibri" w:cs="Arial"/>
                <w:szCs w:val="20"/>
                <w:lang w:val="sl-SI"/>
              </w:rPr>
            </w:pPr>
            <w:r w:rsidRPr="00A11C91">
              <w:rPr>
                <w:rFonts w:eastAsia="Calibri" w:cs="Arial"/>
                <w:szCs w:val="20"/>
                <w:lang w:val="sl-SI"/>
              </w:rPr>
              <w:t>škoda na stvareh in stavbah</w:t>
            </w:r>
          </w:p>
        </w:tc>
        <w:tc>
          <w:tcPr>
            <w:tcW w:w="1792" w:type="pct"/>
            <w:tcBorders>
              <w:top w:val="single" w:sz="4" w:space="0" w:color="auto"/>
              <w:left w:val="nil"/>
              <w:bottom w:val="single" w:sz="4" w:space="0" w:color="auto"/>
              <w:right w:val="single" w:sz="8" w:space="0" w:color="auto"/>
            </w:tcBorders>
            <w:shd w:val="clear" w:color="auto" w:fill="auto"/>
            <w:noWrap/>
            <w:vAlign w:val="center"/>
          </w:tcPr>
          <w:p w:rsidR="00A11C91" w:rsidRPr="00A11C91" w:rsidRDefault="00A11C91" w:rsidP="00A11C91">
            <w:pPr>
              <w:spacing w:before="60" w:line="276" w:lineRule="auto"/>
              <w:ind w:left="66" w:firstLineChars="100" w:firstLine="200"/>
              <w:jc w:val="center"/>
              <w:rPr>
                <w:rFonts w:eastAsia="Calibri" w:cs="Arial"/>
                <w:szCs w:val="20"/>
                <w:lang w:val="sl-SI"/>
              </w:rPr>
            </w:pPr>
            <w:r w:rsidRPr="00A11C91">
              <w:rPr>
                <w:rFonts w:eastAsia="Calibri" w:cs="Arial"/>
                <w:szCs w:val="20"/>
                <w:lang w:val="sl-SI"/>
              </w:rPr>
              <w:t>12.752.088,59</w:t>
            </w:r>
          </w:p>
        </w:tc>
      </w:tr>
      <w:tr w:rsidR="00A11C91" w:rsidRPr="00A11C91" w:rsidTr="0077619C">
        <w:trPr>
          <w:trHeight w:val="330"/>
        </w:trPr>
        <w:tc>
          <w:tcPr>
            <w:tcW w:w="3208" w:type="pct"/>
            <w:tcBorders>
              <w:top w:val="single" w:sz="4" w:space="0" w:color="auto"/>
              <w:left w:val="single" w:sz="4" w:space="0" w:color="auto"/>
              <w:bottom w:val="single" w:sz="4" w:space="0" w:color="auto"/>
              <w:right w:val="single" w:sz="8" w:space="0" w:color="auto"/>
            </w:tcBorders>
            <w:shd w:val="clear" w:color="auto" w:fill="auto"/>
            <w:vAlign w:val="center"/>
          </w:tcPr>
          <w:p w:rsidR="00A11C91" w:rsidRPr="00A11C91" w:rsidRDefault="00A11C91" w:rsidP="00A11C91">
            <w:pPr>
              <w:spacing w:before="60" w:line="276" w:lineRule="auto"/>
              <w:rPr>
                <w:rFonts w:eastAsia="Calibri" w:cs="Arial"/>
                <w:szCs w:val="20"/>
                <w:lang w:val="sl-SI"/>
              </w:rPr>
            </w:pPr>
            <w:r w:rsidRPr="00A11C91">
              <w:rPr>
                <w:rFonts w:eastAsia="Calibri" w:cs="Arial"/>
                <w:szCs w:val="20"/>
                <w:lang w:val="sl-SI"/>
              </w:rPr>
              <w:t>škoda v gospodarstvu</w:t>
            </w:r>
          </w:p>
        </w:tc>
        <w:tc>
          <w:tcPr>
            <w:tcW w:w="1792" w:type="pct"/>
            <w:tcBorders>
              <w:top w:val="single" w:sz="4" w:space="0" w:color="auto"/>
              <w:left w:val="nil"/>
              <w:bottom w:val="single" w:sz="4" w:space="0" w:color="auto"/>
              <w:right w:val="single" w:sz="8" w:space="0" w:color="auto"/>
            </w:tcBorders>
            <w:shd w:val="clear" w:color="auto" w:fill="auto"/>
            <w:noWrap/>
            <w:vAlign w:val="center"/>
          </w:tcPr>
          <w:p w:rsidR="00A11C91" w:rsidRPr="00A11C91" w:rsidRDefault="00A11C91" w:rsidP="00A11C91">
            <w:pPr>
              <w:spacing w:before="60" w:line="276" w:lineRule="auto"/>
              <w:ind w:left="66" w:firstLineChars="100" w:firstLine="200"/>
              <w:jc w:val="center"/>
              <w:rPr>
                <w:rFonts w:eastAsia="Calibri" w:cs="Arial"/>
                <w:szCs w:val="20"/>
                <w:lang w:val="sl-SI"/>
              </w:rPr>
            </w:pPr>
            <w:r w:rsidRPr="00A11C91">
              <w:rPr>
                <w:rFonts w:eastAsia="Calibri" w:cs="Arial"/>
                <w:szCs w:val="20"/>
                <w:lang w:val="sl-SI"/>
              </w:rPr>
              <w:t>42.713.030,57</w:t>
            </w:r>
          </w:p>
        </w:tc>
      </w:tr>
      <w:tr w:rsidR="00A11C91" w:rsidRPr="00A11C91" w:rsidTr="0077619C">
        <w:trPr>
          <w:trHeight w:val="330"/>
        </w:trPr>
        <w:tc>
          <w:tcPr>
            <w:tcW w:w="3208" w:type="pct"/>
            <w:tcBorders>
              <w:top w:val="single" w:sz="4" w:space="0" w:color="auto"/>
              <w:left w:val="single" w:sz="4" w:space="0" w:color="auto"/>
              <w:bottom w:val="single" w:sz="4" w:space="0" w:color="auto"/>
              <w:right w:val="single" w:sz="8" w:space="0" w:color="auto"/>
            </w:tcBorders>
            <w:shd w:val="clear" w:color="auto" w:fill="auto"/>
            <w:vAlign w:val="center"/>
          </w:tcPr>
          <w:p w:rsidR="00A11C91" w:rsidRPr="00A11C91" w:rsidRDefault="00A11C91" w:rsidP="00A11C91">
            <w:pPr>
              <w:spacing w:before="60" w:line="276" w:lineRule="auto"/>
              <w:rPr>
                <w:rFonts w:eastAsia="Calibri" w:cs="Arial"/>
                <w:szCs w:val="20"/>
                <w:lang w:val="sl-SI"/>
              </w:rPr>
            </w:pPr>
            <w:r w:rsidRPr="00A11C91">
              <w:rPr>
                <w:rFonts w:eastAsia="Calibri" w:cs="Arial"/>
                <w:szCs w:val="20"/>
                <w:lang w:val="sl-SI"/>
              </w:rPr>
              <w:t>škoda na državnih cestah</w:t>
            </w:r>
          </w:p>
        </w:tc>
        <w:tc>
          <w:tcPr>
            <w:tcW w:w="1792" w:type="pct"/>
            <w:tcBorders>
              <w:top w:val="single" w:sz="4" w:space="0" w:color="auto"/>
              <w:left w:val="nil"/>
              <w:bottom w:val="single" w:sz="4" w:space="0" w:color="auto"/>
              <w:right w:val="single" w:sz="8" w:space="0" w:color="auto"/>
            </w:tcBorders>
            <w:shd w:val="clear" w:color="auto" w:fill="auto"/>
            <w:noWrap/>
            <w:vAlign w:val="center"/>
          </w:tcPr>
          <w:p w:rsidR="00A11C91" w:rsidRPr="00A11C91" w:rsidRDefault="00A11C91" w:rsidP="00A11C91">
            <w:pPr>
              <w:spacing w:before="60" w:line="276" w:lineRule="auto"/>
              <w:ind w:left="66" w:firstLineChars="100" w:firstLine="200"/>
              <w:jc w:val="center"/>
              <w:rPr>
                <w:rFonts w:eastAsia="Calibri" w:cs="Arial"/>
                <w:szCs w:val="20"/>
                <w:lang w:val="sl-SI"/>
              </w:rPr>
            </w:pPr>
            <w:r w:rsidRPr="00A11C91">
              <w:rPr>
                <w:rFonts w:eastAsia="Calibri" w:cs="Arial"/>
                <w:szCs w:val="20"/>
                <w:lang w:val="sl-SI"/>
              </w:rPr>
              <w:t>8.784.080,00</w:t>
            </w:r>
          </w:p>
        </w:tc>
      </w:tr>
      <w:tr w:rsidR="00A11C91" w:rsidRPr="00A11C91" w:rsidTr="0077619C">
        <w:trPr>
          <w:trHeight w:val="330"/>
        </w:trPr>
        <w:tc>
          <w:tcPr>
            <w:tcW w:w="3208" w:type="pct"/>
            <w:tcBorders>
              <w:top w:val="single" w:sz="4" w:space="0" w:color="auto"/>
              <w:left w:val="single" w:sz="4" w:space="0" w:color="auto"/>
              <w:bottom w:val="single" w:sz="4" w:space="0" w:color="auto"/>
              <w:right w:val="single" w:sz="8" w:space="0" w:color="auto"/>
            </w:tcBorders>
            <w:shd w:val="clear" w:color="auto" w:fill="auto"/>
            <w:vAlign w:val="center"/>
          </w:tcPr>
          <w:p w:rsidR="00A11C91" w:rsidRPr="00A11C91" w:rsidRDefault="00A11C91" w:rsidP="00A11C91">
            <w:pPr>
              <w:spacing w:before="60" w:line="276" w:lineRule="auto"/>
              <w:rPr>
                <w:rFonts w:eastAsia="Calibri" w:cs="Arial"/>
                <w:szCs w:val="20"/>
                <w:lang w:val="sl-SI"/>
              </w:rPr>
            </w:pPr>
            <w:r w:rsidRPr="00A11C91">
              <w:rPr>
                <w:rFonts w:eastAsia="Calibri" w:cs="Arial"/>
                <w:szCs w:val="20"/>
                <w:lang w:val="sl-SI"/>
              </w:rPr>
              <w:t>škoda na elektroenergetski infrastrukturi</w:t>
            </w:r>
          </w:p>
        </w:tc>
        <w:tc>
          <w:tcPr>
            <w:tcW w:w="1792" w:type="pct"/>
            <w:tcBorders>
              <w:top w:val="single" w:sz="4" w:space="0" w:color="auto"/>
              <w:left w:val="nil"/>
              <w:bottom w:val="single" w:sz="4" w:space="0" w:color="auto"/>
              <w:right w:val="single" w:sz="8" w:space="0" w:color="auto"/>
            </w:tcBorders>
            <w:shd w:val="clear" w:color="auto" w:fill="auto"/>
            <w:noWrap/>
            <w:vAlign w:val="center"/>
          </w:tcPr>
          <w:p w:rsidR="00A11C91" w:rsidRPr="00A11C91" w:rsidRDefault="00A11C91" w:rsidP="00A11C91">
            <w:pPr>
              <w:spacing w:before="60" w:line="276" w:lineRule="auto"/>
              <w:ind w:left="66"/>
              <w:jc w:val="center"/>
              <w:rPr>
                <w:rFonts w:eastAsia="Calibri" w:cs="Arial"/>
                <w:szCs w:val="20"/>
                <w:lang w:val="sl-SI"/>
              </w:rPr>
            </w:pPr>
            <w:r w:rsidRPr="00A11C91">
              <w:rPr>
                <w:rFonts w:eastAsia="Calibri" w:cs="Arial"/>
                <w:szCs w:val="20"/>
                <w:lang w:val="sl-SI"/>
              </w:rPr>
              <w:t>80.512.371,11</w:t>
            </w:r>
          </w:p>
        </w:tc>
      </w:tr>
      <w:tr w:rsidR="00A11C91" w:rsidRPr="00A11C91" w:rsidTr="0077619C">
        <w:trPr>
          <w:trHeight w:val="330"/>
        </w:trPr>
        <w:tc>
          <w:tcPr>
            <w:tcW w:w="3208" w:type="pct"/>
            <w:tcBorders>
              <w:top w:val="single" w:sz="4" w:space="0" w:color="auto"/>
              <w:left w:val="single" w:sz="4" w:space="0" w:color="auto"/>
              <w:bottom w:val="single" w:sz="4" w:space="0" w:color="auto"/>
              <w:right w:val="single" w:sz="8" w:space="0" w:color="auto"/>
            </w:tcBorders>
            <w:shd w:val="clear" w:color="auto" w:fill="auto"/>
            <w:vAlign w:val="center"/>
          </w:tcPr>
          <w:p w:rsidR="00A11C91" w:rsidRPr="00A11C91" w:rsidRDefault="00A11C91" w:rsidP="00A11C91">
            <w:pPr>
              <w:spacing w:before="60" w:line="276" w:lineRule="auto"/>
              <w:rPr>
                <w:rFonts w:eastAsia="Calibri" w:cs="Arial"/>
                <w:szCs w:val="20"/>
                <w:lang w:val="sl-SI"/>
              </w:rPr>
            </w:pPr>
            <w:r w:rsidRPr="00A11C91">
              <w:rPr>
                <w:rFonts w:eastAsia="Calibri" w:cs="Arial"/>
                <w:szCs w:val="20"/>
                <w:lang w:val="sl-SI"/>
              </w:rPr>
              <w:t>škoda na železniški infrastrukturi</w:t>
            </w:r>
          </w:p>
        </w:tc>
        <w:tc>
          <w:tcPr>
            <w:tcW w:w="1792" w:type="pct"/>
            <w:tcBorders>
              <w:top w:val="single" w:sz="4" w:space="0" w:color="auto"/>
              <w:left w:val="nil"/>
              <w:bottom w:val="single" w:sz="4" w:space="0" w:color="auto"/>
              <w:right w:val="single" w:sz="8" w:space="0" w:color="auto"/>
            </w:tcBorders>
            <w:shd w:val="clear" w:color="auto" w:fill="auto"/>
            <w:noWrap/>
            <w:vAlign w:val="center"/>
          </w:tcPr>
          <w:p w:rsidR="00A11C91" w:rsidRPr="00A11C91" w:rsidRDefault="00A11C91" w:rsidP="00A11C91">
            <w:pPr>
              <w:spacing w:before="60" w:line="276" w:lineRule="auto"/>
              <w:ind w:left="66" w:firstLineChars="100" w:firstLine="200"/>
              <w:jc w:val="center"/>
              <w:rPr>
                <w:rFonts w:eastAsia="Calibri" w:cs="Arial"/>
                <w:szCs w:val="20"/>
                <w:lang w:val="sl-SI"/>
              </w:rPr>
            </w:pPr>
            <w:r w:rsidRPr="00A11C91">
              <w:rPr>
                <w:rFonts w:eastAsia="Calibri" w:cs="Arial"/>
                <w:szCs w:val="20"/>
                <w:lang w:val="sl-SI"/>
              </w:rPr>
              <w:t>40.873.990,91</w:t>
            </w:r>
          </w:p>
        </w:tc>
      </w:tr>
      <w:tr w:rsidR="00A11C91" w:rsidRPr="00A11C91" w:rsidTr="0077619C">
        <w:trPr>
          <w:trHeight w:val="330"/>
        </w:trPr>
        <w:tc>
          <w:tcPr>
            <w:tcW w:w="3208" w:type="pct"/>
            <w:tcBorders>
              <w:top w:val="single" w:sz="4" w:space="0" w:color="auto"/>
              <w:left w:val="single" w:sz="4" w:space="0" w:color="auto"/>
              <w:bottom w:val="single" w:sz="4" w:space="0" w:color="auto"/>
              <w:right w:val="single" w:sz="8" w:space="0" w:color="auto"/>
            </w:tcBorders>
            <w:shd w:val="clear" w:color="auto" w:fill="auto"/>
            <w:vAlign w:val="center"/>
          </w:tcPr>
          <w:p w:rsidR="00A11C91" w:rsidRPr="00A11C91" w:rsidRDefault="00A11C91" w:rsidP="00A11C91">
            <w:pPr>
              <w:spacing w:before="60" w:line="276" w:lineRule="auto"/>
              <w:rPr>
                <w:rFonts w:eastAsia="Calibri" w:cs="Arial"/>
                <w:szCs w:val="20"/>
                <w:lang w:val="sl-SI"/>
              </w:rPr>
            </w:pPr>
            <w:r w:rsidRPr="00A11C91">
              <w:rPr>
                <w:rFonts w:eastAsia="Calibri" w:cs="Arial"/>
                <w:szCs w:val="20"/>
                <w:lang w:val="sl-SI"/>
              </w:rPr>
              <w:t>škoda na kulturni dediščini</w:t>
            </w:r>
          </w:p>
        </w:tc>
        <w:tc>
          <w:tcPr>
            <w:tcW w:w="1792" w:type="pct"/>
            <w:tcBorders>
              <w:top w:val="single" w:sz="4" w:space="0" w:color="auto"/>
              <w:left w:val="nil"/>
              <w:bottom w:val="single" w:sz="4" w:space="0" w:color="auto"/>
              <w:right w:val="single" w:sz="8" w:space="0" w:color="auto"/>
            </w:tcBorders>
            <w:shd w:val="clear" w:color="auto" w:fill="auto"/>
            <w:noWrap/>
            <w:vAlign w:val="center"/>
          </w:tcPr>
          <w:p w:rsidR="00A11C91" w:rsidRPr="00A11C91" w:rsidRDefault="00A11C91" w:rsidP="00A11C91">
            <w:pPr>
              <w:spacing w:before="60" w:line="276" w:lineRule="auto"/>
              <w:ind w:left="66" w:firstLineChars="100" w:firstLine="200"/>
              <w:jc w:val="center"/>
              <w:rPr>
                <w:rFonts w:eastAsia="Calibri" w:cs="Arial"/>
                <w:szCs w:val="20"/>
                <w:lang w:val="sl-SI"/>
              </w:rPr>
            </w:pPr>
            <w:r w:rsidRPr="00A11C91">
              <w:rPr>
                <w:rFonts w:eastAsia="Calibri" w:cs="Arial"/>
                <w:szCs w:val="20"/>
                <w:lang w:val="sl-SI"/>
              </w:rPr>
              <w:t>2.665.866,56</w:t>
            </w:r>
          </w:p>
        </w:tc>
      </w:tr>
      <w:tr w:rsidR="00A11C91" w:rsidRPr="00A11C91" w:rsidTr="0077619C">
        <w:trPr>
          <w:trHeight w:val="330"/>
        </w:trPr>
        <w:tc>
          <w:tcPr>
            <w:tcW w:w="3208" w:type="pct"/>
            <w:tcBorders>
              <w:top w:val="single" w:sz="4" w:space="0" w:color="auto"/>
              <w:left w:val="single" w:sz="4" w:space="0" w:color="auto"/>
              <w:bottom w:val="single" w:sz="4" w:space="0" w:color="auto"/>
              <w:right w:val="single" w:sz="8" w:space="0" w:color="auto"/>
            </w:tcBorders>
            <w:shd w:val="clear" w:color="auto" w:fill="auto"/>
            <w:vAlign w:val="center"/>
          </w:tcPr>
          <w:p w:rsidR="00A11C91" w:rsidRPr="00A11C91" w:rsidRDefault="00A11C91" w:rsidP="00A11C91">
            <w:pPr>
              <w:spacing w:before="60" w:line="276" w:lineRule="auto"/>
              <w:rPr>
                <w:rFonts w:eastAsia="Calibri" w:cs="Arial"/>
                <w:szCs w:val="20"/>
                <w:lang w:val="sl-SI"/>
              </w:rPr>
            </w:pPr>
            <w:r w:rsidRPr="00A11C91">
              <w:rPr>
                <w:rFonts w:eastAsia="Calibri" w:cs="Arial"/>
                <w:szCs w:val="20"/>
                <w:lang w:val="sl-SI"/>
              </w:rPr>
              <w:t>škoda na vodotokih</w:t>
            </w:r>
          </w:p>
        </w:tc>
        <w:tc>
          <w:tcPr>
            <w:tcW w:w="1792" w:type="pct"/>
            <w:tcBorders>
              <w:top w:val="single" w:sz="4" w:space="0" w:color="auto"/>
              <w:left w:val="nil"/>
              <w:bottom w:val="single" w:sz="4" w:space="0" w:color="auto"/>
              <w:right w:val="single" w:sz="8" w:space="0" w:color="auto"/>
            </w:tcBorders>
            <w:shd w:val="clear" w:color="auto" w:fill="auto"/>
            <w:noWrap/>
            <w:vAlign w:val="center"/>
          </w:tcPr>
          <w:p w:rsidR="00A11C91" w:rsidRPr="00A11C91" w:rsidRDefault="00A11C91" w:rsidP="00A11C91">
            <w:pPr>
              <w:spacing w:before="60" w:line="276" w:lineRule="auto"/>
              <w:ind w:left="66" w:firstLineChars="100" w:firstLine="200"/>
              <w:jc w:val="center"/>
              <w:rPr>
                <w:rFonts w:eastAsia="Calibri" w:cs="Arial"/>
                <w:szCs w:val="20"/>
                <w:lang w:val="sl-SI"/>
              </w:rPr>
            </w:pPr>
            <w:r w:rsidRPr="00A11C91">
              <w:rPr>
                <w:rFonts w:eastAsia="Calibri" w:cs="Arial"/>
                <w:szCs w:val="20"/>
                <w:lang w:val="sl-SI"/>
              </w:rPr>
              <w:t>26.788.015,36</w:t>
            </w:r>
          </w:p>
        </w:tc>
      </w:tr>
      <w:tr w:rsidR="00A11C91" w:rsidRPr="00A11C91" w:rsidTr="0077619C">
        <w:trPr>
          <w:trHeight w:val="330"/>
        </w:trPr>
        <w:tc>
          <w:tcPr>
            <w:tcW w:w="3208" w:type="pct"/>
            <w:tcBorders>
              <w:top w:val="single" w:sz="4" w:space="0" w:color="auto"/>
              <w:left w:val="single" w:sz="4" w:space="0" w:color="auto"/>
              <w:bottom w:val="single" w:sz="4" w:space="0" w:color="auto"/>
              <w:right w:val="single" w:sz="8" w:space="0" w:color="auto"/>
            </w:tcBorders>
            <w:shd w:val="clear" w:color="auto" w:fill="auto"/>
            <w:vAlign w:val="center"/>
          </w:tcPr>
          <w:p w:rsidR="00A11C91" w:rsidRPr="00A11C91" w:rsidRDefault="00A11C91" w:rsidP="00A11C91">
            <w:pPr>
              <w:spacing w:before="60" w:line="276" w:lineRule="auto"/>
              <w:rPr>
                <w:rFonts w:eastAsia="Calibri" w:cs="Arial"/>
                <w:szCs w:val="20"/>
                <w:lang w:val="sl-SI"/>
              </w:rPr>
            </w:pPr>
            <w:r w:rsidRPr="00A11C91">
              <w:rPr>
                <w:rFonts w:eastAsia="Calibri" w:cs="Arial"/>
                <w:szCs w:val="20"/>
                <w:lang w:val="sl-SI"/>
              </w:rPr>
              <w:t>škoda v gozdovih</w:t>
            </w:r>
          </w:p>
        </w:tc>
        <w:tc>
          <w:tcPr>
            <w:tcW w:w="1792" w:type="pct"/>
            <w:tcBorders>
              <w:top w:val="single" w:sz="4" w:space="0" w:color="auto"/>
              <w:left w:val="nil"/>
              <w:bottom w:val="single" w:sz="4" w:space="0" w:color="auto"/>
              <w:right w:val="single" w:sz="8" w:space="0" w:color="auto"/>
            </w:tcBorders>
            <w:shd w:val="clear" w:color="auto" w:fill="auto"/>
            <w:noWrap/>
            <w:vAlign w:val="center"/>
          </w:tcPr>
          <w:p w:rsidR="00A11C91" w:rsidRPr="00A11C91" w:rsidRDefault="00A11C91" w:rsidP="00A11C91">
            <w:pPr>
              <w:spacing w:before="60" w:line="276" w:lineRule="auto"/>
              <w:ind w:left="66" w:firstLineChars="100" w:firstLine="200"/>
              <w:jc w:val="center"/>
              <w:rPr>
                <w:rFonts w:eastAsia="Calibri" w:cs="Arial"/>
                <w:szCs w:val="20"/>
                <w:lang w:val="sl-SI"/>
              </w:rPr>
            </w:pPr>
            <w:r w:rsidRPr="00A11C91">
              <w:rPr>
                <w:rFonts w:eastAsia="Calibri" w:cs="Arial"/>
                <w:szCs w:val="20"/>
                <w:lang w:val="sl-SI"/>
              </w:rPr>
              <w:t>214.326.536,80</w:t>
            </w:r>
          </w:p>
        </w:tc>
      </w:tr>
      <w:tr w:rsidR="00A11C91" w:rsidRPr="00A11C91" w:rsidTr="0077619C">
        <w:trPr>
          <w:trHeight w:val="315"/>
        </w:trPr>
        <w:tc>
          <w:tcPr>
            <w:tcW w:w="3208" w:type="pct"/>
            <w:tcBorders>
              <w:top w:val="single" w:sz="8" w:space="0" w:color="auto"/>
              <w:left w:val="single" w:sz="4" w:space="0" w:color="auto"/>
              <w:bottom w:val="single" w:sz="8" w:space="0" w:color="auto"/>
              <w:right w:val="single" w:sz="8" w:space="0" w:color="auto"/>
            </w:tcBorders>
            <w:shd w:val="clear" w:color="auto" w:fill="DDD9C3"/>
            <w:vAlign w:val="center"/>
          </w:tcPr>
          <w:p w:rsidR="00A11C91" w:rsidRPr="00A11C91" w:rsidRDefault="00A11C91" w:rsidP="00A11C91">
            <w:pPr>
              <w:spacing w:before="60" w:line="276" w:lineRule="auto"/>
              <w:rPr>
                <w:rFonts w:eastAsia="Calibri" w:cs="Arial"/>
                <w:b/>
                <w:iCs/>
                <w:szCs w:val="20"/>
                <w:lang w:val="sl-SI"/>
              </w:rPr>
            </w:pPr>
            <w:r w:rsidRPr="00A11C91">
              <w:rPr>
                <w:rFonts w:eastAsia="Calibri" w:cs="Arial"/>
                <w:b/>
                <w:iCs/>
                <w:szCs w:val="20"/>
                <w:lang w:val="sl-SI"/>
              </w:rPr>
              <w:t>skupaj:</w:t>
            </w:r>
          </w:p>
        </w:tc>
        <w:tc>
          <w:tcPr>
            <w:tcW w:w="1792" w:type="pct"/>
            <w:tcBorders>
              <w:top w:val="single" w:sz="8" w:space="0" w:color="auto"/>
              <w:left w:val="nil"/>
              <w:bottom w:val="single" w:sz="8" w:space="0" w:color="auto"/>
              <w:right w:val="single" w:sz="8" w:space="0" w:color="auto"/>
            </w:tcBorders>
            <w:shd w:val="clear" w:color="auto" w:fill="DDD9C3"/>
            <w:noWrap/>
            <w:vAlign w:val="center"/>
          </w:tcPr>
          <w:p w:rsidR="00A11C91" w:rsidRPr="00A11C91" w:rsidRDefault="00A11C91" w:rsidP="00A11C91">
            <w:pPr>
              <w:spacing w:before="60" w:line="276" w:lineRule="auto"/>
              <w:ind w:left="66" w:firstLineChars="100" w:firstLine="201"/>
              <w:jc w:val="center"/>
              <w:rPr>
                <w:rFonts w:eastAsia="Calibri" w:cs="Arial"/>
                <w:b/>
                <w:bCs/>
                <w:szCs w:val="20"/>
                <w:lang w:val="sl-SI"/>
              </w:rPr>
            </w:pPr>
            <w:r w:rsidRPr="00A11C91">
              <w:rPr>
                <w:rFonts w:eastAsia="Calibri" w:cs="Arial"/>
                <w:b/>
                <w:bCs/>
                <w:szCs w:val="20"/>
                <w:lang w:val="sl-SI"/>
              </w:rPr>
              <w:t>429.415.980,17</w:t>
            </w:r>
          </w:p>
        </w:tc>
      </w:tr>
    </w:tbl>
    <w:p w:rsidR="00A11C91" w:rsidRPr="00A11C91" w:rsidRDefault="00A11C91" w:rsidP="00A11C91">
      <w:pPr>
        <w:spacing w:before="60" w:line="276" w:lineRule="auto"/>
        <w:jc w:val="both"/>
        <w:rPr>
          <w:rFonts w:eastAsia="Calibri" w:cs="Arial"/>
          <w:szCs w:val="20"/>
          <w:lang w:val="sl-SI"/>
        </w:rPr>
      </w:pPr>
    </w:p>
    <w:p w:rsidR="00A11C91" w:rsidRPr="00A11C91" w:rsidRDefault="00696BAE" w:rsidP="00A11C91">
      <w:pPr>
        <w:spacing w:before="60" w:line="276" w:lineRule="auto"/>
        <w:jc w:val="both"/>
        <w:rPr>
          <w:rFonts w:cs="Arial"/>
          <w:i/>
          <w:iCs/>
          <w:szCs w:val="20"/>
          <w:lang w:val="sl-SI"/>
        </w:rPr>
      </w:pPr>
      <w:r>
        <w:rPr>
          <w:rFonts w:eastAsia="Calibri" w:cs="Arial"/>
          <w:szCs w:val="20"/>
          <w:lang w:val="sl-SI"/>
        </w:rPr>
        <w:t>Preglednica 14.</w:t>
      </w:r>
      <w:r w:rsidR="00107DE0">
        <w:rPr>
          <w:rFonts w:eastAsia="Calibri" w:cs="Arial"/>
          <w:szCs w:val="20"/>
          <w:lang w:val="sl-SI"/>
        </w:rPr>
        <w:t>8</w:t>
      </w:r>
      <w:r w:rsidR="00A11C91" w:rsidRPr="00A11C91">
        <w:rPr>
          <w:rFonts w:eastAsia="Calibri" w:cs="Arial"/>
          <w:szCs w:val="20"/>
          <w:lang w:val="sl-SI"/>
        </w:rPr>
        <w:t>: Stroški zaradi žleda februarja 2014</w:t>
      </w:r>
    </w:p>
    <w:tbl>
      <w:tblPr>
        <w:tblStyle w:val="Tabelamrea14"/>
        <w:tblW w:w="0" w:type="auto"/>
        <w:tblLook w:val="04A0" w:firstRow="1" w:lastRow="0" w:firstColumn="1" w:lastColumn="0" w:noHBand="0" w:noVBand="1"/>
      </w:tblPr>
      <w:tblGrid>
        <w:gridCol w:w="3070"/>
        <w:gridCol w:w="2000"/>
      </w:tblGrid>
      <w:tr w:rsidR="00A11C91" w:rsidRPr="00A11C91" w:rsidTr="0077619C">
        <w:tc>
          <w:tcPr>
            <w:tcW w:w="3070" w:type="dxa"/>
            <w:shd w:val="clear" w:color="auto" w:fill="DFDFDF" w:themeFill="background2" w:themeFillShade="E6"/>
          </w:tcPr>
          <w:p w:rsidR="00A11C91" w:rsidRPr="00A11C91" w:rsidRDefault="00A11C91" w:rsidP="00A11C91">
            <w:pPr>
              <w:spacing w:before="60" w:line="276" w:lineRule="auto"/>
              <w:rPr>
                <w:rFonts w:cs="Arial"/>
                <w:b/>
                <w:szCs w:val="20"/>
                <w:lang w:val="sl-SI" w:eastAsia="sl-SI"/>
              </w:rPr>
            </w:pPr>
            <w:r w:rsidRPr="00A11C91">
              <w:rPr>
                <w:rFonts w:cs="Arial"/>
                <w:b/>
                <w:szCs w:val="20"/>
                <w:lang w:val="sl-SI" w:eastAsia="sl-SI"/>
              </w:rPr>
              <w:t>Vrste stroškov</w:t>
            </w:r>
          </w:p>
        </w:tc>
        <w:tc>
          <w:tcPr>
            <w:tcW w:w="2000" w:type="dxa"/>
            <w:shd w:val="clear" w:color="auto" w:fill="DFDFDF" w:themeFill="background2" w:themeFillShade="E6"/>
          </w:tcPr>
          <w:p w:rsidR="00A11C91" w:rsidRPr="00A11C91" w:rsidRDefault="00A11C91" w:rsidP="00A11C91">
            <w:pPr>
              <w:spacing w:before="60" w:line="276" w:lineRule="auto"/>
              <w:jc w:val="center"/>
              <w:rPr>
                <w:rFonts w:cs="Arial"/>
                <w:b/>
                <w:szCs w:val="20"/>
                <w:lang w:val="sl-SI" w:eastAsia="sl-SI"/>
              </w:rPr>
            </w:pPr>
            <w:r w:rsidRPr="00A11C91">
              <w:rPr>
                <w:rFonts w:cs="Arial"/>
                <w:b/>
                <w:szCs w:val="20"/>
                <w:lang w:val="sl-SI" w:eastAsia="sl-SI"/>
              </w:rPr>
              <w:t>Eur</w:t>
            </w:r>
          </w:p>
        </w:tc>
      </w:tr>
      <w:tr w:rsidR="00A11C91" w:rsidRPr="00A11C91" w:rsidTr="0077619C">
        <w:tc>
          <w:tcPr>
            <w:tcW w:w="3070" w:type="dxa"/>
          </w:tcPr>
          <w:p w:rsidR="00A11C91" w:rsidRPr="00A11C91" w:rsidRDefault="00A11C91" w:rsidP="00A11C91">
            <w:pPr>
              <w:spacing w:before="60" w:line="276" w:lineRule="auto"/>
              <w:rPr>
                <w:rFonts w:cs="Arial"/>
                <w:szCs w:val="20"/>
                <w:lang w:val="sl-SI" w:eastAsia="sl-SI"/>
              </w:rPr>
            </w:pPr>
            <w:r w:rsidRPr="00A11C91">
              <w:rPr>
                <w:rFonts w:cs="Arial"/>
                <w:szCs w:val="20"/>
                <w:lang w:val="sl-SI" w:eastAsia="sl-SI"/>
              </w:rPr>
              <w:t>intervencijski stroški</w:t>
            </w:r>
          </w:p>
        </w:tc>
        <w:tc>
          <w:tcPr>
            <w:tcW w:w="2000" w:type="dxa"/>
          </w:tcPr>
          <w:p w:rsidR="00A11C91" w:rsidRPr="00A11C91" w:rsidRDefault="00A11C91" w:rsidP="00A11C91">
            <w:pPr>
              <w:spacing w:before="60" w:line="276" w:lineRule="auto"/>
              <w:jc w:val="center"/>
              <w:rPr>
                <w:rFonts w:cs="Arial"/>
                <w:szCs w:val="20"/>
                <w:lang w:val="sl-SI" w:eastAsia="sl-SI"/>
              </w:rPr>
            </w:pPr>
            <w:r w:rsidRPr="00A11C91">
              <w:rPr>
                <w:rFonts w:cs="Arial"/>
                <w:bCs/>
                <w:szCs w:val="20"/>
                <w:lang w:val="sl-SI" w:eastAsia="sl-SI"/>
              </w:rPr>
              <w:t>40.055.984,30</w:t>
            </w:r>
          </w:p>
        </w:tc>
      </w:tr>
      <w:tr w:rsidR="00A11C91" w:rsidRPr="00A11C91" w:rsidTr="0077619C">
        <w:tc>
          <w:tcPr>
            <w:tcW w:w="3070" w:type="dxa"/>
          </w:tcPr>
          <w:p w:rsidR="00A11C91" w:rsidRPr="00A11C91" w:rsidRDefault="00A11C91" w:rsidP="00A11C91">
            <w:pPr>
              <w:spacing w:before="60" w:line="276" w:lineRule="auto"/>
              <w:rPr>
                <w:rFonts w:cs="Arial"/>
                <w:szCs w:val="20"/>
                <w:lang w:val="sl-SI" w:eastAsia="sl-SI"/>
              </w:rPr>
            </w:pPr>
            <w:r w:rsidRPr="00A11C91">
              <w:rPr>
                <w:rFonts w:cs="Arial"/>
                <w:szCs w:val="20"/>
                <w:lang w:val="sl-SI" w:eastAsia="sl-SI"/>
              </w:rPr>
              <w:t>stroški ocenjevanja škode</w:t>
            </w:r>
          </w:p>
        </w:tc>
        <w:tc>
          <w:tcPr>
            <w:tcW w:w="2000" w:type="dxa"/>
          </w:tcPr>
          <w:p w:rsidR="00A11C91" w:rsidRPr="00A11C91" w:rsidRDefault="00A11C91" w:rsidP="00A11C91">
            <w:pPr>
              <w:spacing w:before="60" w:line="276" w:lineRule="auto"/>
              <w:jc w:val="center"/>
              <w:rPr>
                <w:rFonts w:cs="Arial"/>
                <w:szCs w:val="20"/>
                <w:lang w:val="sl-SI" w:eastAsia="sl-SI"/>
              </w:rPr>
            </w:pPr>
            <w:r w:rsidRPr="00A11C91">
              <w:rPr>
                <w:rFonts w:cs="Arial"/>
                <w:szCs w:val="20"/>
                <w:lang w:val="sl-SI" w:eastAsia="sl-SI"/>
              </w:rPr>
              <w:t>15.436,00</w:t>
            </w:r>
          </w:p>
        </w:tc>
      </w:tr>
      <w:tr w:rsidR="00A11C91" w:rsidRPr="00A11C91" w:rsidTr="0077619C">
        <w:tc>
          <w:tcPr>
            <w:tcW w:w="3070" w:type="dxa"/>
          </w:tcPr>
          <w:p w:rsidR="00A11C91" w:rsidRPr="00A11C91" w:rsidRDefault="00A11C91" w:rsidP="00A11C91">
            <w:pPr>
              <w:spacing w:before="60" w:line="276" w:lineRule="auto"/>
              <w:rPr>
                <w:rFonts w:cs="Arial"/>
                <w:szCs w:val="20"/>
                <w:lang w:val="sl-SI" w:eastAsia="sl-SI"/>
              </w:rPr>
            </w:pPr>
            <w:r w:rsidRPr="00A11C91">
              <w:rPr>
                <w:rFonts w:cs="Arial"/>
                <w:szCs w:val="20"/>
                <w:lang w:val="sl-SI" w:eastAsia="sl-SI"/>
              </w:rPr>
              <w:t>dodatni stroški ZGS</w:t>
            </w:r>
          </w:p>
        </w:tc>
        <w:tc>
          <w:tcPr>
            <w:tcW w:w="2000" w:type="dxa"/>
          </w:tcPr>
          <w:p w:rsidR="00A11C91" w:rsidRPr="00A11C91" w:rsidRDefault="00A11C91" w:rsidP="00A11C91">
            <w:pPr>
              <w:spacing w:before="60" w:line="276" w:lineRule="auto"/>
              <w:jc w:val="center"/>
              <w:rPr>
                <w:rFonts w:cs="Arial"/>
                <w:szCs w:val="20"/>
                <w:lang w:val="sl-SI" w:eastAsia="sl-SI"/>
              </w:rPr>
            </w:pPr>
            <w:r w:rsidRPr="00A11C91">
              <w:rPr>
                <w:rFonts w:cs="Arial"/>
                <w:szCs w:val="20"/>
                <w:lang w:val="sl-SI" w:eastAsia="sl-SI"/>
              </w:rPr>
              <w:t>6.114.400,00</w:t>
            </w:r>
          </w:p>
        </w:tc>
      </w:tr>
      <w:tr w:rsidR="00A11C91" w:rsidRPr="00A11C91" w:rsidTr="0077619C">
        <w:tc>
          <w:tcPr>
            <w:tcW w:w="3070" w:type="dxa"/>
            <w:shd w:val="clear" w:color="auto" w:fill="DFDFDF" w:themeFill="background2" w:themeFillShade="E6"/>
          </w:tcPr>
          <w:p w:rsidR="00A11C91" w:rsidRPr="00A11C91" w:rsidRDefault="00A11C91" w:rsidP="00A11C91">
            <w:pPr>
              <w:spacing w:before="60" w:line="276" w:lineRule="auto"/>
              <w:rPr>
                <w:rFonts w:cs="Arial"/>
                <w:szCs w:val="20"/>
                <w:lang w:val="sl-SI" w:eastAsia="sl-SI"/>
              </w:rPr>
            </w:pPr>
            <w:r w:rsidRPr="00A11C91">
              <w:rPr>
                <w:rFonts w:cs="Arial"/>
                <w:szCs w:val="20"/>
                <w:lang w:val="sl-SI" w:eastAsia="sl-SI"/>
              </w:rPr>
              <w:t>Skupaj</w:t>
            </w:r>
          </w:p>
        </w:tc>
        <w:tc>
          <w:tcPr>
            <w:tcW w:w="2000" w:type="dxa"/>
            <w:shd w:val="clear" w:color="auto" w:fill="DFDFDF" w:themeFill="background2" w:themeFillShade="E6"/>
          </w:tcPr>
          <w:p w:rsidR="00A11C91" w:rsidRPr="00A11C91" w:rsidRDefault="00A11C91" w:rsidP="00A11C91">
            <w:pPr>
              <w:spacing w:before="60" w:line="276" w:lineRule="auto"/>
              <w:jc w:val="center"/>
              <w:rPr>
                <w:rFonts w:cs="Arial"/>
                <w:szCs w:val="20"/>
                <w:lang w:val="sl-SI" w:eastAsia="sl-SI"/>
              </w:rPr>
            </w:pPr>
            <w:r w:rsidRPr="00A11C91">
              <w:rPr>
                <w:rFonts w:cs="Arial"/>
                <w:szCs w:val="20"/>
                <w:lang w:val="sl-SI" w:eastAsia="sl-SI"/>
              </w:rPr>
              <w:t>46.185.820,30</w:t>
            </w:r>
          </w:p>
        </w:tc>
      </w:tr>
    </w:tbl>
    <w:p w:rsidR="00A11C91" w:rsidRPr="00A11C91" w:rsidRDefault="00A11C91" w:rsidP="00A11C91">
      <w:pPr>
        <w:spacing w:after="200" w:line="276" w:lineRule="auto"/>
        <w:jc w:val="both"/>
        <w:rPr>
          <w:rFonts w:eastAsia="Calibri" w:cs="Arial"/>
          <w:b/>
          <w:szCs w:val="20"/>
          <w:lang w:val="sl-SI"/>
        </w:rPr>
      </w:pPr>
    </w:p>
    <w:p w:rsidR="00E71CC6" w:rsidRDefault="00E71CC6" w:rsidP="00696BAE">
      <w:pPr>
        <w:spacing w:after="360" w:line="276" w:lineRule="auto"/>
        <w:jc w:val="both"/>
        <w:rPr>
          <w:rFonts w:eastAsia="Calibri" w:cs="Arial"/>
          <w:b/>
          <w:szCs w:val="20"/>
          <w:u w:val="single"/>
          <w:lang w:val="sl-SI"/>
        </w:rPr>
      </w:pPr>
      <w:r>
        <w:rPr>
          <w:rFonts w:eastAsia="Calibri" w:cs="Arial"/>
          <w:b/>
          <w:szCs w:val="20"/>
          <w:u w:val="single"/>
          <w:lang w:val="sl-SI"/>
        </w:rPr>
        <w:t>1</w:t>
      </w:r>
      <w:r w:rsidR="00696BAE">
        <w:rPr>
          <w:rFonts w:eastAsia="Calibri" w:cs="Arial"/>
          <w:b/>
          <w:szCs w:val="20"/>
          <w:u w:val="single"/>
          <w:lang w:val="sl-SI"/>
        </w:rPr>
        <w:t>4</w:t>
      </w:r>
      <w:r>
        <w:rPr>
          <w:rFonts w:eastAsia="Calibri" w:cs="Arial"/>
          <w:b/>
          <w:szCs w:val="20"/>
          <w:u w:val="single"/>
          <w:lang w:val="sl-SI"/>
        </w:rPr>
        <w:t>.6 Suša</w:t>
      </w:r>
    </w:p>
    <w:p w:rsidR="00E71CC6" w:rsidRPr="00E71CC6" w:rsidRDefault="00696BAE" w:rsidP="00E71CC6">
      <w:pPr>
        <w:spacing w:after="200" w:line="276" w:lineRule="auto"/>
        <w:jc w:val="both"/>
        <w:rPr>
          <w:rFonts w:eastAsia="Calibri" w:cs="Arial"/>
          <w:b/>
          <w:szCs w:val="20"/>
          <w:u w:val="single"/>
          <w:lang w:val="sl-SI" w:eastAsia="sl-SI"/>
        </w:rPr>
      </w:pPr>
      <w:r>
        <w:rPr>
          <w:rFonts w:eastAsia="Calibri" w:cs="Arial"/>
          <w:b/>
          <w:szCs w:val="20"/>
          <w:u w:val="single"/>
          <w:lang w:val="sl-SI" w:eastAsia="sl-SI"/>
        </w:rPr>
        <w:t xml:space="preserve">14.6.1 </w:t>
      </w:r>
      <w:r w:rsidR="00E71CC6" w:rsidRPr="00E71CC6">
        <w:rPr>
          <w:rFonts w:eastAsia="Calibri" w:cs="Arial"/>
          <w:b/>
          <w:szCs w:val="20"/>
          <w:u w:val="single"/>
          <w:lang w:val="sl-SI" w:eastAsia="sl-SI"/>
        </w:rPr>
        <w:t>Značilnosti suše</w:t>
      </w:r>
    </w:p>
    <w:p w:rsidR="00E71CC6" w:rsidRPr="00E71CC6" w:rsidRDefault="00E71CC6" w:rsidP="00E71CC6">
      <w:pPr>
        <w:spacing w:after="200" w:line="276" w:lineRule="auto"/>
        <w:jc w:val="both"/>
        <w:rPr>
          <w:rFonts w:eastAsia="Calibri" w:cs="Arial"/>
          <w:szCs w:val="20"/>
          <w:lang w:val="sl-SI" w:eastAsia="sl-SI"/>
        </w:rPr>
      </w:pPr>
      <w:r w:rsidRPr="00E71CC6">
        <w:rPr>
          <w:rFonts w:eastAsia="Calibri" w:cs="Arial"/>
          <w:szCs w:val="20"/>
          <w:lang w:val="sl-SI" w:eastAsia="sl-SI"/>
        </w:rPr>
        <w:t xml:space="preserve">Suša je naraven pojav z izrazito počasnim razvojem, izhaja pa iz primanjkljaja količine padavin v določenem časovnem obdobju. Naravni in človeški sistemi so praviloma prilagojeni razpoložljivim vodnim virom in njihovi prostorski in časovni razporeditvi. Pomanjkanje vode doseže mejo sušnosti, ko se že poznajo vplivi na sicer prilagojene življenjske procese in ko se pojavi občutnejša škoda. Velikost in trajanje škodljivega negativnega odstopanja razpoložljivosti vode pa je odvisna tako od naravnih dejavnikov (časovno obdobje in velikost primanjkljaja padavin) kot od odpornosti okolja do prenašanja posledic suhega obdobja. </w:t>
      </w:r>
    </w:p>
    <w:p w:rsidR="00E71CC6" w:rsidRPr="00E71CC6" w:rsidRDefault="00E71CC6" w:rsidP="00E71CC6">
      <w:pPr>
        <w:spacing w:after="200" w:line="276" w:lineRule="auto"/>
        <w:jc w:val="both"/>
        <w:rPr>
          <w:rFonts w:eastAsia="Calibri" w:cs="Arial"/>
          <w:szCs w:val="20"/>
          <w:lang w:val="sl-SI" w:eastAsia="sl-SI"/>
        </w:rPr>
      </w:pPr>
      <w:r w:rsidRPr="00E71CC6">
        <w:rPr>
          <w:rFonts w:eastAsia="Calibri" w:cs="Arial"/>
          <w:szCs w:val="20"/>
          <w:lang w:val="sl-SI" w:eastAsia="sl-SI"/>
        </w:rPr>
        <w:t>Glede na dolžino trajanja obdobja brez padavin lahko pri suši v splošnem ovrednotimo tri prevladujoče vidike: meteorološki vidik, ki ga opisujemo kot podaljšano obdobje s pomanjkanjem padavin in ga pogosto opredelimo kot zmanjšanje števila dni s padavinami v primerjavi z (»normalnim«) referenčnim obdobjem; hidrološki vidik, ki ga opisujemo kot zmanjšanje količine vode v rekah, jezerih in znižanje gladine podzemne vode; ter kmetijski vidik, ki predstavlja nezadostno količino vode v tleh, ki jo kmetijske rastline potrebujejo za normalen razvoj. Kadar nastopi v času intenzivne rasti in razvoja kmetijskih rastlin, je pridelek zmanjšan ali celo popolnoma uničen.</w:t>
      </w:r>
    </w:p>
    <w:p w:rsidR="00E71CC6" w:rsidRPr="00E71CC6" w:rsidRDefault="00E71CC6" w:rsidP="00696BAE">
      <w:pPr>
        <w:spacing w:after="200" w:line="276" w:lineRule="auto"/>
        <w:jc w:val="both"/>
        <w:rPr>
          <w:rFonts w:eastAsia="Calibri" w:cs="Arial"/>
          <w:szCs w:val="20"/>
          <w:lang w:val="sl-SI" w:eastAsia="sl-SI"/>
        </w:rPr>
      </w:pPr>
      <w:r w:rsidRPr="00E71CC6">
        <w:rPr>
          <w:rFonts w:eastAsia="Calibri" w:cs="Arial"/>
          <w:szCs w:val="20"/>
          <w:lang w:val="sl-SI" w:eastAsia="sl-SI"/>
        </w:rPr>
        <w:t>Prvi in najpomembnejši sektor, ki nosi posledice pojava suše, je kmetijstvo. Kmetijska suša v prvi vrsti pomeni težave z izsušenimi tlemi in posledično sušni stres kmetijskih rastlin. Za detekcijo te vrste suše je najprimernejši indikator, ki meri stopnjo izsušenosti tal – zlasti v Sloveniji, kjer je namakano relativno malo kmetijskih zemljišč. V praksi se kot indikator uporablja tako imenovana površinska vodna bilanca (tudi meteorološka vodna bilanca), torej razlika med količino padavin v določenem obdobju in potencialno izgubo vode iz površja zaradi izhlapevanja in dihanja rastlin – potencialno evapotranspiracijo (Matajc, 2002).</w:t>
      </w:r>
    </w:p>
    <w:p w:rsidR="00E71CC6" w:rsidRPr="00E71CC6" w:rsidRDefault="00E71CC6" w:rsidP="00696BAE">
      <w:pPr>
        <w:spacing w:after="360" w:line="276" w:lineRule="auto"/>
        <w:jc w:val="both"/>
        <w:rPr>
          <w:rFonts w:eastAsia="Calibri" w:cs="Arial"/>
          <w:szCs w:val="20"/>
          <w:lang w:val="sl-SI" w:eastAsia="sl-SI"/>
        </w:rPr>
      </w:pPr>
      <w:r w:rsidRPr="00E71CC6">
        <w:rPr>
          <w:rFonts w:eastAsia="Calibri" w:cs="Arial"/>
          <w:szCs w:val="20"/>
          <w:lang w:val="sl-SI" w:eastAsia="sl-SI"/>
        </w:rPr>
        <w:t xml:space="preserve">V Sloveniji sega spomin na večje suše in z njimi povezana pomanjkanja daleč v pretekla stoletja; vendar pa je sistematično kvantitativno zbiranje podatkov o škodah precej krajše; na Statističnem uradu Republike Slovenije (SURS) je mogoče dobiti podatke o škodah zaradi pojava suše za leta od 2000 naprej. V literaturi pa je mogoče zaslediti podatke o škodah (vsaj v deležu glede na skupne škode zaradi naravnih nesreč) po letu 1990. </w:t>
      </w:r>
    </w:p>
    <w:p w:rsidR="00E71CC6" w:rsidRPr="00E71CC6" w:rsidRDefault="00696BAE" w:rsidP="00E71CC6">
      <w:pPr>
        <w:spacing w:after="200" w:line="276" w:lineRule="auto"/>
        <w:jc w:val="both"/>
        <w:rPr>
          <w:rFonts w:eastAsia="Calibri" w:cs="Arial"/>
          <w:b/>
          <w:szCs w:val="20"/>
          <w:u w:val="single"/>
          <w:lang w:val="sl-SI" w:eastAsia="sl-SI"/>
        </w:rPr>
      </w:pPr>
      <w:r>
        <w:rPr>
          <w:rFonts w:eastAsia="Calibri" w:cs="Arial"/>
          <w:b/>
          <w:szCs w:val="20"/>
          <w:u w:val="single"/>
          <w:lang w:val="sl-SI" w:eastAsia="sl-SI"/>
        </w:rPr>
        <w:t xml:space="preserve">14.6.2 </w:t>
      </w:r>
      <w:r w:rsidR="00E71CC6" w:rsidRPr="00E71CC6">
        <w:rPr>
          <w:rFonts w:eastAsia="Calibri" w:cs="Arial"/>
          <w:b/>
          <w:szCs w:val="20"/>
          <w:u w:val="single"/>
          <w:lang w:val="sl-SI" w:eastAsia="sl-SI"/>
        </w:rPr>
        <w:t>Pregled večjih suš v zadnjem obdobju v Sloveniji</w:t>
      </w:r>
    </w:p>
    <w:p w:rsidR="00E71CC6" w:rsidRPr="00E71CC6" w:rsidRDefault="00E71CC6" w:rsidP="00E71CC6">
      <w:pPr>
        <w:spacing w:after="200" w:line="276" w:lineRule="auto"/>
        <w:jc w:val="both"/>
        <w:rPr>
          <w:rFonts w:eastAsia="Calibri" w:cs="Arial"/>
          <w:szCs w:val="20"/>
          <w:lang w:val="sl-SI" w:eastAsia="sl-SI"/>
        </w:rPr>
      </w:pPr>
      <w:r w:rsidRPr="00E71CC6">
        <w:rPr>
          <w:rFonts w:eastAsia="Calibri" w:cs="Arial"/>
          <w:szCs w:val="20"/>
          <w:lang w:val="sl-SI" w:eastAsia="sl-SI"/>
        </w:rPr>
        <w:t xml:space="preserve">V zadnjih petdesetih letih je suša povzročila kar 18-krat težave s kmetijsko proizvodnjo lokalnih razsežnosti (na območju, ki obsega nekje do 20 občin), regionalnih (na območju več kot ene statistične regije) ali izrazitih nacionalnih razsežnosti in sicer v letih: 1967, 1971, 1976, 1983, 1984, 1988, 1992, 1993, 1994, 2000, 2001, 2003, 2006, 2007, 2010, 2011, 2012 in 2013. V omenjenih letih je bil povprečni kumulativni primanjkljaji vode (negativna vodna bilanca) za kmetijske rastline v poletnem obdobju od junija do konca avgusta v prizadetih regijah večji od 100 mm. Primanjkljaj vode, večji od 100 mm, se je največkrat, 43-krat pojavil na Primorskem, 15-krat v Prekmurju, po 11-krat v Podravju in na Goriškem, v ostalih regijah pa od šest do osemkrat. Leta 2013 se je pojavil tako visok primanjkljaj tudi na Koroškem, kar v preteklosti ni bilo pogosto zabeleženo. Velika škoda se je pojavila dvanajstkrat po letu 1990, od tega kar devetkrat po letu 2000. </w:t>
      </w:r>
    </w:p>
    <w:p w:rsidR="00E71CC6" w:rsidRPr="00E71CC6" w:rsidRDefault="00E71CC6" w:rsidP="00E71CC6">
      <w:pPr>
        <w:spacing w:after="200" w:line="276" w:lineRule="auto"/>
        <w:jc w:val="both"/>
        <w:rPr>
          <w:rFonts w:eastAsia="Calibri" w:cs="Arial"/>
          <w:szCs w:val="20"/>
          <w:lang w:val="sl-SI" w:eastAsia="sl-SI"/>
        </w:rPr>
      </w:pPr>
      <w:r w:rsidRPr="00E71CC6">
        <w:rPr>
          <w:rFonts w:eastAsia="Calibri" w:cs="Arial"/>
          <w:szCs w:val="20"/>
          <w:lang w:val="sl-SI" w:eastAsia="sl-SI"/>
        </w:rPr>
        <w:t>Osnovni vir podatkov o škodi zaradi suše v zadnjih letih je Statistični urad RS (SURS). Na spletnih straneh SURS so navedeni podatki o škodah med leti 2000 in 2008; po letu 2008 SURS žal ne beleži več podatkov o škodi zaradi suše. Zato so za leti 2012 in 2013, ko je bila v Sloveniji suša razglašena za naravno nesrečo, za primerjavo uporabljeni uradni podatki o višini škode (sklep vlade, s katerim je potrjena uradna višina škode; podatek je dostopen na spletnih straneh Agencije RS za kmetijske trge in razvoj podeželja - ARSKTRP). .</w:t>
      </w:r>
    </w:p>
    <w:p w:rsidR="00E71CC6" w:rsidRPr="00E71CC6" w:rsidRDefault="00E71CC6" w:rsidP="00E71CC6">
      <w:pPr>
        <w:spacing w:after="200" w:line="276" w:lineRule="auto"/>
        <w:jc w:val="both"/>
        <w:rPr>
          <w:rFonts w:eastAsia="Calibri" w:cs="Arial"/>
          <w:szCs w:val="20"/>
          <w:lang w:val="sl-SI" w:eastAsia="sl-SI"/>
        </w:rPr>
      </w:pPr>
      <w:r w:rsidRPr="00E71CC6">
        <w:rPr>
          <w:rFonts w:eastAsia="Calibri" w:cs="Arial"/>
          <w:szCs w:val="20"/>
          <w:lang w:val="sl-SI" w:eastAsia="sl-SI"/>
        </w:rPr>
        <w:t xml:space="preserve"> </w:t>
      </w:r>
      <w:r w:rsidRPr="00E71CC6">
        <w:rPr>
          <w:rFonts w:ascii="Calibri" w:hAnsi="Calibri"/>
          <w:noProof/>
          <w:sz w:val="22"/>
          <w:szCs w:val="22"/>
          <w:lang w:val="sl-SI" w:eastAsia="sl-SI"/>
        </w:rPr>
        <w:drawing>
          <wp:inline distT="0" distB="0" distL="0" distR="0" wp14:anchorId="0437A6FF" wp14:editId="660E3C3B">
            <wp:extent cx="4053385" cy="2445163"/>
            <wp:effectExtent l="0" t="0" r="4445" b="0"/>
            <wp:docPr id="225" name="Slika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4091831" cy="2468355"/>
                    </a:xfrm>
                    <a:prstGeom prst="rect">
                      <a:avLst/>
                    </a:prstGeom>
                    <a:noFill/>
                    <a:ln>
                      <a:noFill/>
                    </a:ln>
                  </pic:spPr>
                </pic:pic>
              </a:graphicData>
            </a:graphic>
          </wp:inline>
        </w:drawing>
      </w:r>
    </w:p>
    <w:p w:rsidR="00696BAE" w:rsidRDefault="00E71CC6" w:rsidP="001A509D">
      <w:pPr>
        <w:spacing w:line="276" w:lineRule="auto"/>
        <w:jc w:val="both"/>
        <w:rPr>
          <w:rFonts w:eastAsia="Calibri" w:cs="Arial"/>
          <w:i/>
          <w:szCs w:val="20"/>
          <w:lang w:val="sl-SI" w:eastAsia="sl-SI"/>
        </w:rPr>
      </w:pPr>
      <w:r w:rsidRPr="00696BAE">
        <w:rPr>
          <w:rFonts w:eastAsia="Calibri" w:cs="Arial"/>
          <w:i/>
          <w:szCs w:val="20"/>
          <w:lang w:val="sl-SI" w:eastAsia="sl-SI"/>
        </w:rPr>
        <w:t xml:space="preserve">Slika </w:t>
      </w:r>
      <w:r w:rsidR="00696BAE" w:rsidRPr="00696BAE">
        <w:rPr>
          <w:rFonts w:eastAsia="Calibri" w:cs="Arial"/>
          <w:i/>
          <w:szCs w:val="20"/>
          <w:lang w:val="sl-SI" w:eastAsia="sl-SI"/>
        </w:rPr>
        <w:t>14.19</w:t>
      </w:r>
      <w:r w:rsidRPr="00696BAE">
        <w:rPr>
          <w:rFonts w:eastAsia="Calibri" w:cs="Arial"/>
          <w:i/>
          <w:szCs w:val="20"/>
          <w:lang w:val="sl-SI" w:eastAsia="sl-SI"/>
        </w:rPr>
        <w:t xml:space="preserve">: Škoda zaradi suše v letih 2000 do 2013. </w:t>
      </w:r>
    </w:p>
    <w:p w:rsidR="00E71CC6" w:rsidRPr="001A509D" w:rsidRDefault="00E71CC6" w:rsidP="00E71CC6">
      <w:pPr>
        <w:spacing w:after="200" w:line="276" w:lineRule="auto"/>
        <w:jc w:val="both"/>
        <w:rPr>
          <w:rFonts w:eastAsia="Calibri" w:cs="Arial"/>
          <w:i/>
          <w:sz w:val="18"/>
          <w:szCs w:val="18"/>
          <w:lang w:val="sl-SI" w:eastAsia="sl-SI"/>
        </w:rPr>
      </w:pPr>
      <w:r w:rsidRPr="001A509D">
        <w:rPr>
          <w:rFonts w:eastAsia="Calibri" w:cs="Arial"/>
          <w:i/>
          <w:sz w:val="18"/>
          <w:szCs w:val="18"/>
          <w:lang w:val="sl-SI" w:eastAsia="sl-SI"/>
        </w:rPr>
        <w:t>Vir: SURS, ARSKTRP</w:t>
      </w:r>
    </w:p>
    <w:p w:rsidR="00E71CC6" w:rsidRPr="00E71CC6" w:rsidRDefault="00E71CC6" w:rsidP="00E71CC6">
      <w:pPr>
        <w:spacing w:after="200" w:line="276" w:lineRule="auto"/>
        <w:jc w:val="both"/>
        <w:rPr>
          <w:rFonts w:eastAsia="Calibri" w:cs="Arial"/>
          <w:szCs w:val="20"/>
          <w:lang w:val="sl-SI" w:eastAsia="sl-SI"/>
        </w:rPr>
      </w:pPr>
      <w:r w:rsidRPr="00E71CC6">
        <w:rPr>
          <w:rFonts w:eastAsia="Calibri" w:cs="Arial"/>
          <w:szCs w:val="20"/>
          <w:lang w:val="sl-SI" w:eastAsia="sl-SI"/>
        </w:rPr>
        <w:t xml:space="preserve">Med najbolj perečimi je bilo </w:t>
      </w:r>
      <w:r w:rsidRPr="00E71CC6">
        <w:rPr>
          <w:rFonts w:eastAsia="Calibri" w:cs="Arial"/>
          <w:szCs w:val="20"/>
          <w:u w:val="single"/>
          <w:lang w:val="sl-SI" w:eastAsia="sl-SI"/>
        </w:rPr>
        <w:t>leto 2003</w:t>
      </w:r>
      <w:r w:rsidRPr="00E71CC6">
        <w:rPr>
          <w:rFonts w:eastAsia="Calibri" w:cs="Arial"/>
          <w:szCs w:val="20"/>
          <w:lang w:val="sl-SI" w:eastAsia="sl-SI"/>
        </w:rPr>
        <w:t>, ko je več kot 60 % slovenskega ozemlja prizadela ekstremno huda suša. Kot ugotavljata Sušnik in Kurnik (2004), smo beležili rekordni primanjkljaj vode v tleh za kmetijske rastline v vseh kmetijsko-pridelovalnih regijah v Sloveniji. Poleg poletne suše, ki je najpogostejši pojav predvsem v severovzhodni Sloveniji in na Primorskem, se je kmetijstvo spopadalo z izjemno hudo zgodnjo spomladansko sušo, ki se je razvlekla v pozno poletje, v večjem delu Slovenije. V obdobju od marca do avgusta je rastlinam primanjkovalo od 260 do 570 mm vode. Normalen razvoj rastlin so poleg pomanjkanja vode in povečane stopnje izhlapevanja močno oteževale še ekstremno visoke temperature zraka, kar je poleg sušnega pogojevalo še vročinski stres. Škoda po suši je bila beležena na več kot 60 % vseh kmetijskih površin v Sloveniji. Skupna do avgusta 2003 ocenjena neposredna škoda po opravljenih verifikacijskih postopkih in medresorskem usklajevanju je bila ocenjena na približno 103 milijone evrov. Značilnost poletja 2003 je bil tudi opazen vročinski stres, ki je nastopil po dalj časa trajajočem obdobju z ekstremno vročino, kar je povzročilo ireverzibilne poškodbe pri rasti in razvoju rastlin. Visoke temperature so povečevale stopnjo reproduktivnega razvoja in na ta način skrajševale čas za aktivno oskrbo s fotosintezo.</w:t>
      </w:r>
    </w:p>
    <w:p w:rsidR="00E71CC6" w:rsidRPr="00E71CC6" w:rsidRDefault="00E71CC6" w:rsidP="00E71CC6">
      <w:pPr>
        <w:spacing w:after="200" w:line="276" w:lineRule="auto"/>
        <w:jc w:val="both"/>
        <w:rPr>
          <w:rFonts w:eastAsia="Calibri" w:cs="Arial"/>
          <w:szCs w:val="20"/>
          <w:lang w:val="sl-SI" w:eastAsia="sl-SI"/>
        </w:rPr>
      </w:pPr>
      <w:r w:rsidRPr="00107DE0">
        <w:rPr>
          <w:rFonts w:eastAsia="Calibri" w:cs="Arial"/>
          <w:szCs w:val="20"/>
          <w:lang w:val="sl-SI" w:eastAsia="sl-SI"/>
        </w:rPr>
        <w:t xml:space="preserve">V obdobju od začetka marca do zadnjih dni avgusta je bil skupni primanjkljaj v meteorološki vodni bilanci na Primorskem blizu 500 mm, med 400 in 450 mm na Goriškem, v Prekmurju, na Celjskem, Dolenjskem in Štajerskem in v osrednji Sloveniji okoli 350 mm. Leto 2003 je v vseh regijah preseglo takratne ekstremne dolgoletne vrednosti; v obdobju  zadnjih petdesetih let pred letom 2003 še nismo beležili tako visokega vodnega primanjkljaja v tem obdobju. Slaba oskrba rastlin z vodo, kjer seveda to niso reševali z namakanjem, je presegala vse rekorde. Na sliki </w:t>
      </w:r>
      <w:r w:rsidR="00107DE0" w:rsidRPr="00107DE0">
        <w:rPr>
          <w:rFonts w:eastAsia="Calibri" w:cs="Arial"/>
          <w:szCs w:val="20"/>
          <w:lang w:val="sl-SI" w:eastAsia="sl-SI"/>
        </w:rPr>
        <w:t>14.</w:t>
      </w:r>
      <w:r w:rsidRPr="00107DE0">
        <w:rPr>
          <w:rFonts w:eastAsia="Calibri" w:cs="Arial"/>
          <w:szCs w:val="20"/>
          <w:lang w:val="sl-SI" w:eastAsia="sl-SI"/>
        </w:rPr>
        <w:t>2</w:t>
      </w:r>
      <w:r w:rsidR="00107DE0" w:rsidRPr="00107DE0">
        <w:rPr>
          <w:rFonts w:eastAsia="Calibri" w:cs="Arial"/>
          <w:szCs w:val="20"/>
          <w:lang w:val="sl-SI" w:eastAsia="sl-SI"/>
        </w:rPr>
        <w:t>0</w:t>
      </w:r>
      <w:r w:rsidRPr="00107DE0">
        <w:rPr>
          <w:rFonts w:eastAsia="Calibri" w:cs="Arial"/>
          <w:szCs w:val="20"/>
          <w:lang w:val="sl-SI" w:eastAsia="sl-SI"/>
        </w:rPr>
        <w:t xml:space="preserve"> je iz analize, ki sta jo v Ujmi objavila Sušnik in Kurnik (2004) s pomočjo do takrat zbranih podatkov, razvidno, da so bile razmere dejansko ekstremne.</w:t>
      </w:r>
    </w:p>
    <w:p w:rsidR="00E71CC6" w:rsidRPr="00E71CC6" w:rsidRDefault="00E71CC6" w:rsidP="00E71CC6">
      <w:pPr>
        <w:spacing w:after="200" w:line="276" w:lineRule="auto"/>
        <w:jc w:val="both"/>
        <w:rPr>
          <w:rFonts w:eastAsia="Calibri" w:cs="Arial"/>
          <w:szCs w:val="20"/>
          <w:lang w:val="sl-SI" w:eastAsia="sl-SI"/>
        </w:rPr>
      </w:pPr>
      <w:r w:rsidRPr="00E71CC6">
        <w:rPr>
          <w:rFonts w:ascii="Calibri" w:hAnsi="Calibri"/>
          <w:noProof/>
          <w:sz w:val="22"/>
          <w:szCs w:val="22"/>
          <w:lang w:val="sl-SI" w:eastAsia="sl-SI"/>
        </w:rPr>
        <w:drawing>
          <wp:inline distT="0" distB="0" distL="0" distR="0" wp14:anchorId="4B299B18" wp14:editId="162FC4A2">
            <wp:extent cx="5748655" cy="2075180"/>
            <wp:effectExtent l="0" t="0" r="4445" b="1270"/>
            <wp:docPr id="227" name="Slika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5748655" cy="2075180"/>
                    </a:xfrm>
                    <a:prstGeom prst="rect">
                      <a:avLst/>
                    </a:prstGeom>
                    <a:noFill/>
                    <a:ln>
                      <a:noFill/>
                    </a:ln>
                  </pic:spPr>
                </pic:pic>
              </a:graphicData>
            </a:graphic>
          </wp:inline>
        </w:drawing>
      </w:r>
    </w:p>
    <w:p w:rsidR="001A509D" w:rsidRDefault="00E71CC6" w:rsidP="001A509D">
      <w:pPr>
        <w:spacing w:line="276" w:lineRule="auto"/>
        <w:jc w:val="both"/>
        <w:rPr>
          <w:rFonts w:eastAsia="Calibri" w:cs="Arial"/>
          <w:i/>
          <w:szCs w:val="20"/>
          <w:lang w:val="sl-SI" w:eastAsia="sl-SI"/>
        </w:rPr>
      </w:pPr>
      <w:r w:rsidRPr="001A509D">
        <w:rPr>
          <w:rFonts w:eastAsia="Calibri" w:cs="Arial"/>
          <w:i/>
          <w:szCs w:val="20"/>
          <w:lang w:val="sl-SI" w:eastAsia="sl-SI"/>
        </w:rPr>
        <w:t xml:space="preserve">Slika </w:t>
      </w:r>
      <w:r w:rsidR="001A509D" w:rsidRPr="001A509D">
        <w:rPr>
          <w:rFonts w:eastAsia="Calibri" w:cs="Arial"/>
          <w:i/>
          <w:szCs w:val="20"/>
          <w:lang w:val="sl-SI" w:eastAsia="sl-SI"/>
        </w:rPr>
        <w:t>14.20</w:t>
      </w:r>
      <w:r w:rsidRPr="001A509D">
        <w:rPr>
          <w:rFonts w:eastAsia="Calibri" w:cs="Arial"/>
          <w:i/>
          <w:szCs w:val="20"/>
          <w:lang w:val="sl-SI" w:eastAsia="sl-SI"/>
        </w:rPr>
        <w:t>: Primerjava kumulativne vodne bilance (v mm) za obdobje od marca do konca avgusta 2003 v primerjavi s povprečjem 1961 - 2002 in suhim letom 2001 za osem meteoroloških postaj v Sloveniji.</w:t>
      </w:r>
      <w:r w:rsidRPr="00E71CC6">
        <w:rPr>
          <w:rFonts w:eastAsia="Calibri" w:cs="Arial"/>
          <w:i/>
          <w:szCs w:val="20"/>
          <w:lang w:val="sl-SI" w:eastAsia="sl-SI"/>
        </w:rPr>
        <w:t xml:space="preserve"> </w:t>
      </w:r>
    </w:p>
    <w:p w:rsidR="00E71CC6" w:rsidRPr="001A509D" w:rsidRDefault="001A509D" w:rsidP="00E71CC6">
      <w:pPr>
        <w:spacing w:after="200" w:line="276" w:lineRule="auto"/>
        <w:jc w:val="both"/>
        <w:rPr>
          <w:rFonts w:eastAsia="Calibri" w:cs="Arial"/>
          <w:sz w:val="18"/>
          <w:szCs w:val="18"/>
          <w:lang w:val="sl-SI" w:eastAsia="sl-SI"/>
        </w:rPr>
      </w:pPr>
      <w:r w:rsidRPr="001A509D">
        <w:rPr>
          <w:rFonts w:eastAsia="Calibri" w:cs="Arial"/>
          <w:sz w:val="18"/>
          <w:szCs w:val="18"/>
          <w:lang w:val="sl-SI" w:eastAsia="sl-SI"/>
        </w:rPr>
        <w:t>V</w:t>
      </w:r>
      <w:r w:rsidR="00E71CC6" w:rsidRPr="001A509D">
        <w:rPr>
          <w:rFonts w:eastAsia="Calibri" w:cs="Arial"/>
          <w:sz w:val="18"/>
          <w:szCs w:val="18"/>
          <w:lang w:val="sl-SI" w:eastAsia="sl-SI"/>
        </w:rPr>
        <w:t>ir: Sušnik in Kurnik, 2004</w:t>
      </w:r>
    </w:p>
    <w:p w:rsidR="00E71CC6" w:rsidRPr="00E71CC6" w:rsidRDefault="00E71CC6" w:rsidP="00E71CC6">
      <w:pPr>
        <w:spacing w:after="200" w:line="276" w:lineRule="auto"/>
        <w:jc w:val="both"/>
        <w:rPr>
          <w:rFonts w:eastAsia="Calibri" w:cs="Arial"/>
          <w:szCs w:val="20"/>
          <w:lang w:val="sl-SI" w:eastAsia="sl-SI"/>
        </w:rPr>
      </w:pPr>
      <w:r w:rsidRPr="00E71CC6">
        <w:rPr>
          <w:rFonts w:eastAsia="Calibri" w:cs="Arial"/>
          <w:szCs w:val="20"/>
          <w:lang w:val="sl-SI" w:eastAsia="sl-SI"/>
        </w:rPr>
        <w:t xml:space="preserve">Tudi v </w:t>
      </w:r>
      <w:r w:rsidRPr="00E71CC6">
        <w:rPr>
          <w:rFonts w:eastAsia="Calibri" w:cs="Arial"/>
          <w:szCs w:val="20"/>
          <w:u w:val="single"/>
          <w:lang w:val="sl-SI" w:eastAsia="sl-SI"/>
        </w:rPr>
        <w:t>letu 2013</w:t>
      </w:r>
      <w:r w:rsidRPr="00E71CC6">
        <w:rPr>
          <w:rFonts w:eastAsia="Calibri" w:cs="Arial"/>
          <w:szCs w:val="20"/>
          <w:lang w:val="sl-SI" w:eastAsia="sl-SI"/>
        </w:rPr>
        <w:t xml:space="preserve"> je bila suša razglašena za naravno nesrečo. V začetku vegetacijske sezone leta 2013 so bila sicer kmetijska zemljišča namočena (ponekod celo prenamočena), v večjem delu Slovenije pa je tako stanje trajalo vse do začetka poletja. Občutno pomanjkanje vode v tleh se je začelo v prvi dekadi junija 2013, zlasti na obalnem območju, nekoliko pozneje tudi v severovzhodni Sloveniji. Do konca druge dekade avgusta so ocene sušnosti na teh dveh območjih že dosegle skrajne vrednosti, sušne razmere pa so se razširile še v druge dele države.</w:t>
      </w:r>
    </w:p>
    <w:p w:rsidR="00E71CC6" w:rsidRPr="001A509D" w:rsidRDefault="00E71CC6" w:rsidP="00E71CC6">
      <w:pPr>
        <w:spacing w:after="200" w:line="276" w:lineRule="auto"/>
        <w:jc w:val="both"/>
        <w:rPr>
          <w:rFonts w:eastAsia="Calibri" w:cs="Arial"/>
          <w:szCs w:val="20"/>
          <w:lang w:val="sl-SI" w:eastAsia="sl-SI"/>
        </w:rPr>
      </w:pPr>
      <w:r w:rsidRPr="00E71CC6">
        <w:rPr>
          <w:rFonts w:eastAsia="Calibri" w:cs="Arial"/>
          <w:szCs w:val="20"/>
          <w:lang w:val="sl-SI" w:eastAsia="sl-SI"/>
        </w:rPr>
        <w:t xml:space="preserve">Od junija do konca druge dekade avgusta je v večjem delu Slovenije padlo manj kot 50 % dolgoletnih padavin, ponekod okoli 50 %, le na severozahodu države nekoliko več. Glede na sušni leti 2003 in 2012 je v primerljivem obdobju na novomeškem in mariborskem območju, v osrednji Sloveniji in na Koroškem padlo manj padavin kakor v izbranih suhih letih. Še posebno suh je bil julij, deževalo je večinoma le v plohah in nevihtah. V avgustu je v večjem delu osrednje in vzhodne Slovenije padlo od 20 do 30 mm, največ, okoli 50 mm, pa so namerili v delu severovzhodne Slovenije. Količina padavin je bila premajhna, da bi se popravilo vodno stanje. Niti v severovzhodni Sloveniji niso obnovile povsem izčrpanega talnega vodnega rezervoarja. Zato so bile kmetijske rastline vse do zadnjega tedna v avgustu v močnem sušnem stresu. S prekinitvijo vročinskega vala je nekoliko popustil le vročinski stres. Da so bile razmere podobne kot v letu 2003, kaže tudi diagram z deležem padavin, ki so padle na posameznih meteoroloških postajah v letih 2003, 2012 </w:t>
      </w:r>
      <w:r w:rsidRPr="001A509D">
        <w:rPr>
          <w:rFonts w:eastAsia="Calibri" w:cs="Arial"/>
          <w:szCs w:val="20"/>
          <w:lang w:val="sl-SI" w:eastAsia="sl-SI"/>
        </w:rPr>
        <w:t xml:space="preserve">in 2013 (slika </w:t>
      </w:r>
      <w:r w:rsidR="001A509D" w:rsidRPr="001A509D">
        <w:rPr>
          <w:rFonts w:eastAsia="Calibri" w:cs="Arial"/>
          <w:szCs w:val="20"/>
          <w:lang w:val="sl-SI" w:eastAsia="sl-SI"/>
        </w:rPr>
        <w:t>14.21</w:t>
      </w:r>
      <w:r w:rsidRPr="001A509D">
        <w:rPr>
          <w:rFonts w:eastAsia="Calibri" w:cs="Arial"/>
          <w:szCs w:val="20"/>
          <w:lang w:val="sl-SI" w:eastAsia="sl-SI"/>
        </w:rPr>
        <w:t>).</w:t>
      </w:r>
    </w:p>
    <w:p w:rsidR="00E71CC6" w:rsidRPr="001A509D" w:rsidRDefault="00E71CC6" w:rsidP="00E71CC6">
      <w:pPr>
        <w:spacing w:after="200" w:line="276" w:lineRule="auto"/>
        <w:jc w:val="both"/>
        <w:rPr>
          <w:rFonts w:eastAsia="Calibri" w:cs="Arial"/>
          <w:i/>
          <w:szCs w:val="20"/>
          <w:lang w:val="sl-SI" w:eastAsia="sl-SI"/>
        </w:rPr>
      </w:pPr>
      <w:r w:rsidRPr="00E71CC6">
        <w:rPr>
          <w:rFonts w:ascii="Calibri" w:hAnsi="Calibri"/>
          <w:noProof/>
          <w:sz w:val="22"/>
          <w:szCs w:val="22"/>
          <w:lang w:val="sl-SI" w:eastAsia="sl-SI"/>
        </w:rPr>
        <w:drawing>
          <wp:inline distT="0" distB="0" distL="0" distR="0" wp14:anchorId="41973752" wp14:editId="61320EAB">
            <wp:extent cx="5756910" cy="2298065"/>
            <wp:effectExtent l="0" t="0" r="0" b="6985"/>
            <wp:docPr id="228" name="Slika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756910" cy="2298065"/>
                    </a:xfrm>
                    <a:prstGeom prst="rect">
                      <a:avLst/>
                    </a:prstGeom>
                    <a:noFill/>
                    <a:ln>
                      <a:noFill/>
                    </a:ln>
                  </pic:spPr>
                </pic:pic>
              </a:graphicData>
            </a:graphic>
          </wp:inline>
        </w:drawing>
      </w:r>
      <w:r w:rsidRPr="001A509D">
        <w:rPr>
          <w:rFonts w:eastAsia="Calibri" w:cs="Arial"/>
          <w:i/>
          <w:szCs w:val="20"/>
          <w:lang w:val="sl-SI" w:eastAsia="sl-SI"/>
        </w:rPr>
        <w:t xml:space="preserve">Slika </w:t>
      </w:r>
      <w:r w:rsidR="001A509D" w:rsidRPr="001A509D">
        <w:rPr>
          <w:rFonts w:eastAsia="Calibri" w:cs="Arial"/>
          <w:i/>
          <w:szCs w:val="20"/>
          <w:lang w:val="sl-SI" w:eastAsia="sl-SI"/>
        </w:rPr>
        <w:t>14.21:</w:t>
      </w:r>
      <w:r w:rsidRPr="001A509D">
        <w:rPr>
          <w:rFonts w:eastAsia="Calibri" w:cs="Arial"/>
          <w:i/>
          <w:szCs w:val="20"/>
          <w:lang w:val="sl-SI" w:eastAsia="sl-SI"/>
        </w:rPr>
        <w:t xml:space="preserve"> Delež padavin od 1. junija do 20. avgusta glede na dolgoletno povprečje 1971–2000 v sušnih letih 2003, 2012 in 2013</w:t>
      </w:r>
    </w:p>
    <w:p w:rsidR="00E71CC6" w:rsidRPr="00E71CC6" w:rsidRDefault="00E71CC6" w:rsidP="00E71CC6">
      <w:pPr>
        <w:spacing w:after="200" w:line="276" w:lineRule="auto"/>
        <w:jc w:val="both"/>
        <w:rPr>
          <w:rFonts w:eastAsia="Calibri" w:cs="Arial"/>
          <w:szCs w:val="20"/>
          <w:lang w:val="sl-SI" w:eastAsia="sl-SI"/>
        </w:rPr>
      </w:pPr>
      <w:r w:rsidRPr="00E71CC6">
        <w:rPr>
          <w:rFonts w:eastAsia="Calibri" w:cs="Arial"/>
          <w:szCs w:val="20"/>
          <w:lang w:val="sl-SI" w:eastAsia="sl-SI"/>
        </w:rPr>
        <w:t>Od začetka vegetacijske sezone (od 1. aprila) je skupna površinska vodna bilanca že konec julija, ponekod pa v začetku avgusta presegla različne razrede sušnosti. V večjem delu države je bila presežena ocena suho (kar je slabše od dolgoletnega povprečja), v vzhodni in severovzhodni Sloveniji pa so se ocene povzpele nad zelo suho oziroma so se, zlasti v severovzhodni Sloveniji, približale sušnim razmeram v letu 2003, ko je državo pestila najhujša suša v zadnjih petdesetih letih.</w:t>
      </w:r>
    </w:p>
    <w:p w:rsidR="00E71CC6" w:rsidRPr="00E71CC6" w:rsidRDefault="00E71CC6" w:rsidP="00E71CC6">
      <w:pPr>
        <w:spacing w:after="200" w:line="276" w:lineRule="auto"/>
        <w:jc w:val="both"/>
        <w:rPr>
          <w:rFonts w:eastAsia="Calibri" w:cs="Arial"/>
          <w:szCs w:val="20"/>
          <w:lang w:val="sl-SI" w:eastAsia="sl-SI"/>
        </w:rPr>
      </w:pPr>
      <w:r w:rsidRPr="00E71CC6">
        <w:rPr>
          <w:rFonts w:eastAsia="Calibri" w:cs="Arial"/>
          <w:szCs w:val="20"/>
          <w:lang w:val="sl-SI" w:eastAsia="sl-SI"/>
        </w:rPr>
        <w:t>Tudi zabeležena škoda je bila presenetljivo podobna kot v letu 2003. Ocena neposredne škode v tekoči kmetijski proizvodnji v letu 2013 je bila izdelana na podlagi poročil občinskih, regijskih in državne komisije za ocenjevanje škode. Suša je v 194 občinah prizadela 25.764 oškodovancev na skupaj 185.550,85 ha kmetijskih površin Skupna ocenjena neposredna škoda zaradi suše na kmetijskih kulturah, ki so bile poškodovane več kot 30-odstotno, je ugotovljena v višini 106.205.331,06 evrov.</w:t>
      </w:r>
    </w:p>
    <w:p w:rsidR="00E71CC6" w:rsidRPr="00E71CC6" w:rsidRDefault="001A509D" w:rsidP="00E71CC6">
      <w:pPr>
        <w:spacing w:after="200" w:line="276" w:lineRule="auto"/>
        <w:jc w:val="both"/>
        <w:rPr>
          <w:rFonts w:eastAsia="Calibri" w:cs="Arial"/>
          <w:b/>
          <w:szCs w:val="20"/>
          <w:u w:val="single"/>
          <w:lang w:val="sl-SI" w:eastAsia="sl-SI"/>
        </w:rPr>
      </w:pPr>
      <w:r>
        <w:rPr>
          <w:rFonts w:eastAsia="Calibri" w:cs="Arial"/>
          <w:b/>
          <w:szCs w:val="20"/>
          <w:u w:val="single"/>
          <w:lang w:val="sl-SI" w:eastAsia="sl-SI"/>
        </w:rPr>
        <w:t xml:space="preserve">14.6.3 </w:t>
      </w:r>
      <w:r w:rsidR="00E71CC6" w:rsidRPr="00E71CC6">
        <w:rPr>
          <w:rFonts w:eastAsia="Calibri" w:cs="Arial"/>
          <w:b/>
          <w:szCs w:val="20"/>
          <w:u w:val="single"/>
          <w:lang w:val="sl-SI" w:eastAsia="sl-SI"/>
        </w:rPr>
        <w:t>Obvladovanje suše</w:t>
      </w:r>
    </w:p>
    <w:p w:rsidR="00E71CC6" w:rsidRPr="00E71CC6" w:rsidRDefault="00E71CC6" w:rsidP="00E71CC6">
      <w:pPr>
        <w:spacing w:after="200" w:line="276" w:lineRule="auto"/>
        <w:jc w:val="both"/>
        <w:rPr>
          <w:rFonts w:eastAsia="Calibri" w:cs="Arial"/>
          <w:szCs w:val="20"/>
          <w:lang w:val="sl-SI" w:eastAsia="sl-SI"/>
        </w:rPr>
      </w:pPr>
      <w:r w:rsidRPr="00E71CC6">
        <w:rPr>
          <w:rFonts w:eastAsia="Calibri" w:cs="Arial"/>
          <w:szCs w:val="20"/>
          <w:lang w:val="sl-SI" w:eastAsia="sl-SI"/>
        </w:rPr>
        <w:t xml:space="preserve">Razmeroma pogosto pojavljanje suše, stopnjevanje intenzitete in frekvence suše ob prelomu stoletja in sorazmerno natančni podatki o skupni škodi zaradi suše omogočajo precej natančno sliko o tveganjih, povezanih s sušo, zlasti v kmetijstvu. Kot je pokazala standardizirana ocena tveganja pojava posledic suše, je tveganje zmerno in relativno manjše v primerjavi z najbolj »škodonosno« naravno nesrečo, poplavami. To razmerje pa se v luči podnebnih sprememb lahko v prihodnjih desetletjih spremeni. </w:t>
      </w:r>
    </w:p>
    <w:p w:rsidR="00E71CC6" w:rsidRPr="00E71CC6" w:rsidRDefault="00E71CC6" w:rsidP="001A509D">
      <w:pPr>
        <w:spacing w:after="360" w:line="276" w:lineRule="auto"/>
        <w:jc w:val="both"/>
        <w:rPr>
          <w:rFonts w:eastAsia="Calibri" w:cs="Arial"/>
          <w:szCs w:val="20"/>
          <w:lang w:val="sl-SI" w:eastAsia="sl-SI"/>
        </w:rPr>
      </w:pPr>
      <w:r w:rsidRPr="00E71CC6">
        <w:rPr>
          <w:rFonts w:eastAsia="Calibri" w:cs="Arial"/>
          <w:szCs w:val="20"/>
          <w:lang w:val="sl-SI" w:eastAsia="sl-SI"/>
        </w:rPr>
        <w:t>Zaradi pogostosti suše v zadnjih letih je potrebno posvetiti več pozornosti zmanjševanju ranljivosti družbe in gospodarstva. Glede na pretekle škode je v prvi vrsti potrebno zmanjšati ranljivost kmetijstva na pojav vročinskih valov in deficita količine padavin zlasti v poletnih mesecih. Pristojne institucije kot možna ukrepa promovirajo bolj intenzivno namakanje (ki je v primerjavi zlasti s sredozemskimi državami še vedno zelo slabo razvito) in tudi rajonizacijo pridelave na sušo bolj občutljivih kmetijskih kultur glede na naravne pogoje.</w:t>
      </w:r>
    </w:p>
    <w:p w:rsidR="003C1B05" w:rsidRPr="005771BD" w:rsidRDefault="001A509D" w:rsidP="003C1B05">
      <w:pPr>
        <w:spacing w:after="200" w:line="276" w:lineRule="auto"/>
        <w:jc w:val="both"/>
        <w:rPr>
          <w:rFonts w:eastAsia="Calibri" w:cs="Arial"/>
          <w:b/>
          <w:szCs w:val="20"/>
          <w:u w:val="single"/>
          <w:lang w:val="sl-SI"/>
        </w:rPr>
      </w:pPr>
      <w:r>
        <w:rPr>
          <w:rFonts w:eastAsia="Calibri" w:cs="Arial"/>
          <w:b/>
          <w:szCs w:val="20"/>
          <w:u w:val="single"/>
          <w:lang w:val="sl-SI"/>
        </w:rPr>
        <w:t>14</w:t>
      </w:r>
      <w:r w:rsidR="003C1B05" w:rsidRPr="005771BD">
        <w:rPr>
          <w:rFonts w:eastAsia="Calibri" w:cs="Arial"/>
          <w:b/>
          <w:szCs w:val="20"/>
          <w:u w:val="single"/>
          <w:lang w:val="sl-SI"/>
        </w:rPr>
        <w:t>.</w:t>
      </w:r>
      <w:r w:rsidR="00E71CC6">
        <w:rPr>
          <w:rFonts w:eastAsia="Calibri" w:cs="Arial"/>
          <w:b/>
          <w:szCs w:val="20"/>
          <w:u w:val="single"/>
          <w:lang w:val="sl-SI"/>
        </w:rPr>
        <w:t>7</w:t>
      </w:r>
      <w:r w:rsidR="003C1B05" w:rsidRPr="005771BD">
        <w:rPr>
          <w:rFonts w:eastAsia="Calibri" w:cs="Arial"/>
          <w:b/>
          <w:szCs w:val="20"/>
          <w:u w:val="single"/>
          <w:lang w:val="sl-SI"/>
        </w:rPr>
        <w:t xml:space="preserve"> Viri in literatura</w:t>
      </w:r>
    </w:p>
    <w:p w:rsidR="003C1B05" w:rsidRPr="005771BD" w:rsidRDefault="003C1B05" w:rsidP="003C1B05">
      <w:pPr>
        <w:spacing w:before="120" w:line="276" w:lineRule="auto"/>
        <w:jc w:val="both"/>
        <w:rPr>
          <w:rFonts w:eastAsia="Calibri" w:cs="Arial"/>
          <w:szCs w:val="20"/>
          <w:lang w:val="sl-SI"/>
        </w:rPr>
      </w:pPr>
      <w:r w:rsidRPr="005771BD">
        <w:rPr>
          <w:rFonts w:eastAsia="Calibri" w:cs="Arial"/>
          <w:szCs w:val="20"/>
          <w:lang w:val="sl-SI"/>
        </w:rPr>
        <w:t xml:space="preserve">ARSO. </w:t>
      </w:r>
      <w:r w:rsidRPr="005771BD">
        <w:rPr>
          <w:rFonts w:eastAsia="Calibri" w:cs="Arial"/>
          <w:i/>
          <w:szCs w:val="20"/>
          <w:lang w:val="sl-SI"/>
        </w:rPr>
        <w:t>Hidrološko poročilo o poplavah v dneh med 4. in 6. novembrom 2012</w:t>
      </w:r>
    </w:p>
    <w:p w:rsidR="003C1B05" w:rsidRPr="005771BD" w:rsidRDefault="003C1B05" w:rsidP="003C1B05">
      <w:pPr>
        <w:spacing w:before="120" w:line="276" w:lineRule="auto"/>
        <w:jc w:val="both"/>
        <w:rPr>
          <w:rFonts w:eastAsia="Calibri" w:cs="Arial"/>
          <w:szCs w:val="20"/>
          <w:lang w:val="sl-SI"/>
        </w:rPr>
      </w:pPr>
      <w:r w:rsidRPr="005771BD">
        <w:rPr>
          <w:rFonts w:eastAsia="Calibri" w:cs="Arial"/>
          <w:szCs w:val="20"/>
          <w:lang w:val="sl-SI"/>
        </w:rPr>
        <w:t xml:space="preserve">ARSO. </w:t>
      </w:r>
      <w:r w:rsidRPr="005771BD">
        <w:rPr>
          <w:rFonts w:eastAsia="Calibri" w:cs="Arial"/>
          <w:i/>
          <w:szCs w:val="20"/>
          <w:lang w:val="sl-SI"/>
        </w:rPr>
        <w:t>Hidrološko poročilo o povodnji v dneh od 17. do 21.</w:t>
      </w:r>
      <w:r>
        <w:rPr>
          <w:rFonts w:eastAsia="Calibri" w:cs="Arial"/>
          <w:i/>
          <w:szCs w:val="20"/>
          <w:lang w:val="sl-SI"/>
        </w:rPr>
        <w:t xml:space="preserve"> </w:t>
      </w:r>
      <w:r w:rsidRPr="005771BD">
        <w:rPr>
          <w:rFonts w:eastAsia="Calibri" w:cs="Arial"/>
          <w:i/>
          <w:szCs w:val="20"/>
          <w:lang w:val="sl-SI"/>
        </w:rPr>
        <w:t>9. 2010</w:t>
      </w:r>
    </w:p>
    <w:p w:rsidR="003C1B05" w:rsidRPr="005771BD" w:rsidRDefault="003C1B05" w:rsidP="003C1B05">
      <w:pPr>
        <w:spacing w:before="120" w:line="276" w:lineRule="auto"/>
        <w:jc w:val="both"/>
        <w:rPr>
          <w:rFonts w:eastAsia="Calibri" w:cs="Arial"/>
          <w:szCs w:val="20"/>
          <w:lang w:val="sl-SI"/>
        </w:rPr>
      </w:pPr>
      <w:r w:rsidRPr="005771BD">
        <w:rPr>
          <w:rFonts w:eastAsia="Calibri" w:cs="Arial"/>
          <w:szCs w:val="20"/>
          <w:lang w:val="sl-SI"/>
        </w:rPr>
        <w:t xml:space="preserve">Čarman, M., Živčić, M., Ložar-Stopar, M., 2016. </w:t>
      </w:r>
      <w:r w:rsidRPr="005771BD">
        <w:rPr>
          <w:rFonts w:eastAsia="Calibri" w:cs="Arial"/>
          <w:i/>
          <w:szCs w:val="20"/>
          <w:lang w:val="sl-SI"/>
        </w:rPr>
        <w:t>Potresni niz v Suhi krajini v letih 2013 in 2014</w:t>
      </w:r>
      <w:r w:rsidRPr="005771BD">
        <w:rPr>
          <w:rFonts w:eastAsia="Calibri" w:cs="Arial"/>
          <w:szCs w:val="20"/>
          <w:lang w:val="sl-SI"/>
        </w:rPr>
        <w:t xml:space="preserve">. </w:t>
      </w:r>
      <w:r w:rsidRPr="005771BD">
        <w:rPr>
          <w:rFonts w:eastAsia="Calibri" w:cs="Arial"/>
          <w:i/>
          <w:szCs w:val="20"/>
          <w:lang w:val="sl-SI"/>
        </w:rPr>
        <w:t>Potresi v letu 2014</w:t>
      </w:r>
      <w:r w:rsidRPr="005771BD">
        <w:rPr>
          <w:rFonts w:eastAsia="Calibri" w:cs="Arial"/>
          <w:szCs w:val="20"/>
          <w:lang w:val="sl-SI"/>
        </w:rPr>
        <w:t xml:space="preserve"> (ur. A. Gosar). Ljubljana: ARSO, Urad za seizmologijo in geologijo</w:t>
      </w:r>
    </w:p>
    <w:p w:rsidR="003C1B05" w:rsidRPr="005771BD" w:rsidRDefault="003C1B05" w:rsidP="003C1B05">
      <w:pPr>
        <w:spacing w:before="120" w:line="276" w:lineRule="auto"/>
        <w:jc w:val="both"/>
        <w:rPr>
          <w:rFonts w:eastAsia="Calibri" w:cs="Arial"/>
          <w:i/>
          <w:color w:val="000000"/>
          <w:szCs w:val="20"/>
          <w:lang w:val="sl-SI"/>
        </w:rPr>
      </w:pPr>
      <w:r w:rsidRPr="005771BD">
        <w:rPr>
          <w:rFonts w:eastAsia="Calibri" w:cs="Arial"/>
          <w:color w:val="000000"/>
          <w:szCs w:val="20"/>
          <w:lang w:val="sl-SI"/>
        </w:rPr>
        <w:t>Geoinženiring</w:t>
      </w:r>
      <w:r>
        <w:rPr>
          <w:rFonts w:eastAsia="Calibri" w:cs="Arial"/>
          <w:color w:val="000000"/>
          <w:szCs w:val="20"/>
          <w:lang w:val="sl-SI"/>
        </w:rPr>
        <w:t>,</w:t>
      </w:r>
      <w:r w:rsidRPr="005771BD">
        <w:rPr>
          <w:rFonts w:eastAsia="Calibri" w:cs="Arial"/>
          <w:color w:val="000000"/>
          <w:szCs w:val="20"/>
          <w:lang w:val="sl-SI"/>
        </w:rPr>
        <w:t xml:space="preserve"> d.</w:t>
      </w:r>
      <w:r>
        <w:rPr>
          <w:rFonts w:eastAsia="Calibri" w:cs="Arial"/>
          <w:color w:val="000000"/>
          <w:szCs w:val="20"/>
          <w:lang w:val="sl-SI"/>
        </w:rPr>
        <w:t xml:space="preserve"> </w:t>
      </w:r>
      <w:r w:rsidRPr="005771BD">
        <w:rPr>
          <w:rFonts w:eastAsia="Calibri" w:cs="Arial"/>
          <w:color w:val="000000"/>
          <w:szCs w:val="20"/>
          <w:lang w:val="sl-SI"/>
        </w:rPr>
        <w:t>o.</w:t>
      </w:r>
      <w:r>
        <w:rPr>
          <w:rFonts w:eastAsia="Calibri" w:cs="Arial"/>
          <w:color w:val="000000"/>
          <w:szCs w:val="20"/>
          <w:lang w:val="sl-SI"/>
        </w:rPr>
        <w:t xml:space="preserve"> </w:t>
      </w:r>
      <w:r w:rsidRPr="005771BD">
        <w:rPr>
          <w:rFonts w:eastAsia="Calibri" w:cs="Arial"/>
          <w:color w:val="000000"/>
          <w:szCs w:val="20"/>
          <w:lang w:val="sl-SI"/>
        </w:rPr>
        <w:t xml:space="preserve">o., 2011. </w:t>
      </w:r>
      <w:r w:rsidRPr="005771BD">
        <w:rPr>
          <w:rFonts w:eastAsia="Calibri" w:cs="Arial"/>
          <w:i/>
          <w:color w:val="000000"/>
          <w:szCs w:val="20"/>
          <w:lang w:val="sl-SI"/>
        </w:rPr>
        <w:t xml:space="preserve">Dodatne geološke geomehanske raziskave za sanacijo plazu Čemšenik št. IG-2052  </w:t>
      </w:r>
    </w:p>
    <w:p w:rsidR="003C1B05" w:rsidRPr="005771BD" w:rsidRDefault="003C1B05" w:rsidP="003C1B05">
      <w:pPr>
        <w:spacing w:before="120" w:line="276" w:lineRule="auto"/>
        <w:jc w:val="both"/>
        <w:rPr>
          <w:rFonts w:eastAsia="Calibri" w:cs="Arial"/>
          <w:i/>
          <w:color w:val="000000"/>
          <w:szCs w:val="20"/>
          <w:lang w:val="sl-SI"/>
        </w:rPr>
      </w:pPr>
      <w:r w:rsidRPr="005771BD">
        <w:rPr>
          <w:rFonts w:eastAsia="Calibri" w:cs="Arial"/>
          <w:color w:val="000000"/>
          <w:szCs w:val="20"/>
          <w:lang w:val="sl-SI"/>
        </w:rPr>
        <w:t>Geoinženiring</w:t>
      </w:r>
      <w:r>
        <w:rPr>
          <w:rFonts w:eastAsia="Calibri" w:cs="Arial"/>
          <w:color w:val="000000"/>
          <w:szCs w:val="20"/>
          <w:lang w:val="sl-SI"/>
        </w:rPr>
        <w:t>,</w:t>
      </w:r>
      <w:r w:rsidRPr="005771BD">
        <w:rPr>
          <w:rFonts w:eastAsia="Calibri" w:cs="Arial"/>
          <w:color w:val="000000"/>
          <w:szCs w:val="20"/>
          <w:lang w:val="sl-SI"/>
        </w:rPr>
        <w:t xml:space="preserve"> d.</w:t>
      </w:r>
      <w:r>
        <w:rPr>
          <w:rFonts w:eastAsia="Calibri" w:cs="Arial"/>
          <w:color w:val="000000"/>
          <w:szCs w:val="20"/>
          <w:lang w:val="sl-SI"/>
        </w:rPr>
        <w:t xml:space="preserve"> </w:t>
      </w:r>
      <w:r w:rsidRPr="005771BD">
        <w:rPr>
          <w:rFonts w:eastAsia="Calibri" w:cs="Arial"/>
          <w:color w:val="000000"/>
          <w:szCs w:val="20"/>
          <w:lang w:val="sl-SI"/>
        </w:rPr>
        <w:t>o.</w:t>
      </w:r>
      <w:r>
        <w:rPr>
          <w:rFonts w:eastAsia="Calibri" w:cs="Arial"/>
          <w:color w:val="000000"/>
          <w:szCs w:val="20"/>
          <w:lang w:val="sl-SI"/>
        </w:rPr>
        <w:t xml:space="preserve"> </w:t>
      </w:r>
      <w:r w:rsidRPr="005771BD">
        <w:rPr>
          <w:rFonts w:eastAsia="Calibri" w:cs="Arial"/>
          <w:color w:val="000000"/>
          <w:szCs w:val="20"/>
          <w:lang w:val="sl-SI"/>
        </w:rPr>
        <w:t xml:space="preserve">o., 2012. </w:t>
      </w:r>
      <w:r w:rsidRPr="005771BD">
        <w:rPr>
          <w:rFonts w:eastAsia="Calibri" w:cs="Arial"/>
          <w:i/>
          <w:color w:val="000000"/>
          <w:szCs w:val="20"/>
          <w:lang w:val="sl-SI"/>
        </w:rPr>
        <w:t>Dopolnilne raziskave k dodatnim geološko geomehanskim raziskavam za sanacijo plazu št. IG-2016</w:t>
      </w:r>
    </w:p>
    <w:p w:rsidR="003C1B05" w:rsidRPr="005771BD" w:rsidRDefault="003C1B05" w:rsidP="003C1B05">
      <w:pPr>
        <w:spacing w:before="120" w:line="276" w:lineRule="auto"/>
        <w:jc w:val="both"/>
        <w:rPr>
          <w:rFonts w:eastAsia="Calibri" w:cs="Arial"/>
          <w:color w:val="000000"/>
          <w:szCs w:val="20"/>
          <w:lang w:val="sl-SI"/>
        </w:rPr>
      </w:pPr>
      <w:r w:rsidRPr="005771BD">
        <w:rPr>
          <w:rFonts w:eastAsia="Calibri" w:cs="Arial"/>
          <w:color w:val="000000"/>
          <w:szCs w:val="20"/>
          <w:lang w:val="sl-SI"/>
        </w:rPr>
        <w:t>Geotrias</w:t>
      </w:r>
      <w:r>
        <w:rPr>
          <w:rFonts w:eastAsia="Calibri" w:cs="Arial"/>
          <w:color w:val="000000"/>
          <w:szCs w:val="20"/>
          <w:lang w:val="sl-SI"/>
        </w:rPr>
        <w:t>,</w:t>
      </w:r>
      <w:r w:rsidRPr="005771BD">
        <w:rPr>
          <w:rFonts w:eastAsia="Calibri" w:cs="Arial"/>
          <w:color w:val="000000"/>
          <w:szCs w:val="20"/>
          <w:lang w:val="sl-SI"/>
        </w:rPr>
        <w:t xml:space="preserve"> d.</w:t>
      </w:r>
      <w:r>
        <w:rPr>
          <w:rFonts w:eastAsia="Calibri" w:cs="Arial"/>
          <w:color w:val="000000"/>
          <w:szCs w:val="20"/>
          <w:lang w:val="sl-SI"/>
        </w:rPr>
        <w:t xml:space="preserve"> </w:t>
      </w:r>
      <w:r w:rsidRPr="005771BD">
        <w:rPr>
          <w:rFonts w:eastAsia="Calibri" w:cs="Arial"/>
          <w:color w:val="000000"/>
          <w:szCs w:val="20"/>
          <w:lang w:val="sl-SI"/>
        </w:rPr>
        <w:t>o.</w:t>
      </w:r>
      <w:r>
        <w:rPr>
          <w:rFonts w:eastAsia="Calibri" w:cs="Arial"/>
          <w:color w:val="000000"/>
          <w:szCs w:val="20"/>
          <w:lang w:val="sl-SI"/>
        </w:rPr>
        <w:t xml:space="preserve"> </w:t>
      </w:r>
      <w:r w:rsidRPr="005771BD">
        <w:rPr>
          <w:rFonts w:eastAsia="Calibri" w:cs="Arial"/>
          <w:color w:val="000000"/>
          <w:szCs w:val="20"/>
          <w:lang w:val="sl-SI"/>
        </w:rPr>
        <w:t>o., 2016. Projekt sanacije plazu Laze št. 151/15/TB</w:t>
      </w:r>
    </w:p>
    <w:p w:rsidR="003C1B05" w:rsidRPr="005771BD" w:rsidRDefault="003C1B05" w:rsidP="003C1B05">
      <w:pPr>
        <w:spacing w:before="120" w:line="276" w:lineRule="auto"/>
        <w:jc w:val="both"/>
        <w:rPr>
          <w:rFonts w:eastAsia="Calibri" w:cs="Arial"/>
          <w:color w:val="000000"/>
          <w:szCs w:val="20"/>
          <w:lang w:val="sl-SI"/>
        </w:rPr>
      </w:pPr>
      <w:r w:rsidRPr="005771BD">
        <w:rPr>
          <w:rFonts w:eastAsia="Calibri" w:cs="Arial"/>
          <w:color w:val="000000"/>
          <w:szCs w:val="20"/>
          <w:lang w:val="sl-SI"/>
        </w:rPr>
        <w:t>Geotrias</w:t>
      </w:r>
      <w:r>
        <w:rPr>
          <w:rFonts w:eastAsia="Calibri" w:cs="Arial"/>
          <w:color w:val="000000"/>
          <w:szCs w:val="20"/>
          <w:lang w:val="sl-SI"/>
        </w:rPr>
        <w:t>,</w:t>
      </w:r>
      <w:r w:rsidRPr="005771BD">
        <w:rPr>
          <w:rFonts w:eastAsia="Calibri" w:cs="Arial"/>
          <w:color w:val="000000"/>
          <w:szCs w:val="20"/>
          <w:lang w:val="sl-SI"/>
        </w:rPr>
        <w:t xml:space="preserve"> d.</w:t>
      </w:r>
      <w:r>
        <w:rPr>
          <w:rFonts w:eastAsia="Calibri" w:cs="Arial"/>
          <w:color w:val="000000"/>
          <w:szCs w:val="20"/>
          <w:lang w:val="sl-SI"/>
        </w:rPr>
        <w:t xml:space="preserve"> </w:t>
      </w:r>
      <w:r w:rsidRPr="005771BD">
        <w:rPr>
          <w:rFonts w:eastAsia="Calibri" w:cs="Arial"/>
          <w:color w:val="000000"/>
          <w:szCs w:val="20"/>
          <w:lang w:val="sl-SI"/>
        </w:rPr>
        <w:t>o.</w:t>
      </w:r>
      <w:r>
        <w:rPr>
          <w:rFonts w:eastAsia="Calibri" w:cs="Arial"/>
          <w:color w:val="000000"/>
          <w:szCs w:val="20"/>
          <w:lang w:val="sl-SI"/>
        </w:rPr>
        <w:t xml:space="preserve"> </w:t>
      </w:r>
      <w:r w:rsidRPr="005771BD">
        <w:rPr>
          <w:rFonts w:eastAsia="Calibri" w:cs="Arial"/>
          <w:color w:val="000000"/>
          <w:szCs w:val="20"/>
          <w:lang w:val="sl-SI"/>
        </w:rPr>
        <w:t>o., 2016.  Projekt sanacije plazu Laze št. 151/15/TB1</w:t>
      </w:r>
    </w:p>
    <w:p w:rsidR="003C1B05" w:rsidRPr="005771BD" w:rsidRDefault="003C1B05" w:rsidP="003C1B05">
      <w:pPr>
        <w:spacing w:before="120" w:line="276" w:lineRule="auto"/>
        <w:jc w:val="both"/>
        <w:rPr>
          <w:rFonts w:eastAsia="Calibri" w:cs="Arial"/>
          <w:color w:val="000000"/>
          <w:szCs w:val="20"/>
          <w:lang w:val="sl-SI"/>
        </w:rPr>
      </w:pPr>
      <w:r w:rsidRPr="005771BD">
        <w:rPr>
          <w:rFonts w:eastAsia="Calibri" w:cs="Arial"/>
          <w:color w:val="000000"/>
          <w:szCs w:val="20"/>
          <w:lang w:val="sl-SI"/>
        </w:rPr>
        <w:t>Geotrias</w:t>
      </w:r>
      <w:r>
        <w:rPr>
          <w:rFonts w:eastAsia="Calibri" w:cs="Arial"/>
          <w:color w:val="000000"/>
          <w:szCs w:val="20"/>
          <w:lang w:val="sl-SI"/>
        </w:rPr>
        <w:t>,</w:t>
      </w:r>
      <w:r w:rsidRPr="005771BD">
        <w:rPr>
          <w:rFonts w:eastAsia="Calibri" w:cs="Arial"/>
          <w:color w:val="000000"/>
          <w:szCs w:val="20"/>
          <w:lang w:val="sl-SI"/>
        </w:rPr>
        <w:t xml:space="preserve"> d.</w:t>
      </w:r>
      <w:r>
        <w:rPr>
          <w:rFonts w:eastAsia="Calibri" w:cs="Arial"/>
          <w:color w:val="000000"/>
          <w:szCs w:val="20"/>
          <w:lang w:val="sl-SI"/>
        </w:rPr>
        <w:t xml:space="preserve"> </w:t>
      </w:r>
      <w:r w:rsidRPr="005771BD">
        <w:rPr>
          <w:rFonts w:eastAsia="Calibri" w:cs="Arial"/>
          <w:color w:val="000000"/>
          <w:szCs w:val="20"/>
          <w:lang w:val="sl-SI"/>
        </w:rPr>
        <w:t>o.</w:t>
      </w:r>
      <w:r>
        <w:rPr>
          <w:rFonts w:eastAsia="Calibri" w:cs="Arial"/>
          <w:color w:val="000000"/>
          <w:szCs w:val="20"/>
          <w:lang w:val="sl-SI"/>
        </w:rPr>
        <w:t xml:space="preserve"> </w:t>
      </w:r>
      <w:r w:rsidRPr="005771BD">
        <w:rPr>
          <w:rFonts w:eastAsia="Calibri" w:cs="Arial"/>
          <w:color w:val="000000"/>
          <w:szCs w:val="20"/>
          <w:lang w:val="sl-SI"/>
        </w:rPr>
        <w:t>o., 2015. Izvedba vodnjakov, inklinometrov in geodetskih točk št. 115/15/TB</w:t>
      </w:r>
    </w:p>
    <w:p w:rsidR="003C1B05" w:rsidRPr="005771BD" w:rsidRDefault="003C1B05" w:rsidP="003C1B05">
      <w:pPr>
        <w:spacing w:before="120" w:line="276" w:lineRule="auto"/>
        <w:jc w:val="both"/>
        <w:rPr>
          <w:rFonts w:eastAsia="Calibri" w:cs="Arial"/>
          <w:color w:val="000000"/>
          <w:szCs w:val="20"/>
          <w:lang w:val="sl-SI"/>
        </w:rPr>
      </w:pPr>
      <w:r w:rsidRPr="005771BD">
        <w:rPr>
          <w:rFonts w:eastAsia="Calibri" w:cs="Arial"/>
          <w:color w:val="000000"/>
          <w:szCs w:val="20"/>
          <w:lang w:val="sl-SI"/>
        </w:rPr>
        <w:t>Geotrias</w:t>
      </w:r>
      <w:r>
        <w:rPr>
          <w:rFonts w:eastAsia="Calibri" w:cs="Arial"/>
          <w:color w:val="000000"/>
          <w:szCs w:val="20"/>
          <w:lang w:val="sl-SI"/>
        </w:rPr>
        <w:t>,</w:t>
      </w:r>
      <w:r w:rsidRPr="005771BD">
        <w:rPr>
          <w:rFonts w:eastAsia="Calibri" w:cs="Arial"/>
          <w:color w:val="000000"/>
          <w:szCs w:val="20"/>
          <w:lang w:val="sl-SI"/>
        </w:rPr>
        <w:t xml:space="preserve"> d.</w:t>
      </w:r>
      <w:r>
        <w:rPr>
          <w:rFonts w:eastAsia="Calibri" w:cs="Arial"/>
          <w:color w:val="000000"/>
          <w:szCs w:val="20"/>
          <w:lang w:val="sl-SI"/>
        </w:rPr>
        <w:t xml:space="preserve"> </w:t>
      </w:r>
      <w:r w:rsidRPr="005771BD">
        <w:rPr>
          <w:rFonts w:eastAsia="Calibri" w:cs="Arial"/>
          <w:color w:val="000000"/>
          <w:szCs w:val="20"/>
          <w:lang w:val="sl-SI"/>
        </w:rPr>
        <w:t>o.</w:t>
      </w:r>
      <w:r>
        <w:rPr>
          <w:rFonts w:eastAsia="Calibri" w:cs="Arial"/>
          <w:color w:val="000000"/>
          <w:szCs w:val="20"/>
          <w:lang w:val="sl-SI"/>
        </w:rPr>
        <w:t xml:space="preserve"> </w:t>
      </w:r>
      <w:r w:rsidRPr="005771BD">
        <w:rPr>
          <w:rFonts w:eastAsia="Calibri" w:cs="Arial"/>
          <w:color w:val="000000"/>
          <w:szCs w:val="20"/>
          <w:lang w:val="sl-SI"/>
        </w:rPr>
        <w:t>o., 2015.  Ureditev vozišča in odvodnja občinske ceste in zavarovanje platoja pred stanovanjsko hišo Laze 2 št. 129/14/TB</w:t>
      </w:r>
    </w:p>
    <w:p w:rsidR="003C1B05" w:rsidRPr="005771BD" w:rsidRDefault="003C1B05" w:rsidP="003C1B05">
      <w:pPr>
        <w:spacing w:before="120" w:line="276" w:lineRule="auto"/>
        <w:jc w:val="both"/>
        <w:rPr>
          <w:rFonts w:eastAsia="Calibri" w:cs="Arial"/>
          <w:color w:val="000000"/>
          <w:szCs w:val="20"/>
          <w:lang w:val="sl-SI"/>
        </w:rPr>
      </w:pPr>
      <w:r w:rsidRPr="005771BD">
        <w:rPr>
          <w:rFonts w:eastAsia="Calibri" w:cs="Arial"/>
          <w:color w:val="000000"/>
          <w:szCs w:val="20"/>
          <w:lang w:val="sl-SI"/>
        </w:rPr>
        <w:t>Grad-Art</w:t>
      </w:r>
      <w:r>
        <w:rPr>
          <w:rFonts w:eastAsia="Calibri" w:cs="Arial"/>
          <w:color w:val="000000"/>
          <w:szCs w:val="20"/>
          <w:lang w:val="sl-SI"/>
        </w:rPr>
        <w:t>,</w:t>
      </w:r>
      <w:r w:rsidRPr="005771BD">
        <w:rPr>
          <w:rFonts w:eastAsia="Calibri" w:cs="Arial"/>
          <w:color w:val="000000"/>
          <w:szCs w:val="20"/>
          <w:lang w:val="sl-SI"/>
        </w:rPr>
        <w:t xml:space="preserve"> d.</w:t>
      </w:r>
      <w:r>
        <w:rPr>
          <w:rFonts w:eastAsia="Calibri" w:cs="Arial"/>
          <w:color w:val="000000"/>
          <w:szCs w:val="20"/>
          <w:lang w:val="sl-SI"/>
        </w:rPr>
        <w:t xml:space="preserve"> </w:t>
      </w:r>
      <w:r w:rsidRPr="005771BD">
        <w:rPr>
          <w:rFonts w:eastAsia="Calibri" w:cs="Arial"/>
          <w:color w:val="000000"/>
          <w:szCs w:val="20"/>
          <w:lang w:val="sl-SI"/>
        </w:rPr>
        <w:t>o.</w:t>
      </w:r>
      <w:r>
        <w:rPr>
          <w:rFonts w:eastAsia="Calibri" w:cs="Arial"/>
          <w:color w:val="000000"/>
          <w:szCs w:val="20"/>
          <w:lang w:val="sl-SI"/>
        </w:rPr>
        <w:t xml:space="preserve"> </w:t>
      </w:r>
      <w:r w:rsidRPr="005771BD">
        <w:rPr>
          <w:rFonts w:eastAsia="Calibri" w:cs="Arial"/>
          <w:color w:val="000000"/>
          <w:szCs w:val="20"/>
          <w:lang w:val="sl-SI"/>
        </w:rPr>
        <w:t>o., 2015. PZI št. DR-563/15, Načrt gradbenih konstrukcij, statična sanacija stanovanjske hiše Laze 2</w:t>
      </w:r>
    </w:p>
    <w:p w:rsidR="003C1B05" w:rsidRPr="005771BD" w:rsidRDefault="003C1B05" w:rsidP="003C1B05">
      <w:pPr>
        <w:spacing w:before="120" w:line="276" w:lineRule="auto"/>
        <w:jc w:val="both"/>
        <w:rPr>
          <w:rFonts w:eastAsia="Calibri" w:cs="Arial"/>
          <w:szCs w:val="20"/>
          <w:lang w:val="sl-SI"/>
        </w:rPr>
      </w:pPr>
      <w:r w:rsidRPr="005771BD">
        <w:rPr>
          <w:rFonts w:eastAsia="Calibri" w:cs="Arial"/>
          <w:szCs w:val="20"/>
          <w:lang w:val="sl-SI"/>
        </w:rPr>
        <w:t xml:space="preserve">Grünthal, G. (ur.), 1998. </w:t>
      </w:r>
      <w:r w:rsidRPr="005771BD">
        <w:rPr>
          <w:rFonts w:eastAsia="Calibri" w:cs="Arial"/>
          <w:i/>
          <w:szCs w:val="20"/>
          <w:lang w:val="sl-SI"/>
        </w:rPr>
        <w:t>European Macroseismic Scale 1998 (EMS-98)</w:t>
      </w:r>
      <w:r w:rsidRPr="005771BD">
        <w:rPr>
          <w:rFonts w:eastAsia="Calibri" w:cs="Arial"/>
          <w:szCs w:val="20"/>
          <w:lang w:val="sl-SI"/>
        </w:rPr>
        <w:t>, Luxembourg: Conseil de l'Europe, Cahiers du Centre Européen de Géodynamique et de Séismologie, Volume 15.</w:t>
      </w:r>
    </w:p>
    <w:p w:rsidR="003C1B05" w:rsidRPr="005771BD" w:rsidRDefault="00CF5505" w:rsidP="003C1B05">
      <w:pPr>
        <w:spacing w:before="120" w:line="276" w:lineRule="auto"/>
        <w:jc w:val="both"/>
        <w:rPr>
          <w:rFonts w:eastAsia="Calibri" w:cs="Arial"/>
          <w:color w:val="252525"/>
          <w:szCs w:val="20"/>
          <w:shd w:val="clear" w:color="auto" w:fill="FFFFFF"/>
          <w:lang w:val="sl-SI"/>
        </w:rPr>
      </w:pPr>
      <w:hyperlink r:id="rId293" w:history="1">
        <w:r w:rsidR="003C1B05" w:rsidRPr="005771BD">
          <w:rPr>
            <w:rFonts w:eastAsia="Calibri" w:cs="Arial"/>
            <w:color w:val="252525"/>
            <w:szCs w:val="20"/>
            <w:shd w:val="clear" w:color="auto" w:fill="FFFFFF"/>
            <w:lang w:val="sl-SI"/>
          </w:rPr>
          <w:t>https://sl.wikipedia.org/wiki/Zemeljski_plaz</w:t>
        </w:r>
      </w:hyperlink>
    </w:p>
    <w:p w:rsidR="003C1B05" w:rsidRPr="005771BD" w:rsidRDefault="003C1B05" w:rsidP="003C1B05">
      <w:pPr>
        <w:spacing w:before="120" w:line="276" w:lineRule="auto"/>
        <w:jc w:val="both"/>
        <w:rPr>
          <w:rFonts w:eastAsia="Calibri" w:cs="Arial"/>
          <w:szCs w:val="20"/>
          <w:lang w:val="sl-SI"/>
        </w:rPr>
      </w:pPr>
      <w:r w:rsidRPr="005771BD">
        <w:rPr>
          <w:rFonts w:eastAsia="Calibri" w:cs="Arial"/>
          <w:szCs w:val="20"/>
          <w:lang w:val="sl-SI"/>
        </w:rPr>
        <w:t xml:space="preserve">Jesenko, T., Šket Motnikar, B., Cecić, I., Godec, M., Prosen, T., Živčić, M., 2016. </w:t>
      </w:r>
      <w:r w:rsidRPr="005771BD">
        <w:rPr>
          <w:rFonts w:eastAsia="Calibri" w:cs="Arial"/>
          <w:i/>
          <w:szCs w:val="20"/>
          <w:lang w:val="sl-SI"/>
        </w:rPr>
        <w:t>Potresi v Sloveniji leta 2014. Potresi v letu 2014</w:t>
      </w:r>
      <w:r w:rsidRPr="005771BD">
        <w:rPr>
          <w:rFonts w:eastAsia="Calibri" w:cs="Arial"/>
          <w:szCs w:val="20"/>
          <w:lang w:val="sl-SI"/>
        </w:rPr>
        <w:t xml:space="preserve"> (ur. A. Gosar). Ljubljana:  ARSO, Urad za seizmologijo in geologijo</w:t>
      </w:r>
    </w:p>
    <w:p w:rsidR="003C1B05" w:rsidRPr="005771BD" w:rsidRDefault="003C1B05" w:rsidP="003C1B05">
      <w:pPr>
        <w:tabs>
          <w:tab w:val="left" w:pos="426"/>
        </w:tabs>
        <w:spacing w:before="120" w:line="276" w:lineRule="auto"/>
        <w:jc w:val="both"/>
        <w:rPr>
          <w:rFonts w:eastAsia="Calibri" w:cs="Arial"/>
          <w:i/>
          <w:szCs w:val="20"/>
          <w:lang w:val="sl-SI"/>
        </w:rPr>
      </w:pPr>
      <w:r w:rsidRPr="005771BD">
        <w:rPr>
          <w:rFonts w:eastAsia="Calibri" w:cs="Arial"/>
          <w:szCs w:val="20"/>
          <w:lang w:val="sl-SI"/>
        </w:rPr>
        <w:t>Ministrstvo za kmetijstvo, gozdarstvo in prehrano, Direktorat za gozdarstvo, lovstvo in ribištvo</w:t>
      </w:r>
      <w:r>
        <w:rPr>
          <w:rFonts w:eastAsia="Calibri" w:cs="Arial"/>
          <w:szCs w:val="20"/>
          <w:lang w:val="sl-SI"/>
        </w:rPr>
        <w:t>,</w:t>
      </w:r>
      <w:r w:rsidRPr="005771BD">
        <w:rPr>
          <w:rFonts w:eastAsia="Calibri" w:cs="Arial"/>
          <w:szCs w:val="20"/>
          <w:lang w:val="sl-SI"/>
        </w:rPr>
        <w:t xml:space="preserve"> 2015. </w:t>
      </w:r>
      <w:r w:rsidRPr="005771BD">
        <w:rPr>
          <w:rFonts w:eastAsia="Calibri" w:cs="Arial"/>
          <w:i/>
          <w:szCs w:val="20"/>
          <w:lang w:val="sl-SI"/>
        </w:rPr>
        <w:t>Ocena tveganja za velik požar v naravnem okolju, verzija 1</w:t>
      </w:r>
    </w:p>
    <w:p w:rsidR="003C1B05" w:rsidRPr="005771BD" w:rsidRDefault="003C1B05" w:rsidP="003C1B05">
      <w:pPr>
        <w:spacing w:before="120" w:line="276" w:lineRule="auto"/>
        <w:jc w:val="both"/>
        <w:rPr>
          <w:rFonts w:eastAsia="Calibri" w:cs="Arial"/>
          <w:szCs w:val="20"/>
          <w:lang w:val="sl-SI"/>
        </w:rPr>
      </w:pPr>
      <w:r w:rsidRPr="005771BD">
        <w:rPr>
          <w:rFonts w:eastAsia="Calibri" w:cs="Arial"/>
          <w:szCs w:val="20"/>
          <w:lang w:val="sl-SI"/>
        </w:rPr>
        <w:t xml:space="preserve">Ministrstvo za okolje in prostor, 2015. </w:t>
      </w:r>
      <w:r w:rsidRPr="005771BD">
        <w:rPr>
          <w:rFonts w:eastAsia="Calibri" w:cs="Arial"/>
          <w:i/>
          <w:szCs w:val="20"/>
          <w:lang w:val="sl-SI"/>
        </w:rPr>
        <w:t>Ocena tveganja za poplave</w:t>
      </w:r>
    </w:p>
    <w:p w:rsidR="003C1B05" w:rsidRPr="005771BD" w:rsidRDefault="003C1B05" w:rsidP="003C1B05">
      <w:pPr>
        <w:spacing w:before="120" w:line="276" w:lineRule="auto"/>
        <w:jc w:val="both"/>
        <w:rPr>
          <w:rFonts w:eastAsia="Calibri" w:cs="Arial"/>
          <w:i/>
          <w:szCs w:val="20"/>
          <w:lang w:val="sl-SI"/>
        </w:rPr>
      </w:pPr>
      <w:r w:rsidRPr="005771BD">
        <w:rPr>
          <w:rFonts w:eastAsia="Calibri" w:cs="Arial"/>
          <w:szCs w:val="20"/>
          <w:lang w:val="sl-SI"/>
        </w:rPr>
        <w:t xml:space="preserve">Ministrstvo za okolje in prostor, 2011. </w:t>
      </w:r>
      <w:r w:rsidRPr="005771BD">
        <w:rPr>
          <w:rFonts w:eastAsia="Calibri" w:cs="Arial"/>
          <w:i/>
          <w:szCs w:val="20"/>
          <w:lang w:val="sl-SI"/>
        </w:rPr>
        <w:t>Predhodna ocena poplavne ogroženosti.</w:t>
      </w:r>
    </w:p>
    <w:p w:rsidR="003C1B05" w:rsidRPr="005771BD" w:rsidRDefault="003C1B05" w:rsidP="003C1B05">
      <w:pPr>
        <w:spacing w:before="120" w:line="276" w:lineRule="auto"/>
        <w:jc w:val="both"/>
        <w:rPr>
          <w:rFonts w:eastAsia="Calibri" w:cs="Arial"/>
          <w:szCs w:val="20"/>
          <w:lang w:val="sl-SI"/>
        </w:rPr>
      </w:pPr>
      <w:r w:rsidRPr="005771BD">
        <w:rPr>
          <w:rFonts w:eastAsia="Calibri" w:cs="Arial"/>
          <w:szCs w:val="20"/>
          <w:lang w:val="sl-SI"/>
        </w:rPr>
        <w:t xml:space="preserve">Šket Motnikar, B, Čarman, M., Godec, M., Zupančič, P., Cecić, I., 2016a. </w:t>
      </w:r>
      <w:r w:rsidRPr="00415D4E">
        <w:rPr>
          <w:rFonts w:eastAsia="Calibri" w:cs="Arial"/>
          <w:i/>
          <w:szCs w:val="20"/>
          <w:lang w:val="sl-SI"/>
        </w:rPr>
        <w:t>Potres 1. novembra 2015 na Gorjancih</w:t>
      </w:r>
      <w:r w:rsidRPr="00415D4E">
        <w:rPr>
          <w:rFonts w:eastAsia="Calibri" w:cs="Arial"/>
          <w:szCs w:val="20"/>
          <w:lang w:val="sl-SI"/>
        </w:rPr>
        <w:t>. Ujma, št. 30 (v tisku).</w:t>
      </w:r>
    </w:p>
    <w:p w:rsidR="003C1B05" w:rsidRPr="005771BD" w:rsidRDefault="003C1B05" w:rsidP="003C1B05">
      <w:pPr>
        <w:spacing w:before="120" w:line="276" w:lineRule="auto"/>
        <w:jc w:val="both"/>
        <w:rPr>
          <w:rFonts w:eastAsia="Calibri" w:cs="Arial"/>
          <w:szCs w:val="20"/>
          <w:lang w:val="sl-SI"/>
        </w:rPr>
      </w:pPr>
      <w:r w:rsidRPr="005771BD">
        <w:rPr>
          <w:rFonts w:eastAsia="Calibri" w:cs="Arial"/>
          <w:szCs w:val="20"/>
          <w:lang w:val="sl-SI"/>
        </w:rPr>
        <w:t xml:space="preserve">Šket Motnikar, B., Godec, M., Zupančič, P.., 2016b. </w:t>
      </w:r>
      <w:r w:rsidRPr="005771BD">
        <w:rPr>
          <w:rFonts w:eastAsia="Calibri" w:cs="Arial"/>
          <w:i/>
          <w:szCs w:val="20"/>
          <w:lang w:val="sl-SI"/>
        </w:rPr>
        <w:t>Potresi v Sloveniji leta 2014. Učinki potresov v Suhi krajini leta 2013 in 2014</w:t>
      </w:r>
      <w:r w:rsidRPr="005771BD">
        <w:rPr>
          <w:rFonts w:eastAsia="Calibri" w:cs="Arial"/>
          <w:szCs w:val="20"/>
          <w:lang w:val="sl-SI"/>
        </w:rPr>
        <w:t xml:space="preserve"> (ur. A. Gosar). Ljubljana:  ARSO, Urad za seizmologijo in geologijo</w:t>
      </w:r>
    </w:p>
    <w:p w:rsidR="003C1B05" w:rsidRPr="005771BD" w:rsidRDefault="003C1B05" w:rsidP="003C1B05">
      <w:pPr>
        <w:spacing w:before="120" w:line="276" w:lineRule="auto"/>
        <w:jc w:val="both"/>
        <w:rPr>
          <w:rFonts w:eastAsia="Calibri" w:cs="Arial"/>
          <w:color w:val="000000"/>
          <w:szCs w:val="20"/>
          <w:lang w:val="sl-SI"/>
        </w:rPr>
      </w:pPr>
      <w:r w:rsidRPr="005771BD">
        <w:rPr>
          <w:rFonts w:eastAsia="Calibri" w:cs="Arial"/>
          <w:color w:val="000000"/>
          <w:szCs w:val="20"/>
          <w:lang w:val="sl-SI"/>
        </w:rPr>
        <w:t>Terras</w:t>
      </w:r>
      <w:r>
        <w:rPr>
          <w:rFonts w:eastAsia="Calibri" w:cs="Arial"/>
          <w:color w:val="000000"/>
          <w:szCs w:val="20"/>
          <w:lang w:val="sl-SI"/>
        </w:rPr>
        <w:t>,</w:t>
      </w:r>
      <w:r w:rsidRPr="005771BD">
        <w:rPr>
          <w:rFonts w:eastAsia="Calibri" w:cs="Arial"/>
          <w:color w:val="000000"/>
          <w:szCs w:val="20"/>
          <w:lang w:val="sl-SI"/>
        </w:rPr>
        <w:t xml:space="preserve"> s.</w:t>
      </w:r>
      <w:r>
        <w:rPr>
          <w:rFonts w:eastAsia="Calibri" w:cs="Arial"/>
          <w:color w:val="000000"/>
          <w:szCs w:val="20"/>
          <w:lang w:val="sl-SI"/>
        </w:rPr>
        <w:t xml:space="preserve"> </w:t>
      </w:r>
      <w:r w:rsidRPr="005771BD">
        <w:rPr>
          <w:rFonts w:eastAsia="Calibri" w:cs="Arial"/>
          <w:color w:val="000000"/>
          <w:szCs w:val="20"/>
          <w:lang w:val="sl-SI"/>
        </w:rPr>
        <w:t>p.</w:t>
      </w:r>
      <w:r>
        <w:rPr>
          <w:rFonts w:eastAsia="Calibri" w:cs="Arial"/>
          <w:color w:val="000000"/>
          <w:szCs w:val="20"/>
          <w:lang w:val="sl-SI"/>
        </w:rPr>
        <w:t>,</w:t>
      </w:r>
      <w:r w:rsidRPr="005771BD">
        <w:rPr>
          <w:rFonts w:eastAsia="Calibri" w:cs="Arial"/>
          <w:color w:val="000000"/>
          <w:szCs w:val="20"/>
          <w:lang w:val="sl-SI"/>
        </w:rPr>
        <w:t xml:space="preserve"> 2011. </w:t>
      </w:r>
      <w:r w:rsidRPr="005771BD">
        <w:rPr>
          <w:rFonts w:eastAsia="Calibri" w:cs="Arial"/>
          <w:i/>
          <w:color w:val="000000"/>
          <w:szCs w:val="20"/>
          <w:lang w:val="sl-SI"/>
        </w:rPr>
        <w:t xml:space="preserve">Geološko geomehansko poročilo – 1. </w:t>
      </w:r>
      <w:r>
        <w:rPr>
          <w:rFonts w:eastAsia="Calibri" w:cs="Arial"/>
          <w:i/>
          <w:color w:val="000000"/>
          <w:szCs w:val="20"/>
          <w:lang w:val="sl-SI"/>
        </w:rPr>
        <w:t>f</w:t>
      </w:r>
      <w:r w:rsidRPr="005771BD">
        <w:rPr>
          <w:rFonts w:eastAsia="Calibri" w:cs="Arial"/>
          <w:i/>
          <w:color w:val="000000"/>
          <w:szCs w:val="20"/>
          <w:lang w:val="sl-SI"/>
        </w:rPr>
        <w:t>aza, št. 314/11</w:t>
      </w:r>
      <w:r w:rsidRPr="005771BD">
        <w:rPr>
          <w:rFonts w:eastAsia="Calibri" w:cs="Arial"/>
          <w:color w:val="000000"/>
          <w:szCs w:val="20"/>
          <w:lang w:val="sl-SI"/>
        </w:rPr>
        <w:t xml:space="preserve">  </w:t>
      </w:r>
    </w:p>
    <w:p w:rsidR="003C1B05" w:rsidRPr="005771BD" w:rsidRDefault="003C1B05" w:rsidP="003C1B05">
      <w:pPr>
        <w:spacing w:before="120" w:line="276" w:lineRule="auto"/>
        <w:jc w:val="both"/>
        <w:rPr>
          <w:rFonts w:eastAsia="Calibri" w:cs="Arial"/>
          <w:color w:val="000000"/>
          <w:szCs w:val="20"/>
          <w:lang w:val="sl-SI"/>
        </w:rPr>
      </w:pPr>
      <w:r w:rsidRPr="005771BD">
        <w:rPr>
          <w:rFonts w:eastAsia="Calibri" w:cs="Arial"/>
          <w:color w:val="000000"/>
          <w:szCs w:val="20"/>
          <w:lang w:val="sl-SI"/>
        </w:rPr>
        <w:t>Terras</w:t>
      </w:r>
      <w:r>
        <w:rPr>
          <w:rFonts w:eastAsia="Calibri" w:cs="Arial"/>
          <w:color w:val="000000"/>
          <w:szCs w:val="20"/>
          <w:lang w:val="sl-SI"/>
        </w:rPr>
        <w:t>,</w:t>
      </w:r>
      <w:r w:rsidRPr="005771BD">
        <w:rPr>
          <w:rFonts w:eastAsia="Calibri" w:cs="Arial"/>
          <w:color w:val="000000"/>
          <w:szCs w:val="20"/>
          <w:lang w:val="sl-SI"/>
        </w:rPr>
        <w:t xml:space="preserve"> s.</w:t>
      </w:r>
      <w:r>
        <w:rPr>
          <w:rFonts w:eastAsia="Calibri" w:cs="Arial"/>
          <w:color w:val="000000"/>
          <w:szCs w:val="20"/>
          <w:lang w:val="sl-SI"/>
        </w:rPr>
        <w:t xml:space="preserve"> </w:t>
      </w:r>
      <w:r w:rsidRPr="005771BD">
        <w:rPr>
          <w:rFonts w:eastAsia="Calibri" w:cs="Arial"/>
          <w:color w:val="000000"/>
          <w:szCs w:val="20"/>
          <w:lang w:val="sl-SI"/>
        </w:rPr>
        <w:t xml:space="preserve">p,. 2015.  </w:t>
      </w:r>
      <w:r w:rsidRPr="005771BD">
        <w:rPr>
          <w:rFonts w:eastAsia="Calibri" w:cs="Arial"/>
          <w:i/>
          <w:color w:val="000000"/>
          <w:szCs w:val="20"/>
          <w:lang w:val="sl-SI"/>
        </w:rPr>
        <w:t>Poročilo o inklinacijskih meritvah z določitvijo globine plazenja v obdobju od junija 2011 do novembra 2015,  št. 370-1/15</w:t>
      </w:r>
    </w:p>
    <w:p w:rsidR="003C1B05" w:rsidRPr="005771BD" w:rsidRDefault="003C1B05" w:rsidP="003C1B05">
      <w:pPr>
        <w:spacing w:before="120" w:line="276" w:lineRule="auto"/>
        <w:jc w:val="both"/>
        <w:rPr>
          <w:rFonts w:eastAsia="Calibri" w:cs="Arial"/>
          <w:i/>
          <w:color w:val="000000"/>
          <w:szCs w:val="20"/>
          <w:lang w:val="sl-SI"/>
        </w:rPr>
      </w:pPr>
      <w:r w:rsidRPr="005771BD">
        <w:rPr>
          <w:rFonts w:eastAsia="Calibri" w:cs="Arial"/>
          <w:color w:val="000000"/>
          <w:szCs w:val="20"/>
          <w:lang w:val="sl-SI"/>
        </w:rPr>
        <w:t>Terras</w:t>
      </w:r>
      <w:r>
        <w:rPr>
          <w:rFonts w:eastAsia="Calibri" w:cs="Arial"/>
          <w:color w:val="000000"/>
          <w:szCs w:val="20"/>
          <w:lang w:val="sl-SI"/>
        </w:rPr>
        <w:t>,</w:t>
      </w:r>
      <w:r w:rsidRPr="005771BD">
        <w:rPr>
          <w:rFonts w:eastAsia="Calibri" w:cs="Arial"/>
          <w:color w:val="000000"/>
          <w:szCs w:val="20"/>
          <w:lang w:val="sl-SI"/>
        </w:rPr>
        <w:t xml:space="preserve"> s.</w:t>
      </w:r>
      <w:r>
        <w:rPr>
          <w:rFonts w:eastAsia="Calibri" w:cs="Arial"/>
          <w:color w:val="000000"/>
          <w:szCs w:val="20"/>
          <w:lang w:val="sl-SI"/>
        </w:rPr>
        <w:t xml:space="preserve"> </w:t>
      </w:r>
      <w:r w:rsidRPr="005771BD">
        <w:rPr>
          <w:rFonts w:eastAsia="Calibri" w:cs="Arial"/>
          <w:color w:val="000000"/>
          <w:szCs w:val="20"/>
          <w:lang w:val="sl-SI"/>
        </w:rPr>
        <w:t xml:space="preserve">p., 2016. </w:t>
      </w:r>
      <w:r w:rsidRPr="005771BD">
        <w:rPr>
          <w:rFonts w:eastAsia="Calibri" w:cs="Arial"/>
          <w:i/>
          <w:color w:val="000000"/>
          <w:szCs w:val="20"/>
          <w:lang w:val="sl-SI"/>
        </w:rPr>
        <w:t>Poročilo o geotehničnem monotoringu na palzu Čemšenik, obdobje meritev junij 2011 do september 2016 s predlogi nujnih ukrepov št. 370-16/16</w:t>
      </w:r>
    </w:p>
    <w:p w:rsidR="003C1B05" w:rsidRPr="005771BD" w:rsidRDefault="003C1B05" w:rsidP="003C1B05">
      <w:pPr>
        <w:spacing w:before="120" w:line="276" w:lineRule="auto"/>
        <w:rPr>
          <w:rFonts w:eastAsia="Calibri" w:cs="Arial"/>
          <w:i/>
          <w:color w:val="000000"/>
          <w:szCs w:val="20"/>
          <w:lang w:val="sl-SI"/>
        </w:rPr>
      </w:pPr>
      <w:r w:rsidRPr="005771BD">
        <w:rPr>
          <w:rFonts w:eastAsia="Calibri" w:cs="Arial"/>
          <w:color w:val="000000"/>
          <w:szCs w:val="20"/>
          <w:lang w:val="sl-SI"/>
        </w:rPr>
        <w:t>Terras</w:t>
      </w:r>
      <w:r>
        <w:rPr>
          <w:rFonts w:eastAsia="Calibri" w:cs="Arial"/>
          <w:color w:val="000000"/>
          <w:szCs w:val="20"/>
          <w:lang w:val="sl-SI"/>
        </w:rPr>
        <w:t>,</w:t>
      </w:r>
      <w:r w:rsidRPr="005771BD">
        <w:rPr>
          <w:rFonts w:eastAsia="Calibri" w:cs="Arial"/>
          <w:color w:val="000000"/>
          <w:szCs w:val="20"/>
          <w:lang w:val="sl-SI"/>
        </w:rPr>
        <w:t xml:space="preserve"> s.</w:t>
      </w:r>
      <w:r>
        <w:rPr>
          <w:rFonts w:eastAsia="Calibri" w:cs="Arial"/>
          <w:color w:val="000000"/>
          <w:szCs w:val="20"/>
          <w:lang w:val="sl-SI"/>
        </w:rPr>
        <w:t xml:space="preserve"> </w:t>
      </w:r>
      <w:r w:rsidRPr="005771BD">
        <w:rPr>
          <w:rFonts w:eastAsia="Calibri" w:cs="Arial"/>
          <w:color w:val="000000"/>
          <w:szCs w:val="20"/>
          <w:lang w:val="sl-SI"/>
        </w:rPr>
        <w:t xml:space="preserve">p., 2016. </w:t>
      </w:r>
      <w:r w:rsidRPr="005771BD">
        <w:rPr>
          <w:rFonts w:eastAsia="Calibri" w:cs="Arial"/>
          <w:i/>
          <w:color w:val="000000"/>
          <w:szCs w:val="20"/>
          <w:lang w:val="sl-SI"/>
        </w:rPr>
        <w:t>Študija izvedljivosti sanacije globokega plazu v vasi Čemšenik št. 395/16</w:t>
      </w:r>
    </w:p>
    <w:p w:rsidR="003C1B05" w:rsidRPr="005771BD" w:rsidRDefault="003C1B05" w:rsidP="003C1B05">
      <w:pPr>
        <w:spacing w:before="120" w:line="276" w:lineRule="auto"/>
        <w:jc w:val="both"/>
        <w:rPr>
          <w:rFonts w:eastAsia="Calibri" w:cs="Arial"/>
          <w:color w:val="000000"/>
          <w:szCs w:val="20"/>
          <w:lang w:val="sl-SI"/>
        </w:rPr>
      </w:pPr>
      <w:r w:rsidRPr="005771BD">
        <w:rPr>
          <w:rFonts w:eastAsia="Calibri" w:cs="Arial"/>
          <w:color w:val="000000"/>
          <w:szCs w:val="20"/>
          <w:lang w:val="sl-SI"/>
        </w:rPr>
        <w:t>Upravna enota Škofja Loka. Gradbeno dovoljenje za gradnjo nezahtevnega objekta  št. 351-295/2013 z dne 17.</w:t>
      </w:r>
      <w:r>
        <w:rPr>
          <w:rFonts w:eastAsia="Calibri" w:cs="Arial"/>
          <w:color w:val="000000"/>
          <w:szCs w:val="20"/>
          <w:lang w:val="sl-SI"/>
        </w:rPr>
        <w:t xml:space="preserve"> </w:t>
      </w:r>
      <w:r w:rsidRPr="005771BD">
        <w:rPr>
          <w:rFonts w:eastAsia="Calibri" w:cs="Arial"/>
          <w:color w:val="000000"/>
          <w:szCs w:val="20"/>
          <w:lang w:val="sl-SI"/>
        </w:rPr>
        <w:t>9.</w:t>
      </w:r>
      <w:r>
        <w:rPr>
          <w:rFonts w:eastAsia="Calibri" w:cs="Arial"/>
          <w:color w:val="000000"/>
          <w:szCs w:val="20"/>
          <w:lang w:val="sl-SI"/>
        </w:rPr>
        <w:t xml:space="preserve"> </w:t>
      </w:r>
      <w:r w:rsidRPr="005771BD">
        <w:rPr>
          <w:rFonts w:eastAsia="Calibri" w:cs="Arial"/>
          <w:color w:val="000000"/>
          <w:szCs w:val="20"/>
          <w:lang w:val="sl-SI"/>
        </w:rPr>
        <w:t>2013</w:t>
      </w:r>
    </w:p>
    <w:p w:rsidR="003C1B05" w:rsidRPr="005771BD" w:rsidRDefault="003C1B05" w:rsidP="003C1B05">
      <w:pPr>
        <w:tabs>
          <w:tab w:val="left" w:pos="426"/>
        </w:tabs>
        <w:spacing w:before="120" w:line="276" w:lineRule="auto"/>
        <w:jc w:val="both"/>
        <w:rPr>
          <w:rFonts w:eastAsia="Calibri" w:cs="Arial"/>
          <w:i/>
          <w:szCs w:val="20"/>
          <w:lang w:val="sl-SI"/>
        </w:rPr>
      </w:pPr>
      <w:r w:rsidRPr="005771BD">
        <w:rPr>
          <w:rFonts w:eastAsia="Calibri" w:cs="Arial"/>
          <w:szCs w:val="20"/>
          <w:lang w:val="sl-SI"/>
        </w:rPr>
        <w:t xml:space="preserve">Uprava RS za zaščito in reševanje, 2015. </w:t>
      </w:r>
      <w:r w:rsidRPr="005771BD">
        <w:rPr>
          <w:rFonts w:eastAsia="Calibri" w:cs="Arial"/>
          <w:i/>
          <w:szCs w:val="20"/>
          <w:lang w:val="sl-SI"/>
        </w:rPr>
        <w:t xml:space="preserve">Državna ocena ogroženosti zaradi požarov v naravnem okolju, verzija 2.0  </w:t>
      </w:r>
    </w:p>
    <w:p w:rsidR="003C1B05" w:rsidRPr="005771BD" w:rsidRDefault="003C1B05" w:rsidP="00A11C91">
      <w:pPr>
        <w:spacing w:before="120" w:line="276" w:lineRule="auto"/>
        <w:rPr>
          <w:rFonts w:eastAsia="Calibri" w:cs="Arial"/>
          <w:szCs w:val="20"/>
          <w:lang w:val="sl-SI"/>
        </w:rPr>
      </w:pPr>
      <w:r w:rsidRPr="005771BD">
        <w:rPr>
          <w:rFonts w:eastAsia="Calibri" w:cs="Arial"/>
          <w:szCs w:val="20"/>
          <w:lang w:val="sl-SI"/>
        </w:rPr>
        <w:t xml:space="preserve">Uprava RS za zaščito in reševanje, 2015.  </w:t>
      </w:r>
      <w:r w:rsidRPr="005771BD">
        <w:rPr>
          <w:rFonts w:eastAsia="Calibri" w:cs="Arial"/>
          <w:i/>
          <w:szCs w:val="20"/>
          <w:lang w:val="sl-SI"/>
        </w:rPr>
        <w:t>Ocena tveganja za žled, verzija 1.0</w:t>
      </w:r>
    </w:p>
    <w:p w:rsidR="003C1B05" w:rsidRDefault="003C1B05" w:rsidP="00A11C91">
      <w:pPr>
        <w:spacing w:before="120" w:line="276" w:lineRule="auto"/>
        <w:jc w:val="both"/>
        <w:rPr>
          <w:rFonts w:eastAsia="Calibri" w:cs="Arial"/>
          <w:szCs w:val="20"/>
          <w:lang w:val="sl-SI"/>
        </w:rPr>
      </w:pPr>
      <w:r w:rsidRPr="005771BD">
        <w:rPr>
          <w:rFonts w:eastAsia="Calibri" w:cs="Arial"/>
          <w:szCs w:val="20"/>
          <w:lang w:val="sl-SI"/>
        </w:rPr>
        <w:t xml:space="preserve">Vlada RS, 2014. Državni načrt zaščite in reševanja ob potresu, </w:t>
      </w:r>
      <w:r>
        <w:rPr>
          <w:rFonts w:eastAsia="Calibri" w:cs="Arial"/>
          <w:szCs w:val="20"/>
          <w:lang w:val="sl-SI"/>
        </w:rPr>
        <w:t>v</w:t>
      </w:r>
      <w:r w:rsidRPr="005771BD">
        <w:rPr>
          <w:rFonts w:eastAsia="Calibri" w:cs="Arial"/>
          <w:szCs w:val="20"/>
          <w:lang w:val="sl-SI"/>
        </w:rPr>
        <w:t>erzija 3.0. Ministrstvo za obrambo RS, Uprava RS za zaščito in reševanje</w:t>
      </w:r>
    </w:p>
    <w:p w:rsidR="00A11C91" w:rsidRPr="005771BD" w:rsidRDefault="00A11C91" w:rsidP="00A11C91">
      <w:pPr>
        <w:spacing w:before="120" w:line="276" w:lineRule="auto"/>
        <w:jc w:val="both"/>
        <w:rPr>
          <w:rFonts w:eastAsia="Calibri" w:cs="Arial"/>
          <w:szCs w:val="20"/>
          <w:lang w:val="sl-SI"/>
        </w:rPr>
      </w:pPr>
      <w:r>
        <w:rPr>
          <w:rFonts w:eastAsia="Calibri" w:cs="Arial"/>
          <w:szCs w:val="20"/>
          <w:lang w:val="sl-SI"/>
        </w:rPr>
        <w:t>Uprava RS za zaščito in reševanje, 2016. Ocena tveganja za žle, verzija 2.0</w:t>
      </w:r>
    </w:p>
    <w:p w:rsidR="00A11C91" w:rsidRPr="00E71CC6" w:rsidRDefault="00A11C91" w:rsidP="00A11C91">
      <w:pPr>
        <w:spacing w:before="120" w:line="276" w:lineRule="auto"/>
        <w:rPr>
          <w:rFonts w:eastAsia="Calibri" w:cs="Arial"/>
          <w:szCs w:val="20"/>
          <w:lang w:val="sl-SI" w:eastAsia="sl-SI"/>
        </w:rPr>
      </w:pPr>
      <w:r w:rsidRPr="00E71CC6">
        <w:rPr>
          <w:rFonts w:eastAsia="Calibri" w:cs="Arial"/>
          <w:szCs w:val="20"/>
          <w:lang w:val="sl-SI" w:eastAsia="sl-SI"/>
        </w:rPr>
        <w:t>Matajc I., 2002: Suša. Zbornik Nesreče in varstvo pred njimi, izd. URSZR, Ljubljana, 2002.</w:t>
      </w:r>
    </w:p>
    <w:p w:rsidR="00A11C91" w:rsidRPr="00E71CC6" w:rsidRDefault="00A11C91" w:rsidP="00A11C91">
      <w:pPr>
        <w:spacing w:before="120" w:line="276" w:lineRule="auto"/>
        <w:rPr>
          <w:rFonts w:eastAsia="Calibri" w:cs="Arial"/>
          <w:szCs w:val="20"/>
          <w:lang w:val="sl-SI" w:eastAsia="sl-SI"/>
        </w:rPr>
      </w:pPr>
      <w:r w:rsidRPr="00E71CC6">
        <w:rPr>
          <w:rFonts w:eastAsia="Calibri" w:cs="Arial"/>
          <w:szCs w:val="20"/>
          <w:lang w:val="sl-SI" w:eastAsia="sl-SI"/>
        </w:rPr>
        <w:t>Ocena tveganja za sušo, verzija 1.0; 2015. Uprava RS za zaščito in reševanje, 2015.</w:t>
      </w:r>
    </w:p>
    <w:p w:rsidR="00A11C91" w:rsidRPr="00E71CC6" w:rsidRDefault="00A11C91" w:rsidP="00A11C91">
      <w:pPr>
        <w:spacing w:before="120" w:line="276" w:lineRule="auto"/>
        <w:rPr>
          <w:rFonts w:eastAsia="Calibri" w:cs="Arial"/>
          <w:szCs w:val="20"/>
          <w:lang w:val="sl-SI" w:eastAsia="sl-SI"/>
        </w:rPr>
      </w:pPr>
      <w:r w:rsidRPr="00E71CC6">
        <w:rPr>
          <w:rFonts w:eastAsia="Calibri" w:cs="Arial"/>
          <w:szCs w:val="20"/>
          <w:lang w:val="sl-SI" w:eastAsia="sl-SI"/>
        </w:rPr>
        <w:t>Sušnik, A. in Kurnik, B., 2004: Katastrofalna kmetijska suša leta 2003. Revija Ujma, št. 17-18/letnik 2003-2004</w:t>
      </w:r>
    </w:p>
    <w:p w:rsidR="00A11C91" w:rsidRPr="00E71CC6" w:rsidRDefault="00A11C91" w:rsidP="00A11C91">
      <w:pPr>
        <w:spacing w:before="120" w:line="276" w:lineRule="auto"/>
        <w:rPr>
          <w:rFonts w:eastAsia="Calibri" w:cs="Arial"/>
          <w:szCs w:val="20"/>
          <w:lang w:val="sl-SI" w:eastAsia="sl-SI"/>
        </w:rPr>
      </w:pPr>
      <w:r w:rsidRPr="00E71CC6">
        <w:rPr>
          <w:rFonts w:eastAsia="Calibri" w:cs="Arial"/>
          <w:szCs w:val="20"/>
          <w:lang w:val="sl-SI" w:eastAsia="sl-SI"/>
        </w:rPr>
        <w:t>Sušnik, A. in Valher, A., 2013: Neugodni vplivi vremena na kmetijstvo leta 2012. Revija Ujma, št. 27/2013</w:t>
      </w:r>
    </w:p>
    <w:p w:rsidR="00A11C91" w:rsidRPr="00E71CC6" w:rsidRDefault="00A11C91" w:rsidP="00A11C91">
      <w:pPr>
        <w:spacing w:before="120" w:line="276" w:lineRule="auto"/>
        <w:rPr>
          <w:rFonts w:eastAsia="Calibri" w:cs="Arial"/>
          <w:szCs w:val="20"/>
          <w:lang w:val="sl-SI" w:eastAsia="sl-SI"/>
        </w:rPr>
      </w:pPr>
      <w:r w:rsidRPr="00E71CC6">
        <w:rPr>
          <w:rFonts w:eastAsia="Calibri" w:cs="Arial"/>
          <w:szCs w:val="20"/>
          <w:lang w:val="sl-SI" w:eastAsia="sl-SI"/>
        </w:rPr>
        <w:t>Sušnik, A. in Valher, A., 2012: Spomladanska suša in drugi vremenski vplivi na kmetijske rastline leta 2011. Revija Ujma, št. 26/2012</w:t>
      </w:r>
    </w:p>
    <w:p w:rsidR="003C1B05" w:rsidRPr="005771BD" w:rsidRDefault="003C1B05" w:rsidP="003C1B05">
      <w:pPr>
        <w:spacing w:before="120" w:line="276" w:lineRule="auto"/>
        <w:rPr>
          <w:rFonts w:eastAsia="Calibri" w:cs="Arial"/>
          <w:b/>
          <w:szCs w:val="20"/>
          <w:lang w:val="sl-SI"/>
        </w:rPr>
      </w:pPr>
    </w:p>
    <w:p w:rsidR="003C1B05" w:rsidRPr="005771BD" w:rsidRDefault="003C1B05" w:rsidP="003C1B05">
      <w:pPr>
        <w:spacing w:after="200" w:line="276" w:lineRule="auto"/>
        <w:rPr>
          <w:rFonts w:eastAsia="Calibri" w:cs="Arial"/>
          <w:b/>
          <w:szCs w:val="20"/>
          <w:lang w:val="sl-SI"/>
        </w:rPr>
      </w:pPr>
    </w:p>
    <w:p w:rsidR="00993FB7" w:rsidRPr="00993FB7" w:rsidRDefault="00993FB7" w:rsidP="00993FB7">
      <w:pPr>
        <w:spacing w:after="200" w:line="276" w:lineRule="auto"/>
        <w:rPr>
          <w:rFonts w:eastAsia="Calibri" w:cs="Arial"/>
          <w:szCs w:val="20"/>
          <w:lang w:val="sl-SI"/>
        </w:rPr>
      </w:pPr>
    </w:p>
    <w:p w:rsidR="00DF4CD9" w:rsidRPr="005771BD" w:rsidRDefault="00733B54" w:rsidP="00DF4CD9">
      <w:pPr>
        <w:spacing w:after="200" w:line="276" w:lineRule="auto"/>
        <w:rPr>
          <w:rFonts w:eastAsiaTheme="majorEastAsia" w:cs="Arial"/>
          <w:b/>
          <w:bCs/>
          <w:iCs/>
          <w:sz w:val="22"/>
          <w:szCs w:val="22"/>
          <w:lang w:val="sl-SI" w:eastAsia="de-DE"/>
        </w:rPr>
      </w:pPr>
      <w:r>
        <w:rPr>
          <w:rFonts w:eastAsia="Calibri" w:cs="Arial"/>
          <w:b/>
          <w:sz w:val="22"/>
          <w:szCs w:val="22"/>
          <w:lang w:val="sl-SI"/>
        </w:rPr>
        <w:br w:type="column"/>
      </w:r>
      <w:r w:rsidR="00DF4CD9" w:rsidRPr="005771BD">
        <w:rPr>
          <w:rFonts w:eastAsia="Calibri" w:cs="Arial"/>
          <w:b/>
          <w:sz w:val="22"/>
          <w:szCs w:val="22"/>
          <w:lang w:val="sl-SI"/>
        </w:rPr>
        <w:t>1</w:t>
      </w:r>
      <w:r w:rsidR="001A509D">
        <w:rPr>
          <w:rFonts w:eastAsia="Calibri" w:cs="Arial"/>
          <w:b/>
          <w:sz w:val="22"/>
          <w:szCs w:val="22"/>
          <w:lang w:val="sl-SI"/>
        </w:rPr>
        <w:t>5</w:t>
      </w:r>
      <w:r w:rsidR="00DF4CD9" w:rsidRPr="005771BD">
        <w:rPr>
          <w:rFonts w:eastAsia="Calibri" w:cs="Arial"/>
          <w:b/>
          <w:sz w:val="22"/>
          <w:szCs w:val="22"/>
          <w:lang w:val="sl-SI"/>
        </w:rPr>
        <w:t xml:space="preserve"> </w:t>
      </w:r>
      <w:r w:rsidR="00DF4CD9" w:rsidRPr="005771BD">
        <w:rPr>
          <w:rFonts w:eastAsiaTheme="majorEastAsia" w:cs="Arial"/>
          <w:b/>
          <w:bCs/>
          <w:iCs/>
          <w:sz w:val="22"/>
          <w:szCs w:val="22"/>
          <w:lang w:val="sl-SI" w:eastAsia="de-DE"/>
        </w:rPr>
        <w:t>VZGOJA, IZOBRAŽEVANJE</w:t>
      </w:r>
      <w:r w:rsidR="00DF4CD9">
        <w:rPr>
          <w:rFonts w:eastAsiaTheme="majorEastAsia" w:cs="Arial"/>
          <w:b/>
          <w:bCs/>
          <w:iCs/>
          <w:sz w:val="22"/>
          <w:szCs w:val="22"/>
          <w:lang w:val="sl-SI" w:eastAsia="de-DE"/>
        </w:rPr>
        <w:t xml:space="preserve"> IN </w:t>
      </w:r>
      <w:r w:rsidR="00DF4CD9" w:rsidRPr="005771BD">
        <w:rPr>
          <w:rFonts w:eastAsiaTheme="majorEastAsia" w:cs="Arial"/>
          <w:b/>
          <w:bCs/>
          <w:iCs/>
          <w:sz w:val="22"/>
          <w:szCs w:val="22"/>
          <w:lang w:val="sl-SI" w:eastAsia="de-DE"/>
        </w:rPr>
        <w:t>USPOSABLJANJE ZA VARSTVO OKOLJA</w:t>
      </w:r>
      <w:r w:rsidR="00DF4CD9">
        <w:rPr>
          <w:rFonts w:eastAsiaTheme="majorEastAsia" w:cs="Arial"/>
          <w:b/>
          <w:bCs/>
          <w:iCs/>
          <w:sz w:val="22"/>
          <w:szCs w:val="22"/>
          <w:lang w:val="sl-SI" w:eastAsia="de-DE"/>
        </w:rPr>
        <w:t xml:space="preserve"> TER OZAVEŠČANJE O NJEM </w:t>
      </w:r>
    </w:p>
    <w:p w:rsidR="00DF4CD9" w:rsidRPr="005771BD" w:rsidRDefault="00DF4CD9" w:rsidP="00DF4CD9">
      <w:pPr>
        <w:spacing w:line="276" w:lineRule="auto"/>
        <w:rPr>
          <w:rFonts w:eastAsia="Cambria" w:cs="Arial"/>
          <w:szCs w:val="20"/>
          <w:lang w:val="sl-SI"/>
        </w:rPr>
      </w:pPr>
    </w:p>
    <w:p w:rsidR="00DF4CD9" w:rsidRDefault="00DF4CD9" w:rsidP="00DF4CD9">
      <w:pPr>
        <w:spacing w:after="200" w:line="276" w:lineRule="auto"/>
        <w:jc w:val="both"/>
        <w:rPr>
          <w:rFonts w:eastAsia="Cambria" w:cs="Arial"/>
          <w:b/>
          <w:szCs w:val="20"/>
          <w:u w:val="single"/>
          <w:lang w:val="sl-SI"/>
        </w:rPr>
      </w:pPr>
      <w:r w:rsidRPr="005771BD">
        <w:rPr>
          <w:rFonts w:eastAsia="Cambria" w:cs="Arial"/>
          <w:b/>
          <w:szCs w:val="20"/>
          <w:u w:val="single"/>
          <w:lang w:val="sl-SI"/>
        </w:rPr>
        <w:t>1</w:t>
      </w:r>
      <w:r w:rsidR="001A509D">
        <w:rPr>
          <w:rFonts w:eastAsia="Cambria" w:cs="Arial"/>
          <w:b/>
          <w:szCs w:val="20"/>
          <w:u w:val="single"/>
          <w:lang w:val="sl-SI"/>
        </w:rPr>
        <w:t>5</w:t>
      </w:r>
      <w:r w:rsidRPr="005771BD">
        <w:rPr>
          <w:rFonts w:eastAsia="Cambria" w:cs="Arial"/>
          <w:b/>
          <w:szCs w:val="20"/>
          <w:u w:val="single"/>
          <w:lang w:val="sl-SI"/>
        </w:rPr>
        <w:t>.1 Povzetek</w:t>
      </w:r>
    </w:p>
    <w:p w:rsidR="00DF4CD9" w:rsidRPr="005771BD" w:rsidRDefault="00DF4CD9" w:rsidP="00DF4CD9">
      <w:pPr>
        <w:spacing w:after="200" w:line="276" w:lineRule="auto"/>
        <w:jc w:val="both"/>
        <w:rPr>
          <w:rFonts w:eastAsia="Cambria" w:cs="Arial"/>
          <w:szCs w:val="20"/>
          <w:lang w:val="sl-SI"/>
        </w:rPr>
      </w:pPr>
      <w:r>
        <w:rPr>
          <w:rFonts w:eastAsia="Cambria" w:cs="Arial"/>
          <w:szCs w:val="20"/>
          <w:lang w:val="sl-SI"/>
        </w:rPr>
        <w:t>V skladu s</w:t>
      </w:r>
      <w:r w:rsidRPr="005771BD">
        <w:rPr>
          <w:rFonts w:eastAsia="Cambria" w:cs="Arial"/>
          <w:szCs w:val="20"/>
          <w:lang w:val="sl-SI"/>
        </w:rPr>
        <w:t xml:space="preserve"> prenov</w:t>
      </w:r>
      <w:r>
        <w:rPr>
          <w:rFonts w:eastAsia="Cambria" w:cs="Arial"/>
          <w:szCs w:val="20"/>
          <w:lang w:val="sl-SI"/>
        </w:rPr>
        <w:t>o šolskih učnih načrtov</w:t>
      </w:r>
      <w:r w:rsidRPr="005771BD">
        <w:rPr>
          <w:rFonts w:eastAsia="Cambria" w:cs="Arial"/>
          <w:szCs w:val="20"/>
          <w:lang w:val="sl-SI"/>
        </w:rPr>
        <w:t xml:space="preserve"> v sredini prejšnjega desetletja </w:t>
      </w:r>
      <w:r>
        <w:rPr>
          <w:rFonts w:eastAsia="Cambria" w:cs="Arial"/>
          <w:szCs w:val="20"/>
          <w:lang w:val="sl-SI"/>
        </w:rPr>
        <w:t>sta</w:t>
      </w:r>
      <w:r w:rsidRPr="005771BD">
        <w:rPr>
          <w:rFonts w:eastAsia="Cambria" w:cs="Arial"/>
          <w:szCs w:val="20"/>
          <w:lang w:val="sl-SI"/>
        </w:rPr>
        <w:t xml:space="preserve"> bila okoljsk</w:t>
      </w:r>
      <w:r>
        <w:rPr>
          <w:rFonts w:eastAsia="Cambria" w:cs="Arial"/>
          <w:szCs w:val="20"/>
          <w:lang w:val="sl-SI"/>
        </w:rPr>
        <w:t>a</w:t>
      </w:r>
      <w:r w:rsidRPr="005771BD">
        <w:rPr>
          <w:rFonts w:eastAsia="Cambria" w:cs="Arial"/>
          <w:szCs w:val="20"/>
          <w:lang w:val="sl-SI"/>
        </w:rPr>
        <w:t xml:space="preserve"> vzgoj</w:t>
      </w:r>
      <w:r>
        <w:rPr>
          <w:rFonts w:eastAsia="Cambria" w:cs="Arial"/>
          <w:szCs w:val="20"/>
          <w:lang w:val="sl-SI"/>
        </w:rPr>
        <w:t>a</w:t>
      </w:r>
      <w:r w:rsidRPr="005771BD">
        <w:rPr>
          <w:rFonts w:eastAsia="Cambria" w:cs="Arial"/>
          <w:szCs w:val="20"/>
          <w:lang w:val="sl-SI"/>
        </w:rPr>
        <w:t xml:space="preserve"> in študij okolja</w:t>
      </w:r>
      <w:r>
        <w:rPr>
          <w:rFonts w:eastAsia="Cambria" w:cs="Arial"/>
          <w:szCs w:val="20"/>
          <w:lang w:val="sl-SI"/>
        </w:rPr>
        <w:t xml:space="preserve"> vključena</w:t>
      </w:r>
      <w:r w:rsidRPr="005771BD">
        <w:rPr>
          <w:rFonts w:eastAsia="Cambria" w:cs="Arial"/>
          <w:szCs w:val="20"/>
          <w:lang w:val="sl-SI"/>
        </w:rPr>
        <w:t xml:space="preserve"> v </w:t>
      </w:r>
      <w:r>
        <w:rPr>
          <w:rFonts w:eastAsia="Cambria" w:cs="Arial"/>
          <w:szCs w:val="20"/>
          <w:lang w:val="sl-SI"/>
        </w:rPr>
        <w:t>državni</w:t>
      </w:r>
      <w:r w:rsidRPr="005771BD">
        <w:rPr>
          <w:rFonts w:eastAsia="Cambria" w:cs="Arial"/>
          <w:szCs w:val="20"/>
          <w:lang w:val="sl-SI"/>
        </w:rPr>
        <w:t xml:space="preserve"> kurikul na vseh stopnjah izobraževanja. </w:t>
      </w:r>
      <w:r>
        <w:rPr>
          <w:rFonts w:eastAsia="Cambria" w:cs="Arial"/>
          <w:szCs w:val="20"/>
          <w:lang w:val="sl-SI"/>
        </w:rPr>
        <w:t>Državne</w:t>
      </w:r>
      <w:r w:rsidRPr="005771BD">
        <w:rPr>
          <w:rFonts w:eastAsia="Cambria" w:cs="Arial"/>
          <w:szCs w:val="20"/>
          <w:lang w:val="sl-SI"/>
        </w:rPr>
        <w:t xml:space="preserve"> </w:t>
      </w:r>
      <w:r>
        <w:rPr>
          <w:rFonts w:eastAsia="Cambria" w:cs="Arial"/>
          <w:szCs w:val="20"/>
          <w:lang w:val="sl-SI"/>
        </w:rPr>
        <w:t>s</w:t>
      </w:r>
      <w:r w:rsidRPr="005771BD">
        <w:rPr>
          <w:rFonts w:eastAsia="Cambria" w:cs="Arial"/>
          <w:szCs w:val="20"/>
          <w:lang w:val="sl-SI"/>
        </w:rPr>
        <w:t xml:space="preserve">mernice za vzgojo in izobraževanje za trajnostni razvoj (VITR) od leta 2007 </w:t>
      </w:r>
      <w:r>
        <w:rPr>
          <w:rFonts w:eastAsia="Cambria" w:cs="Arial"/>
          <w:szCs w:val="20"/>
          <w:lang w:val="sl-SI"/>
        </w:rPr>
        <w:t xml:space="preserve">pomenijo </w:t>
      </w:r>
      <w:r w:rsidRPr="005771BD">
        <w:rPr>
          <w:rFonts w:eastAsia="Cambria" w:cs="Arial"/>
          <w:szCs w:val="20"/>
          <w:lang w:val="sl-SI"/>
        </w:rPr>
        <w:t xml:space="preserve">širši okvir za vključevanje okoljskih in naravovarstvenih ciljev, vsebin in metod.  V zadnjih letih se kot del poklicnih standardov uvaja nova kompetenca za trajnostni razvoj. Ustanovljenih je bilo več šolskih mrež, ki promovirajo cilje in načela trajnostnega razvoja, nekateri srednje- in visokošolski centri </w:t>
      </w:r>
      <w:r>
        <w:rPr>
          <w:rFonts w:eastAsia="Cambria" w:cs="Arial"/>
          <w:szCs w:val="20"/>
          <w:lang w:val="sl-SI"/>
        </w:rPr>
        <w:t>vzpostavljajo</w:t>
      </w:r>
      <w:r w:rsidRPr="005771BD">
        <w:rPr>
          <w:rFonts w:eastAsia="Cambria" w:cs="Arial"/>
          <w:szCs w:val="20"/>
          <w:lang w:val="sl-SI"/>
        </w:rPr>
        <w:t xml:space="preserve"> celostn</w:t>
      </w:r>
      <w:r>
        <w:rPr>
          <w:rFonts w:eastAsia="Cambria" w:cs="Arial"/>
          <w:szCs w:val="20"/>
          <w:lang w:val="sl-SI"/>
        </w:rPr>
        <w:t>i</w:t>
      </w:r>
      <w:r w:rsidRPr="005771BD">
        <w:rPr>
          <w:rFonts w:eastAsia="Cambria" w:cs="Arial"/>
          <w:szCs w:val="20"/>
          <w:lang w:val="sl-SI"/>
        </w:rPr>
        <w:t xml:space="preserve"> pristop</w:t>
      </w:r>
      <w:r>
        <w:rPr>
          <w:rFonts w:eastAsia="Cambria" w:cs="Arial"/>
          <w:szCs w:val="20"/>
          <w:lang w:val="sl-SI"/>
        </w:rPr>
        <w:t xml:space="preserve"> k</w:t>
      </w:r>
      <w:r w:rsidRPr="005771BD">
        <w:rPr>
          <w:rFonts w:eastAsia="Cambria" w:cs="Arial"/>
          <w:szCs w:val="20"/>
          <w:lang w:val="sl-SI"/>
        </w:rPr>
        <w:t xml:space="preserve"> trajno</w:t>
      </w:r>
      <w:r>
        <w:rPr>
          <w:rFonts w:eastAsia="Cambria" w:cs="Arial"/>
          <w:szCs w:val="20"/>
          <w:lang w:val="sl-SI"/>
        </w:rPr>
        <w:t>stnemu razvoju</w:t>
      </w:r>
      <w:r w:rsidRPr="005771BD">
        <w:rPr>
          <w:rFonts w:eastAsia="Cambria" w:cs="Arial"/>
          <w:szCs w:val="20"/>
          <w:lang w:val="sl-SI"/>
        </w:rPr>
        <w:t xml:space="preserve">. V zadnjih letih se kot del poklicnih standardov uvaja nova kompetenca za trajnostni razvoj. </w:t>
      </w:r>
      <w:r>
        <w:rPr>
          <w:rFonts w:eastAsia="Cambria" w:cs="Arial"/>
          <w:szCs w:val="20"/>
          <w:lang w:val="sl-SI"/>
        </w:rPr>
        <w:t>Š</w:t>
      </w:r>
      <w:r w:rsidRPr="005771BD">
        <w:rPr>
          <w:rFonts w:eastAsia="Cambria" w:cs="Arial"/>
          <w:szCs w:val="20"/>
          <w:lang w:val="sl-SI"/>
        </w:rPr>
        <w:t>tevilne kakovostne prakse, projekti, učna gradiva in drug</w:t>
      </w:r>
      <w:r>
        <w:rPr>
          <w:rFonts w:eastAsia="Cambria" w:cs="Arial"/>
          <w:szCs w:val="20"/>
          <w:lang w:val="sl-SI"/>
        </w:rPr>
        <w:t>o so že vzpostavljeni</w:t>
      </w:r>
      <w:r w:rsidRPr="005771BD">
        <w:rPr>
          <w:rFonts w:eastAsia="Cambria" w:cs="Arial"/>
          <w:szCs w:val="20"/>
          <w:lang w:val="sl-SI"/>
        </w:rPr>
        <w:t xml:space="preserve">, </w:t>
      </w:r>
      <w:r>
        <w:rPr>
          <w:rFonts w:eastAsia="Cambria" w:cs="Arial"/>
          <w:szCs w:val="20"/>
          <w:lang w:val="sl-SI"/>
        </w:rPr>
        <w:t>vendar</w:t>
      </w:r>
      <w:r w:rsidRPr="005771BD">
        <w:rPr>
          <w:rFonts w:eastAsia="Cambria" w:cs="Arial"/>
          <w:szCs w:val="20"/>
          <w:lang w:val="sl-SI"/>
        </w:rPr>
        <w:t xml:space="preserve"> so še premalo povezani in</w:t>
      </w:r>
      <w:r>
        <w:rPr>
          <w:rFonts w:eastAsia="Cambria" w:cs="Arial"/>
          <w:szCs w:val="20"/>
          <w:lang w:val="sl-SI"/>
        </w:rPr>
        <w:t xml:space="preserve"> se še premalo</w:t>
      </w:r>
      <w:r w:rsidRPr="005771BD">
        <w:rPr>
          <w:rFonts w:eastAsia="Cambria" w:cs="Arial"/>
          <w:szCs w:val="20"/>
          <w:lang w:val="sl-SI"/>
        </w:rPr>
        <w:t xml:space="preserve"> uporablj</w:t>
      </w:r>
      <w:r>
        <w:rPr>
          <w:rFonts w:eastAsia="Cambria" w:cs="Arial"/>
          <w:szCs w:val="20"/>
          <w:lang w:val="sl-SI"/>
        </w:rPr>
        <w:t>ajo</w:t>
      </w:r>
      <w:r w:rsidRPr="005771BD">
        <w:rPr>
          <w:rFonts w:eastAsia="Cambria" w:cs="Arial"/>
          <w:szCs w:val="20"/>
          <w:lang w:val="sl-SI"/>
        </w:rPr>
        <w:t xml:space="preserve">. </w:t>
      </w:r>
    </w:p>
    <w:p w:rsidR="00DF4CD9" w:rsidRPr="005771BD" w:rsidRDefault="00DF4CD9" w:rsidP="00DF4CD9">
      <w:pPr>
        <w:spacing w:after="200" w:line="276" w:lineRule="auto"/>
        <w:jc w:val="both"/>
        <w:rPr>
          <w:rFonts w:eastAsia="Cambria" w:cs="Arial"/>
          <w:bCs/>
          <w:szCs w:val="20"/>
          <w:lang w:val="sl-SI"/>
        </w:rPr>
      </w:pPr>
      <w:r w:rsidRPr="005771BD">
        <w:rPr>
          <w:rFonts w:eastAsia="Cambria" w:cs="Arial"/>
          <w:szCs w:val="20"/>
          <w:lang w:val="sl-SI"/>
        </w:rPr>
        <w:t>E</w:t>
      </w:r>
      <w:r w:rsidRPr="005771BD">
        <w:rPr>
          <w:rFonts w:eastAsia="Cambria" w:cs="Arial"/>
          <w:bCs/>
          <w:szCs w:val="20"/>
          <w:lang w:val="sl-SI"/>
        </w:rPr>
        <w:t xml:space="preserve">valvacija uvajanja smernic še ni bila izvedena, po letu 2012 pa </w:t>
      </w:r>
      <w:r>
        <w:rPr>
          <w:rFonts w:eastAsia="Cambria" w:cs="Arial"/>
          <w:bCs/>
          <w:szCs w:val="20"/>
          <w:lang w:val="sl-SI"/>
        </w:rPr>
        <w:t>je opazen</w:t>
      </w:r>
      <w:r w:rsidRPr="005771BD">
        <w:rPr>
          <w:rFonts w:eastAsia="Cambria" w:cs="Arial"/>
          <w:bCs/>
          <w:szCs w:val="20"/>
          <w:lang w:val="sl-SI"/>
        </w:rPr>
        <w:t xml:space="preserve"> upad sistematičnih aktivnosti na področju splošnega izobraževanja</w:t>
      </w:r>
      <w:r w:rsidR="00F728E5">
        <w:rPr>
          <w:rFonts w:eastAsia="Cambria" w:cs="Arial"/>
          <w:bCs/>
          <w:szCs w:val="20"/>
          <w:lang w:val="sl-SI"/>
        </w:rPr>
        <w:t xml:space="preserve"> mladine</w:t>
      </w:r>
      <w:r w:rsidRPr="005771BD">
        <w:rPr>
          <w:rFonts w:eastAsia="Cambria" w:cs="Arial"/>
          <w:bCs/>
          <w:szCs w:val="20"/>
          <w:lang w:val="sl-SI"/>
        </w:rPr>
        <w:t>. Zato je treb</w:t>
      </w:r>
      <w:r>
        <w:rPr>
          <w:rFonts w:eastAsia="Cambria" w:cs="Arial"/>
          <w:bCs/>
          <w:szCs w:val="20"/>
          <w:lang w:val="sl-SI"/>
        </w:rPr>
        <w:t>a</w:t>
      </w:r>
      <w:r w:rsidRPr="005771BD">
        <w:rPr>
          <w:rFonts w:eastAsia="Cambria" w:cs="Arial"/>
          <w:bCs/>
          <w:szCs w:val="20"/>
          <w:lang w:val="sl-SI"/>
        </w:rPr>
        <w:t xml:space="preserve"> zagotoviti ustrezno izvajanje in stalno evalvacijo izvajanja vpeljave VITR na vseh področjih izobraževanja in usposabljanja, od medpredmetnih kurikulov (ki gradijo na že prej vpeljani okoljski vzgoji) do kompetence za trajnostni razvoj. </w:t>
      </w:r>
    </w:p>
    <w:p w:rsidR="00DF4CD9" w:rsidRPr="005771BD" w:rsidRDefault="00DF4CD9" w:rsidP="00DF4CD9">
      <w:pPr>
        <w:spacing w:after="200" w:line="276" w:lineRule="auto"/>
        <w:jc w:val="both"/>
        <w:rPr>
          <w:rFonts w:eastAsia="Cambria" w:cs="Arial"/>
          <w:bCs/>
          <w:szCs w:val="20"/>
          <w:lang w:val="sl-SI"/>
        </w:rPr>
      </w:pPr>
      <w:r w:rsidRPr="005771BD">
        <w:rPr>
          <w:rFonts w:eastAsia="Cambria" w:cs="Arial"/>
          <w:bCs/>
          <w:szCs w:val="20"/>
          <w:lang w:val="sl-SI"/>
        </w:rPr>
        <w:t xml:space="preserve">Poseben izziv </w:t>
      </w:r>
      <w:r>
        <w:rPr>
          <w:rFonts w:eastAsia="Cambria" w:cs="Arial"/>
          <w:bCs/>
          <w:szCs w:val="20"/>
          <w:lang w:val="sl-SI"/>
        </w:rPr>
        <w:t>je</w:t>
      </w:r>
      <w:r w:rsidRPr="005771BD">
        <w:rPr>
          <w:rFonts w:eastAsia="Cambria" w:cs="Arial"/>
          <w:bCs/>
          <w:szCs w:val="20"/>
          <w:lang w:val="sl-SI"/>
        </w:rPr>
        <w:t xml:space="preserve"> vpeljava d</w:t>
      </w:r>
      <w:r>
        <w:rPr>
          <w:rFonts w:eastAsia="Cambria" w:cs="Arial"/>
          <w:bCs/>
          <w:szCs w:val="20"/>
          <w:lang w:val="sl-SI"/>
        </w:rPr>
        <w:t>oslej</w:t>
      </w:r>
      <w:r w:rsidRPr="005771BD">
        <w:rPr>
          <w:rFonts w:eastAsia="Cambria" w:cs="Arial"/>
          <w:bCs/>
          <w:szCs w:val="20"/>
          <w:lang w:val="sl-SI"/>
        </w:rPr>
        <w:t xml:space="preserve"> zanemarjene ekonomske razsežnosti trajnostnega razvoja in njeno povezovanje z okoljsko razsežnostjo, še zlasti v skladu z </w:t>
      </w:r>
      <w:r>
        <w:rPr>
          <w:rFonts w:eastAsia="Cambria" w:cs="Arial"/>
          <w:bCs/>
          <w:szCs w:val="20"/>
          <w:lang w:val="sl-SI"/>
        </w:rPr>
        <w:t>domačimi</w:t>
      </w:r>
      <w:r w:rsidRPr="005771BD">
        <w:rPr>
          <w:rFonts w:eastAsia="Cambria" w:cs="Arial"/>
          <w:bCs/>
          <w:szCs w:val="20"/>
          <w:lang w:val="sl-SI"/>
        </w:rPr>
        <w:t xml:space="preserve"> in evropskimi usmeritvami za prehod v zeleno gospodarstvo in spodbujanje zelenih delovnih mest.  </w:t>
      </w:r>
    </w:p>
    <w:p w:rsidR="00DF4CD9" w:rsidRPr="005771BD" w:rsidRDefault="00DF4CD9" w:rsidP="00DF4CD9">
      <w:pPr>
        <w:spacing w:after="200" w:line="276" w:lineRule="auto"/>
        <w:jc w:val="both"/>
        <w:rPr>
          <w:rFonts w:eastAsia="Cambria" w:cs="Arial"/>
          <w:bCs/>
          <w:szCs w:val="20"/>
          <w:lang w:val="sl-SI"/>
        </w:rPr>
      </w:pPr>
      <w:r w:rsidRPr="005771BD">
        <w:rPr>
          <w:rFonts w:eastAsia="Cambria" w:cs="Arial"/>
          <w:bCs/>
          <w:szCs w:val="20"/>
          <w:lang w:val="sl-SI"/>
        </w:rPr>
        <w:t>Številni, vendar še nezadostno povezani in sistematični projekti in pobude</w:t>
      </w:r>
      <w:r>
        <w:rPr>
          <w:rFonts w:eastAsia="Cambria" w:cs="Arial"/>
          <w:bCs/>
          <w:szCs w:val="20"/>
          <w:lang w:val="sl-SI"/>
        </w:rPr>
        <w:t>,</w:t>
      </w:r>
      <w:r w:rsidRPr="005771BD">
        <w:rPr>
          <w:rFonts w:eastAsia="Cambria" w:cs="Arial"/>
          <w:bCs/>
          <w:szCs w:val="20"/>
          <w:lang w:val="sl-SI"/>
        </w:rPr>
        <w:t xml:space="preserve"> so se izvajali tudi na področjih ozaveščanja, informiranja in komuniciranja o varovanju okolja in ohranjanju narave. Nekateri so</w:t>
      </w:r>
      <w:r>
        <w:rPr>
          <w:rFonts w:eastAsia="Cambria" w:cs="Arial"/>
          <w:bCs/>
          <w:szCs w:val="20"/>
          <w:lang w:val="sl-SI"/>
        </w:rPr>
        <w:t xml:space="preserve"> bili odmevni</w:t>
      </w:r>
      <w:r w:rsidRPr="005771BD">
        <w:rPr>
          <w:rFonts w:eastAsia="Cambria" w:cs="Arial"/>
          <w:bCs/>
          <w:szCs w:val="20"/>
          <w:lang w:val="sl-SI"/>
        </w:rPr>
        <w:t xml:space="preserve"> tudi v mednarodnem merilu. Sklepamo lahko, da so tudi te aktivnosti prispevale k opazn</w:t>
      </w:r>
      <w:r>
        <w:rPr>
          <w:rFonts w:eastAsia="Cambria" w:cs="Arial"/>
          <w:bCs/>
          <w:szCs w:val="20"/>
          <w:lang w:val="sl-SI"/>
        </w:rPr>
        <w:t>o večji</w:t>
      </w:r>
      <w:r w:rsidRPr="005771BD">
        <w:rPr>
          <w:rFonts w:eastAsia="Cambria" w:cs="Arial"/>
          <w:bCs/>
          <w:szCs w:val="20"/>
          <w:lang w:val="sl-SI"/>
        </w:rPr>
        <w:t xml:space="preserve"> ozaveščenosti o okoljskih vprašanjih, ki je nadpovprečno visoka glede na druge države EU. </w:t>
      </w:r>
    </w:p>
    <w:p w:rsidR="00DF4CD9" w:rsidRPr="005771BD" w:rsidRDefault="00DF4CD9" w:rsidP="00DF4CD9">
      <w:pPr>
        <w:spacing w:after="200" w:line="276" w:lineRule="auto"/>
        <w:jc w:val="both"/>
        <w:rPr>
          <w:rFonts w:eastAsia="Cambria" w:cs="Arial"/>
          <w:szCs w:val="20"/>
          <w:lang w:val="sl-SI"/>
        </w:rPr>
      </w:pPr>
      <w:r w:rsidRPr="005771BD">
        <w:rPr>
          <w:rFonts w:eastAsia="Cambria" w:cs="Arial"/>
          <w:bCs/>
          <w:szCs w:val="20"/>
          <w:lang w:val="sl-SI"/>
        </w:rPr>
        <w:t>Na vseh navedenih področjih so aktivne okoljske in naravovarstvene nevladne organizacije, ki opravljajo še poseb</w:t>
      </w:r>
      <w:r>
        <w:rPr>
          <w:rFonts w:eastAsia="Cambria" w:cs="Arial"/>
          <w:bCs/>
          <w:szCs w:val="20"/>
          <w:lang w:val="sl-SI"/>
        </w:rPr>
        <w:t>ej</w:t>
      </w:r>
      <w:r w:rsidRPr="005771BD">
        <w:rPr>
          <w:rFonts w:eastAsia="Cambria" w:cs="Arial"/>
          <w:bCs/>
          <w:szCs w:val="20"/>
          <w:lang w:val="sl-SI"/>
        </w:rPr>
        <w:t xml:space="preserve"> pomembno nalogo </w:t>
      </w:r>
      <w:r w:rsidRPr="005771BD">
        <w:rPr>
          <w:rFonts w:eastAsia="Cambria" w:cs="Arial"/>
          <w:szCs w:val="20"/>
          <w:lang w:val="sl-SI"/>
        </w:rPr>
        <w:t>vplivanja na oblikovanje politike in zakonodaje v Sloveniji</w:t>
      </w:r>
      <w:r>
        <w:rPr>
          <w:rFonts w:eastAsia="Cambria" w:cs="Arial"/>
          <w:szCs w:val="20"/>
          <w:lang w:val="sl-SI"/>
        </w:rPr>
        <w:t xml:space="preserve"> in</w:t>
      </w:r>
      <w:r w:rsidRPr="005771BD">
        <w:rPr>
          <w:rFonts w:eastAsia="Cambria" w:cs="Arial"/>
          <w:szCs w:val="20"/>
          <w:lang w:val="sl-SI"/>
        </w:rPr>
        <w:t xml:space="preserve"> na ravni Evropske skupnosti. </w:t>
      </w:r>
    </w:p>
    <w:p w:rsidR="00DF4CD9" w:rsidRPr="005771BD" w:rsidRDefault="00DF4CD9" w:rsidP="00DF4CD9">
      <w:pPr>
        <w:spacing w:line="276" w:lineRule="auto"/>
        <w:rPr>
          <w:rFonts w:eastAsia="Cambria" w:cs="Arial"/>
          <w:szCs w:val="20"/>
          <w:lang w:val="sl-SI"/>
        </w:rPr>
      </w:pPr>
    </w:p>
    <w:p w:rsidR="00DF4CD9" w:rsidRPr="005771BD" w:rsidRDefault="00DF4CD9" w:rsidP="00DF4CD9">
      <w:pPr>
        <w:tabs>
          <w:tab w:val="left" w:pos="284"/>
        </w:tabs>
        <w:spacing w:after="200" w:line="276" w:lineRule="auto"/>
        <w:rPr>
          <w:rFonts w:eastAsia="Cambria" w:cs="Arial"/>
          <w:b/>
          <w:szCs w:val="20"/>
          <w:u w:val="single"/>
          <w:lang w:val="sl-SI"/>
        </w:rPr>
      </w:pPr>
      <w:r w:rsidRPr="005771BD">
        <w:rPr>
          <w:rFonts w:eastAsia="Cambria" w:cs="Arial"/>
          <w:b/>
          <w:szCs w:val="20"/>
          <w:u w:val="single"/>
          <w:lang w:val="sl-SI"/>
        </w:rPr>
        <w:t>1</w:t>
      </w:r>
      <w:r w:rsidR="001A509D">
        <w:rPr>
          <w:rFonts w:eastAsia="Cambria" w:cs="Arial"/>
          <w:b/>
          <w:szCs w:val="20"/>
          <w:u w:val="single"/>
          <w:lang w:val="sl-SI"/>
        </w:rPr>
        <w:t>5</w:t>
      </w:r>
      <w:r w:rsidRPr="005771BD">
        <w:rPr>
          <w:rFonts w:eastAsia="Cambria" w:cs="Arial"/>
          <w:b/>
          <w:szCs w:val="20"/>
          <w:u w:val="single"/>
          <w:lang w:val="sl-SI"/>
        </w:rPr>
        <w:t xml:space="preserve">.2 Vključenost okoljskih vsebin v programe vzgoje in izobraževanja  </w:t>
      </w:r>
    </w:p>
    <w:p w:rsidR="00DF4CD9" w:rsidRPr="005771BD" w:rsidRDefault="00DF4CD9" w:rsidP="00DF4CD9">
      <w:pPr>
        <w:spacing w:after="200" w:line="276" w:lineRule="auto"/>
        <w:jc w:val="both"/>
        <w:rPr>
          <w:rFonts w:eastAsia="Cambria" w:cs="Arial"/>
          <w:szCs w:val="20"/>
          <w:lang w:val="sl-SI"/>
        </w:rPr>
      </w:pPr>
      <w:r w:rsidRPr="005771BD">
        <w:rPr>
          <w:rFonts w:eastAsia="Cambria" w:cs="Arial"/>
          <w:szCs w:val="20"/>
          <w:lang w:val="sl-SI"/>
        </w:rPr>
        <w:t>Vzgoja in izobraževanje za varstvo okolja in ohranjanje narave se izvaja</w:t>
      </w:r>
      <w:r>
        <w:rPr>
          <w:rFonts w:eastAsia="Cambria" w:cs="Arial"/>
          <w:szCs w:val="20"/>
          <w:lang w:val="sl-SI"/>
        </w:rPr>
        <w:t>ta</w:t>
      </w:r>
      <w:r w:rsidRPr="005771BD">
        <w:rPr>
          <w:rFonts w:eastAsia="Cambria" w:cs="Arial"/>
          <w:szCs w:val="20"/>
          <w:lang w:val="sl-SI"/>
        </w:rPr>
        <w:t xml:space="preserve"> v okviru okoljske vzgoje (ki ima v slovenskem sistemu vzgoje in izobraževanja daljšo tradicijo) ter novejše vzgoje in izobraževanja za trajnostni razvoj. </w:t>
      </w:r>
    </w:p>
    <w:p w:rsidR="00DF4CD9" w:rsidRPr="005771BD" w:rsidRDefault="00DF4CD9" w:rsidP="00DF4CD9">
      <w:pPr>
        <w:spacing w:line="276" w:lineRule="auto"/>
        <w:jc w:val="both"/>
        <w:rPr>
          <w:rFonts w:eastAsia="Cambria" w:cs="Arial"/>
          <w:szCs w:val="20"/>
          <w:lang w:val="sl-SI"/>
        </w:rPr>
      </w:pPr>
      <w:r>
        <w:rPr>
          <w:rFonts w:eastAsia="Cambria" w:cs="Arial"/>
          <w:szCs w:val="20"/>
          <w:lang w:val="sl-SI"/>
        </w:rPr>
        <w:t xml:space="preserve">V skladu s </w:t>
      </w:r>
      <w:r w:rsidRPr="005771BD">
        <w:rPr>
          <w:rFonts w:eastAsia="Cambria" w:cs="Arial"/>
          <w:szCs w:val="20"/>
          <w:lang w:val="sl-SI"/>
        </w:rPr>
        <w:t>prenov</w:t>
      </w:r>
      <w:r>
        <w:rPr>
          <w:rFonts w:eastAsia="Cambria" w:cs="Arial"/>
          <w:szCs w:val="20"/>
          <w:lang w:val="sl-SI"/>
        </w:rPr>
        <w:t>o šolskih učnih načrtov</w:t>
      </w:r>
      <w:r w:rsidRPr="005771BD">
        <w:rPr>
          <w:rFonts w:eastAsia="Cambria" w:cs="Arial"/>
          <w:szCs w:val="20"/>
          <w:lang w:val="sl-SI"/>
        </w:rPr>
        <w:t xml:space="preserve"> v sredini prejšnjega desetletja </w:t>
      </w:r>
      <w:r>
        <w:rPr>
          <w:rFonts w:eastAsia="Cambria" w:cs="Arial"/>
          <w:szCs w:val="20"/>
          <w:lang w:val="sl-SI"/>
        </w:rPr>
        <w:t>sta</w:t>
      </w:r>
      <w:r w:rsidRPr="005771BD">
        <w:rPr>
          <w:rFonts w:eastAsia="Cambria" w:cs="Arial"/>
          <w:szCs w:val="20"/>
          <w:lang w:val="sl-SI"/>
        </w:rPr>
        <w:t xml:space="preserve"> bila</w:t>
      </w:r>
      <w:r>
        <w:rPr>
          <w:rFonts w:eastAsia="Cambria" w:cs="Arial"/>
          <w:szCs w:val="20"/>
          <w:lang w:val="sl-SI"/>
        </w:rPr>
        <w:t xml:space="preserve"> </w:t>
      </w:r>
      <w:r w:rsidRPr="005771BD">
        <w:rPr>
          <w:rFonts w:eastAsia="Cambria" w:cs="Arial"/>
          <w:szCs w:val="20"/>
          <w:lang w:val="sl-SI"/>
        </w:rPr>
        <w:t>okoljsk</w:t>
      </w:r>
      <w:r>
        <w:rPr>
          <w:rFonts w:eastAsia="Cambria" w:cs="Arial"/>
          <w:szCs w:val="20"/>
          <w:lang w:val="sl-SI"/>
        </w:rPr>
        <w:t>a</w:t>
      </w:r>
      <w:r w:rsidRPr="005771BD">
        <w:rPr>
          <w:rFonts w:eastAsia="Cambria" w:cs="Arial"/>
          <w:szCs w:val="20"/>
          <w:lang w:val="sl-SI"/>
        </w:rPr>
        <w:t xml:space="preserve"> vzgoj</w:t>
      </w:r>
      <w:r>
        <w:rPr>
          <w:rFonts w:eastAsia="Cambria" w:cs="Arial"/>
          <w:szCs w:val="20"/>
          <w:lang w:val="sl-SI"/>
        </w:rPr>
        <w:t>a</w:t>
      </w:r>
      <w:r w:rsidRPr="005771BD">
        <w:rPr>
          <w:rFonts w:eastAsia="Cambria" w:cs="Arial"/>
          <w:szCs w:val="20"/>
          <w:lang w:val="sl-SI"/>
        </w:rPr>
        <w:t xml:space="preserve"> in študij okolja </w:t>
      </w:r>
      <w:r>
        <w:rPr>
          <w:rFonts w:eastAsia="Cambria" w:cs="Arial"/>
          <w:szCs w:val="20"/>
          <w:lang w:val="sl-SI"/>
        </w:rPr>
        <w:t xml:space="preserve">vključena </w:t>
      </w:r>
      <w:r w:rsidRPr="005771BD">
        <w:rPr>
          <w:rFonts w:eastAsia="Cambria" w:cs="Arial"/>
          <w:szCs w:val="20"/>
          <w:lang w:val="sl-SI"/>
        </w:rPr>
        <w:t xml:space="preserve">v </w:t>
      </w:r>
      <w:r>
        <w:rPr>
          <w:rFonts w:eastAsia="Cambria" w:cs="Arial"/>
          <w:szCs w:val="20"/>
          <w:lang w:val="sl-SI"/>
        </w:rPr>
        <w:t>državni</w:t>
      </w:r>
      <w:r w:rsidRPr="005771BD">
        <w:rPr>
          <w:rFonts w:eastAsia="Cambria" w:cs="Arial"/>
          <w:szCs w:val="20"/>
          <w:lang w:val="sl-SI"/>
        </w:rPr>
        <w:t xml:space="preserve"> kurikul na vseh stopnjah izobraževanja: </w:t>
      </w:r>
    </w:p>
    <w:p w:rsidR="00DF4CD9" w:rsidRPr="005771BD" w:rsidRDefault="00DF4CD9" w:rsidP="00DF4CD9">
      <w:pPr>
        <w:widowControl w:val="0"/>
        <w:numPr>
          <w:ilvl w:val="0"/>
          <w:numId w:val="28"/>
        </w:numPr>
        <w:tabs>
          <w:tab w:val="num" w:pos="284"/>
        </w:tabs>
        <w:suppressAutoHyphens/>
        <w:spacing w:before="60" w:after="100" w:afterAutospacing="1" w:line="276" w:lineRule="auto"/>
        <w:ind w:left="284" w:hanging="284"/>
        <w:jc w:val="both"/>
        <w:rPr>
          <w:rFonts w:eastAsia="Cambria" w:cs="Arial"/>
          <w:szCs w:val="20"/>
          <w:lang w:val="sl-SI"/>
        </w:rPr>
      </w:pPr>
      <w:r w:rsidRPr="005771BD">
        <w:rPr>
          <w:rFonts w:eastAsia="Cambria" w:cs="Arial"/>
          <w:szCs w:val="20"/>
          <w:lang w:val="sl-SI"/>
        </w:rPr>
        <w:t xml:space="preserve">v program osnovne šole kot medpredmetno področje, izbirni predmet, v sklop dnevov dejavnosti (predvsem naravoslovnih), šole v naravi in obšolskih dejavnostih,  </w:t>
      </w:r>
      <w:r>
        <w:rPr>
          <w:rFonts w:eastAsia="Cambria" w:cs="Arial"/>
          <w:szCs w:val="20"/>
          <w:lang w:val="sl-SI"/>
        </w:rPr>
        <w:t xml:space="preserve">v </w:t>
      </w:r>
      <w:r w:rsidRPr="005771BD">
        <w:rPr>
          <w:rFonts w:eastAsia="Cambria" w:cs="Arial"/>
          <w:szCs w:val="20"/>
          <w:lang w:val="sl-SI"/>
        </w:rPr>
        <w:t>različn</w:t>
      </w:r>
      <w:r>
        <w:rPr>
          <w:rFonts w:eastAsia="Cambria" w:cs="Arial"/>
          <w:szCs w:val="20"/>
          <w:lang w:val="sl-SI"/>
        </w:rPr>
        <w:t>e</w:t>
      </w:r>
      <w:r w:rsidRPr="005771BD">
        <w:rPr>
          <w:rFonts w:eastAsia="Cambria" w:cs="Arial"/>
          <w:szCs w:val="20"/>
          <w:lang w:val="sl-SI"/>
        </w:rPr>
        <w:t xml:space="preserve"> projekt</w:t>
      </w:r>
      <w:r>
        <w:rPr>
          <w:rFonts w:eastAsia="Cambria" w:cs="Arial"/>
          <w:szCs w:val="20"/>
          <w:lang w:val="sl-SI"/>
        </w:rPr>
        <w:t>e</w:t>
      </w:r>
      <w:r w:rsidRPr="005771BD">
        <w:rPr>
          <w:rFonts w:eastAsia="Cambria" w:cs="Arial"/>
          <w:szCs w:val="20"/>
          <w:lang w:val="sl-SI"/>
        </w:rPr>
        <w:t>, v katere se šola avtonomno vključuje (npr. projekt »eko« šol, »Unescovih« šol in projekt »zdravih« šol)</w:t>
      </w:r>
      <w:r>
        <w:rPr>
          <w:rFonts w:eastAsia="Cambria" w:cs="Arial"/>
          <w:szCs w:val="20"/>
          <w:lang w:val="sl-SI"/>
        </w:rPr>
        <w:t>,</w:t>
      </w:r>
      <w:r w:rsidRPr="005771BD">
        <w:rPr>
          <w:rFonts w:eastAsia="Cambria" w:cs="Arial"/>
          <w:szCs w:val="20"/>
          <w:lang w:val="sl-SI"/>
        </w:rPr>
        <w:t xml:space="preserve"> ter v mladinsko-raziskovalne dejavnosti. </w:t>
      </w:r>
      <w:r>
        <w:rPr>
          <w:rFonts w:eastAsia="Cambria" w:cs="Arial"/>
          <w:szCs w:val="20"/>
          <w:lang w:val="sl-SI"/>
        </w:rPr>
        <w:t>O</w:t>
      </w:r>
      <w:r w:rsidRPr="005771BD">
        <w:rPr>
          <w:rFonts w:eastAsia="Cambria" w:cs="Arial"/>
          <w:szCs w:val="20"/>
          <w:lang w:val="sl-SI"/>
        </w:rPr>
        <w:t>koljsk</w:t>
      </w:r>
      <w:r>
        <w:rPr>
          <w:rFonts w:eastAsia="Cambria" w:cs="Arial"/>
          <w:szCs w:val="20"/>
          <w:lang w:val="sl-SI"/>
        </w:rPr>
        <w:t>a</w:t>
      </w:r>
      <w:r w:rsidRPr="005771BD">
        <w:rPr>
          <w:rFonts w:eastAsia="Cambria" w:cs="Arial"/>
          <w:szCs w:val="20"/>
          <w:lang w:val="sl-SI"/>
        </w:rPr>
        <w:t xml:space="preserve"> vzgoj</w:t>
      </w:r>
      <w:r>
        <w:rPr>
          <w:rFonts w:eastAsia="Cambria" w:cs="Arial"/>
          <w:szCs w:val="20"/>
          <w:lang w:val="sl-SI"/>
        </w:rPr>
        <w:t>a</w:t>
      </w:r>
      <w:r w:rsidRPr="005771BD">
        <w:rPr>
          <w:rFonts w:eastAsia="Cambria" w:cs="Arial"/>
          <w:szCs w:val="20"/>
          <w:lang w:val="sl-SI"/>
        </w:rPr>
        <w:t xml:space="preserve"> </w:t>
      </w:r>
      <w:r>
        <w:rPr>
          <w:rFonts w:eastAsia="Cambria" w:cs="Arial"/>
          <w:szCs w:val="20"/>
          <w:lang w:val="sl-SI"/>
        </w:rPr>
        <w:t>je</w:t>
      </w:r>
      <w:r w:rsidRPr="005771BD">
        <w:rPr>
          <w:rFonts w:eastAsia="Cambria" w:cs="Arial"/>
          <w:szCs w:val="20"/>
          <w:lang w:val="sl-SI"/>
        </w:rPr>
        <w:t xml:space="preserve"> vključen</w:t>
      </w:r>
      <w:r>
        <w:rPr>
          <w:rFonts w:eastAsia="Cambria" w:cs="Arial"/>
          <w:szCs w:val="20"/>
          <w:lang w:val="sl-SI"/>
        </w:rPr>
        <w:t>a</w:t>
      </w:r>
      <w:r w:rsidRPr="005771BD">
        <w:rPr>
          <w:rFonts w:eastAsia="Cambria" w:cs="Arial"/>
          <w:szCs w:val="20"/>
          <w:lang w:val="sl-SI"/>
        </w:rPr>
        <w:t xml:space="preserve"> v vsa triletja osnovne šole, v zadnjem triletju pa je tudi izbirni predmet,</w:t>
      </w:r>
    </w:p>
    <w:p w:rsidR="00DF4CD9" w:rsidRPr="005771BD" w:rsidRDefault="00DF4CD9" w:rsidP="00DF4CD9">
      <w:pPr>
        <w:widowControl w:val="0"/>
        <w:numPr>
          <w:ilvl w:val="0"/>
          <w:numId w:val="28"/>
        </w:numPr>
        <w:tabs>
          <w:tab w:val="num" w:pos="284"/>
        </w:tabs>
        <w:suppressAutoHyphens/>
        <w:spacing w:before="60" w:after="100" w:afterAutospacing="1" w:line="276" w:lineRule="auto"/>
        <w:ind w:left="284" w:hanging="284"/>
        <w:jc w:val="both"/>
        <w:rPr>
          <w:rFonts w:eastAsia="Arial Unicode MS" w:cs="Arial"/>
          <w:b/>
          <w:bCs/>
          <w:caps/>
          <w:kern w:val="2"/>
          <w:szCs w:val="20"/>
          <w:lang w:val="sl-SI" w:eastAsia="sl-SI"/>
        </w:rPr>
      </w:pPr>
      <w:r w:rsidRPr="005771BD">
        <w:rPr>
          <w:rFonts w:eastAsia="Cambria" w:cs="Arial"/>
          <w:szCs w:val="20"/>
          <w:lang w:val="sl-SI"/>
        </w:rPr>
        <w:t>v programe poklicnega in strokovnega izobraževanja v splošno-izobraževaln</w:t>
      </w:r>
      <w:r>
        <w:rPr>
          <w:rFonts w:eastAsia="Cambria" w:cs="Arial"/>
          <w:szCs w:val="20"/>
          <w:lang w:val="sl-SI"/>
        </w:rPr>
        <w:t>em</w:t>
      </w:r>
      <w:r w:rsidRPr="005771BD">
        <w:rPr>
          <w:rFonts w:eastAsia="Cambria" w:cs="Arial"/>
          <w:szCs w:val="20"/>
          <w:lang w:val="sl-SI"/>
        </w:rPr>
        <w:t xml:space="preserve"> del</w:t>
      </w:r>
      <w:r>
        <w:rPr>
          <w:rFonts w:eastAsia="Cambria" w:cs="Arial"/>
          <w:szCs w:val="20"/>
          <w:lang w:val="sl-SI"/>
        </w:rPr>
        <w:t>u</w:t>
      </w:r>
      <w:r w:rsidRPr="005771BD">
        <w:rPr>
          <w:rFonts w:eastAsia="Cambria" w:cs="Arial"/>
          <w:szCs w:val="20"/>
          <w:lang w:val="sl-SI"/>
        </w:rPr>
        <w:t xml:space="preserve"> pri predmetu naravoslovje, v strokovno teoretične predmete in praktično izobraževanje, interesne dejavnosti ter izvenšolske in obšolske dejavnosti,</w:t>
      </w:r>
    </w:p>
    <w:p w:rsidR="00DF4CD9" w:rsidRPr="005771BD" w:rsidRDefault="00DF4CD9" w:rsidP="00DF4CD9">
      <w:pPr>
        <w:widowControl w:val="0"/>
        <w:numPr>
          <w:ilvl w:val="0"/>
          <w:numId w:val="28"/>
        </w:numPr>
        <w:tabs>
          <w:tab w:val="num" w:pos="284"/>
        </w:tabs>
        <w:suppressAutoHyphens/>
        <w:spacing w:before="60" w:after="100" w:afterAutospacing="1" w:line="276" w:lineRule="auto"/>
        <w:ind w:left="284" w:hanging="284"/>
        <w:jc w:val="both"/>
        <w:rPr>
          <w:rFonts w:eastAsia="Arial Unicode MS" w:cs="Arial"/>
          <w:bCs/>
          <w:kern w:val="2"/>
          <w:szCs w:val="20"/>
          <w:lang w:val="sl-SI" w:eastAsia="sl-SI"/>
        </w:rPr>
      </w:pPr>
      <w:r w:rsidRPr="005771BD">
        <w:rPr>
          <w:rFonts w:eastAsia="Cambria" w:cs="Arial"/>
          <w:szCs w:val="20"/>
          <w:lang w:val="sl-SI"/>
        </w:rPr>
        <w:t>v programe za gimnazije zlasti pri naravoslovnih predmetih, geografiji in sociologiji, ter v obvezn</w:t>
      </w:r>
      <w:r>
        <w:rPr>
          <w:rFonts w:eastAsia="Cambria" w:cs="Arial"/>
          <w:szCs w:val="20"/>
          <w:lang w:val="sl-SI"/>
        </w:rPr>
        <w:t>e</w:t>
      </w:r>
      <w:r w:rsidRPr="005771BD">
        <w:rPr>
          <w:rFonts w:eastAsia="Cambria" w:cs="Arial"/>
          <w:szCs w:val="20"/>
          <w:lang w:val="sl-SI"/>
        </w:rPr>
        <w:t xml:space="preserve"> izbirn</w:t>
      </w:r>
      <w:r>
        <w:rPr>
          <w:rFonts w:eastAsia="Cambria" w:cs="Arial"/>
          <w:szCs w:val="20"/>
          <w:lang w:val="sl-SI"/>
        </w:rPr>
        <w:t>e</w:t>
      </w:r>
      <w:r w:rsidRPr="005771BD">
        <w:rPr>
          <w:rFonts w:eastAsia="Cambria" w:cs="Arial"/>
          <w:szCs w:val="20"/>
          <w:lang w:val="sl-SI"/>
        </w:rPr>
        <w:t xml:space="preserve"> vsebin</w:t>
      </w:r>
      <w:r>
        <w:rPr>
          <w:rFonts w:eastAsia="Cambria" w:cs="Arial"/>
          <w:szCs w:val="20"/>
          <w:lang w:val="sl-SI"/>
        </w:rPr>
        <w:t>e</w:t>
      </w:r>
      <w:r w:rsidRPr="005771BD">
        <w:rPr>
          <w:rFonts w:eastAsia="Cambria" w:cs="Arial"/>
          <w:szCs w:val="20"/>
          <w:lang w:val="sl-SI"/>
        </w:rPr>
        <w:t xml:space="preserve"> </w:t>
      </w:r>
      <w:r>
        <w:rPr>
          <w:rFonts w:eastAsia="Cambria" w:cs="Arial"/>
          <w:szCs w:val="20"/>
          <w:lang w:val="sl-SI"/>
        </w:rPr>
        <w:t>pri</w:t>
      </w:r>
      <w:r w:rsidRPr="005771BD">
        <w:rPr>
          <w:rFonts w:eastAsia="Cambria" w:cs="Arial"/>
          <w:szCs w:val="20"/>
          <w:lang w:val="sl-SI"/>
        </w:rPr>
        <w:t xml:space="preserve"> predmet</w:t>
      </w:r>
      <w:r>
        <w:rPr>
          <w:rFonts w:eastAsia="Cambria" w:cs="Arial"/>
          <w:szCs w:val="20"/>
          <w:lang w:val="sl-SI"/>
        </w:rPr>
        <w:t>u</w:t>
      </w:r>
      <w:r w:rsidRPr="005771BD">
        <w:rPr>
          <w:rFonts w:eastAsia="Cambria" w:cs="Arial"/>
          <w:szCs w:val="20"/>
          <w:lang w:val="sl-SI"/>
        </w:rPr>
        <w:t xml:space="preserve"> </w:t>
      </w:r>
      <w:r>
        <w:rPr>
          <w:rFonts w:eastAsia="Cambria" w:cs="Arial"/>
          <w:szCs w:val="20"/>
          <w:lang w:val="sl-SI"/>
        </w:rPr>
        <w:t>š</w:t>
      </w:r>
      <w:r w:rsidRPr="005771BD">
        <w:rPr>
          <w:rFonts w:eastAsia="Cambria" w:cs="Arial"/>
          <w:szCs w:val="20"/>
          <w:lang w:val="sl-SI"/>
        </w:rPr>
        <w:t xml:space="preserve">tudij okolja. V letu 2008 je bil sprejet tudi medpredmetni kurikul </w:t>
      </w:r>
      <w:r>
        <w:rPr>
          <w:rFonts w:eastAsia="Cambria" w:cs="Arial"/>
          <w:szCs w:val="20"/>
          <w:lang w:val="sl-SI"/>
        </w:rPr>
        <w:t>o</w:t>
      </w:r>
      <w:r w:rsidRPr="005771BD">
        <w:rPr>
          <w:rFonts w:eastAsia="Arial Unicode MS" w:cs="Arial"/>
          <w:bCs/>
          <w:kern w:val="2"/>
          <w:szCs w:val="20"/>
          <w:lang w:val="sl-SI" w:eastAsia="sl-SI"/>
        </w:rPr>
        <w:t>koljska vzgoja</w:t>
      </w:r>
      <w:r w:rsidRPr="005771BD">
        <w:rPr>
          <w:rFonts w:eastAsia="Arial Unicode MS" w:cs="Arial"/>
          <w:b/>
          <w:bCs/>
          <w:caps/>
          <w:kern w:val="2"/>
          <w:szCs w:val="20"/>
          <w:lang w:val="sl-SI" w:eastAsia="sl-SI"/>
        </w:rPr>
        <w:t xml:space="preserve"> </w:t>
      </w:r>
      <w:r w:rsidRPr="005771BD">
        <w:rPr>
          <w:rFonts w:eastAsia="Arial Unicode MS" w:cs="Arial"/>
          <w:bCs/>
          <w:kern w:val="2"/>
          <w:szCs w:val="20"/>
          <w:lang w:val="sl-SI" w:eastAsia="sl-SI"/>
        </w:rPr>
        <w:t>kot vzgoja in izobraževanje za trajnostni razvoj.</w:t>
      </w:r>
    </w:p>
    <w:p w:rsidR="00DF4CD9" w:rsidRPr="005771BD" w:rsidRDefault="00DF4CD9" w:rsidP="00DF4CD9">
      <w:pPr>
        <w:spacing w:after="200" w:line="276" w:lineRule="auto"/>
        <w:jc w:val="both"/>
        <w:rPr>
          <w:rFonts w:eastAsia="Cambria" w:cs="Arial"/>
          <w:szCs w:val="20"/>
          <w:lang w:val="sl-SI"/>
        </w:rPr>
      </w:pPr>
      <w:r w:rsidRPr="005771BD">
        <w:rPr>
          <w:rFonts w:eastAsia="Cambria" w:cs="Arial"/>
          <w:szCs w:val="20"/>
          <w:lang w:val="sl-SI"/>
        </w:rPr>
        <w:t xml:space="preserve">Programska prenova poklicnega in strokovnega izobraževanja je </w:t>
      </w:r>
      <w:r>
        <w:rPr>
          <w:rFonts w:eastAsia="Cambria" w:cs="Arial"/>
          <w:szCs w:val="20"/>
          <w:lang w:val="sl-SI"/>
        </w:rPr>
        <w:t>skoraj</w:t>
      </w:r>
      <w:r w:rsidRPr="005771BD">
        <w:rPr>
          <w:rFonts w:eastAsia="Cambria" w:cs="Arial"/>
          <w:szCs w:val="20"/>
          <w:lang w:val="sl-SI"/>
        </w:rPr>
        <w:t xml:space="preserve"> v vse izobraževalne programe vključila </w:t>
      </w:r>
      <w:r>
        <w:rPr>
          <w:rFonts w:eastAsia="Cambria" w:cs="Arial"/>
          <w:szCs w:val="20"/>
          <w:lang w:val="sl-SI"/>
        </w:rPr>
        <w:t>splošne</w:t>
      </w:r>
      <w:r w:rsidRPr="005771BD">
        <w:rPr>
          <w:rFonts w:eastAsia="Cambria" w:cs="Arial"/>
          <w:szCs w:val="20"/>
          <w:lang w:val="sl-SI"/>
        </w:rPr>
        <w:t xml:space="preserve"> oziroma ključne kompetence, ki vključujejo varovanje okolja, </w:t>
      </w:r>
      <w:r>
        <w:rPr>
          <w:rFonts w:eastAsia="Cambria" w:cs="Arial"/>
          <w:szCs w:val="20"/>
          <w:lang w:val="sl-SI"/>
        </w:rPr>
        <w:t>gospodarno</w:t>
      </w:r>
      <w:r w:rsidRPr="005771BD">
        <w:rPr>
          <w:rFonts w:eastAsia="Cambria" w:cs="Arial"/>
          <w:szCs w:val="20"/>
          <w:lang w:val="sl-SI"/>
        </w:rPr>
        <w:t xml:space="preserve"> rabo energije in varstvo pri delu.</w:t>
      </w:r>
    </w:p>
    <w:p w:rsidR="00DF4CD9" w:rsidRPr="005771BD" w:rsidRDefault="00DF4CD9" w:rsidP="00DF4CD9">
      <w:pPr>
        <w:shd w:val="clear" w:color="auto" w:fill="FFFFFF"/>
        <w:spacing w:after="200" w:line="276" w:lineRule="auto"/>
        <w:jc w:val="both"/>
        <w:rPr>
          <w:rFonts w:eastAsia="Cambria" w:cs="Arial"/>
          <w:szCs w:val="20"/>
          <w:lang w:val="sl-SI"/>
        </w:rPr>
      </w:pPr>
      <w:r w:rsidRPr="005771BD">
        <w:rPr>
          <w:rFonts w:eastAsia="Cambria" w:cs="Arial"/>
          <w:szCs w:val="20"/>
          <w:lang w:val="sl-SI"/>
        </w:rPr>
        <w:t xml:space="preserve">V okviru srednje- in višješolskih centrov delujejo medpodjetniški izobraževalni centri (MIC-i), med </w:t>
      </w:r>
      <w:r>
        <w:rPr>
          <w:rFonts w:eastAsia="Cambria" w:cs="Arial"/>
          <w:szCs w:val="20"/>
          <w:lang w:val="sl-SI"/>
        </w:rPr>
        <w:t>katerimi so nekateri</w:t>
      </w:r>
      <w:r w:rsidRPr="005771BD">
        <w:rPr>
          <w:rFonts w:eastAsia="Cambria" w:cs="Arial"/>
          <w:szCs w:val="20"/>
          <w:lang w:val="sl-SI"/>
        </w:rPr>
        <w:t xml:space="preserve"> opremljeni s sodobnimi didaktičnimi poligoni za različna področja zelenega gospodarstva in trajnostnega razvoja. Primer je </w:t>
      </w:r>
      <w:r>
        <w:rPr>
          <w:rFonts w:eastAsia="Cambria" w:cs="Arial"/>
          <w:b/>
          <w:kern w:val="24"/>
          <w:szCs w:val="20"/>
          <w:lang w:val="sl-SI"/>
        </w:rPr>
        <w:t>r</w:t>
      </w:r>
      <w:r w:rsidRPr="005771BD">
        <w:rPr>
          <w:rFonts w:eastAsia="Cambria" w:cs="Arial"/>
          <w:b/>
          <w:kern w:val="24"/>
          <w:szCs w:val="20"/>
          <w:lang w:val="sl-SI"/>
        </w:rPr>
        <w:t xml:space="preserve">azvojno-didaktični energetski poligon v Velenju, </w:t>
      </w:r>
      <w:r w:rsidRPr="007B7F58">
        <w:rPr>
          <w:rFonts w:eastAsia="Cambria" w:cs="Arial"/>
          <w:kern w:val="24"/>
          <w:szCs w:val="20"/>
          <w:lang w:val="sl-SI"/>
        </w:rPr>
        <w:t xml:space="preserve">ki </w:t>
      </w:r>
      <w:r>
        <w:rPr>
          <w:rFonts w:eastAsia="Cambria" w:cs="Arial"/>
          <w:kern w:val="24"/>
          <w:szCs w:val="20"/>
          <w:lang w:val="sl-SI"/>
        </w:rPr>
        <w:t>je</w:t>
      </w:r>
      <w:r w:rsidRPr="005771BD">
        <w:rPr>
          <w:rFonts w:eastAsia="Cambria" w:cs="Arial"/>
          <w:kern w:val="24"/>
          <w:szCs w:val="20"/>
          <w:lang w:val="sl-SI"/>
        </w:rPr>
        <w:t xml:space="preserve"> med</w:t>
      </w:r>
      <w:r w:rsidRPr="005771BD">
        <w:rPr>
          <w:rFonts w:eastAsia="Cambria" w:cs="Arial"/>
          <w:b/>
          <w:kern w:val="24"/>
          <w:szCs w:val="20"/>
          <w:lang w:val="sl-SI"/>
        </w:rPr>
        <w:t xml:space="preserve"> </w:t>
      </w:r>
      <w:r w:rsidRPr="005771BD">
        <w:rPr>
          <w:rFonts w:eastAsia="Cambria" w:cs="Arial"/>
          <w:szCs w:val="20"/>
          <w:lang w:val="sl-SI"/>
        </w:rPr>
        <w:t>tehnološko najnaprednejš</w:t>
      </w:r>
      <w:r>
        <w:rPr>
          <w:rFonts w:eastAsia="Cambria" w:cs="Arial"/>
          <w:szCs w:val="20"/>
          <w:lang w:val="sl-SI"/>
        </w:rPr>
        <w:t>imi</w:t>
      </w:r>
      <w:r w:rsidRPr="005771BD">
        <w:rPr>
          <w:rFonts w:eastAsia="Cambria" w:cs="Arial"/>
          <w:szCs w:val="20"/>
          <w:lang w:val="sl-SI"/>
        </w:rPr>
        <w:t xml:space="preserve"> energetsk</w:t>
      </w:r>
      <w:r>
        <w:rPr>
          <w:rFonts w:eastAsia="Cambria" w:cs="Arial"/>
          <w:szCs w:val="20"/>
          <w:lang w:val="sl-SI"/>
        </w:rPr>
        <w:t>imi</w:t>
      </w:r>
      <w:r w:rsidRPr="005771BD">
        <w:rPr>
          <w:rFonts w:eastAsia="Cambria" w:cs="Arial"/>
          <w:szCs w:val="20"/>
          <w:lang w:val="sl-SI"/>
        </w:rPr>
        <w:t xml:space="preserve"> poligon</w:t>
      </w:r>
      <w:r>
        <w:rPr>
          <w:rFonts w:eastAsia="Cambria" w:cs="Arial"/>
          <w:szCs w:val="20"/>
          <w:lang w:val="sl-SI"/>
        </w:rPr>
        <w:t>i</w:t>
      </w:r>
      <w:r w:rsidRPr="005771BD">
        <w:rPr>
          <w:rFonts w:eastAsia="Cambria" w:cs="Arial"/>
          <w:szCs w:val="20"/>
          <w:lang w:val="sl-SI"/>
        </w:rPr>
        <w:t xml:space="preserve"> za vsa področja obnovljivih virov v Evropi. </w:t>
      </w:r>
    </w:p>
    <w:p w:rsidR="00DF4CD9" w:rsidRPr="005771BD" w:rsidRDefault="00DF4CD9" w:rsidP="00DF4CD9">
      <w:pPr>
        <w:spacing w:after="200" w:line="276" w:lineRule="auto"/>
        <w:jc w:val="both"/>
        <w:rPr>
          <w:rFonts w:eastAsia="Cambria" w:cs="Arial"/>
          <w:szCs w:val="20"/>
          <w:lang w:val="sl-SI"/>
        </w:rPr>
      </w:pPr>
      <w:r w:rsidRPr="005771BD">
        <w:rPr>
          <w:rFonts w:eastAsia="Cambria" w:cs="Arial"/>
          <w:szCs w:val="20"/>
          <w:lang w:val="sl-SI"/>
        </w:rPr>
        <w:t>V okviru Centra za poklicno izobraževanje je v letih 2011</w:t>
      </w:r>
      <w:r>
        <w:rPr>
          <w:rFonts w:eastAsia="Cambria" w:cs="Arial"/>
          <w:szCs w:val="20"/>
          <w:lang w:val="sl-SI"/>
        </w:rPr>
        <w:t>–</w:t>
      </w:r>
      <w:r w:rsidRPr="005771BD">
        <w:rPr>
          <w:rFonts w:eastAsia="Cambria" w:cs="Arial"/>
          <w:szCs w:val="20"/>
          <w:lang w:val="sl-SI"/>
        </w:rPr>
        <w:t>2013 nasta</w:t>
      </w:r>
      <w:r>
        <w:rPr>
          <w:rFonts w:eastAsia="Cambria" w:cs="Arial"/>
          <w:szCs w:val="20"/>
          <w:lang w:val="sl-SI"/>
        </w:rPr>
        <w:t>l</w:t>
      </w:r>
      <w:r w:rsidRPr="005771BD">
        <w:rPr>
          <w:rFonts w:eastAsia="Cambria" w:cs="Arial"/>
          <w:szCs w:val="20"/>
          <w:lang w:val="sl-SI"/>
        </w:rPr>
        <w:t xml:space="preserve"> predlog za vzpostavitev </w:t>
      </w:r>
      <w:r w:rsidRPr="005771BD">
        <w:rPr>
          <w:rFonts w:eastAsia="Cambria" w:cs="Arial"/>
          <w:b/>
          <w:szCs w:val="20"/>
          <w:lang w:val="sl-SI"/>
        </w:rPr>
        <w:t>kompetence za trajnostni razvoj</w:t>
      </w:r>
      <w:r w:rsidRPr="005771BD">
        <w:rPr>
          <w:rFonts w:eastAsia="Cambria" w:cs="Arial"/>
          <w:szCs w:val="20"/>
          <w:lang w:val="sl-SI"/>
        </w:rPr>
        <w:t>, ki je izhajal iz načelnega stališča, da je mo</w:t>
      </w:r>
      <w:r>
        <w:rPr>
          <w:rFonts w:eastAsia="Cambria" w:cs="Arial"/>
          <w:szCs w:val="20"/>
          <w:lang w:val="sl-SI"/>
        </w:rPr>
        <w:t>goče</w:t>
      </w:r>
      <w:r w:rsidRPr="005771BD">
        <w:rPr>
          <w:rFonts w:eastAsia="Cambria" w:cs="Arial"/>
          <w:szCs w:val="20"/>
          <w:lang w:val="sl-SI"/>
        </w:rPr>
        <w:t xml:space="preserve"> »ozeleniti« vsa delovna mesta v državi. Zaradi tega je pomembno vključiti kompetenco za upravljanje trajnostnega razvoja, ki združuje okoljsko, družbeno in gospodarsko odgovornost organizacij in posameznih delovnih mest, v vse oblike izobraževanja in usposabljanja. V letu 2015 je predlog kompetence z dopolnitvami potrdil </w:t>
      </w:r>
      <w:r>
        <w:rPr>
          <w:rFonts w:eastAsia="Cambria" w:cs="Arial"/>
          <w:szCs w:val="20"/>
          <w:lang w:val="sl-SI"/>
        </w:rPr>
        <w:t>p</w:t>
      </w:r>
      <w:r w:rsidRPr="005771BD">
        <w:rPr>
          <w:rFonts w:eastAsia="Cambria" w:cs="Arial"/>
          <w:szCs w:val="20"/>
          <w:lang w:val="sl-SI"/>
        </w:rPr>
        <w:t xml:space="preserve">odročni odbor za poklicne standarde </w:t>
      </w:r>
      <w:r>
        <w:rPr>
          <w:rFonts w:eastAsia="Cambria" w:cs="Arial"/>
          <w:szCs w:val="20"/>
          <w:lang w:val="sl-SI"/>
        </w:rPr>
        <w:t>t</w:t>
      </w:r>
      <w:r w:rsidRPr="005771BD">
        <w:rPr>
          <w:rFonts w:eastAsia="Cambria" w:cs="Arial"/>
          <w:szCs w:val="20"/>
          <w:lang w:val="sl-SI"/>
        </w:rPr>
        <w:t xml:space="preserve">rajnostni razvoj, in sicer kot metodološki pripomoček za vključevanje trajnostnih vsebin v poklicne standarde. Pilotno pa je potekalo </w:t>
      </w:r>
      <w:r w:rsidRPr="005771BD">
        <w:rPr>
          <w:rFonts w:eastAsia="Cambria" w:cs="Arial"/>
          <w:bCs/>
          <w:szCs w:val="20"/>
          <w:lang w:val="sl-SI"/>
        </w:rPr>
        <w:t xml:space="preserve">uvajanje kompetence v nekatere poklicne standarde že od leta 2014. </w:t>
      </w:r>
      <w:r>
        <w:rPr>
          <w:rFonts w:eastAsia="Cambria" w:cs="Arial"/>
          <w:bCs/>
          <w:szCs w:val="20"/>
          <w:lang w:val="sl-SI"/>
        </w:rPr>
        <w:t>Iz</w:t>
      </w:r>
      <w:r w:rsidRPr="005771BD">
        <w:rPr>
          <w:rFonts w:eastAsia="Cambria" w:cs="Arial"/>
          <w:bCs/>
          <w:szCs w:val="20"/>
          <w:lang w:val="sl-SI"/>
        </w:rPr>
        <w:t xml:space="preserve">kazalo se je, da bodo zaradi strokovno zahtevnega zapisa kompetence potrebna še </w:t>
      </w:r>
      <w:r>
        <w:rPr>
          <w:rFonts w:eastAsia="Cambria" w:cs="Arial"/>
          <w:bCs/>
          <w:szCs w:val="20"/>
          <w:lang w:val="sl-SI"/>
        </w:rPr>
        <w:t xml:space="preserve">posebna </w:t>
      </w:r>
      <w:r w:rsidRPr="005771BD">
        <w:rPr>
          <w:rFonts w:eastAsia="Cambria" w:cs="Arial"/>
          <w:bCs/>
          <w:szCs w:val="20"/>
          <w:lang w:val="sl-SI"/>
        </w:rPr>
        <w:t xml:space="preserve">področno priporočila. </w:t>
      </w:r>
    </w:p>
    <w:p w:rsidR="00DF4CD9" w:rsidRPr="005771BD" w:rsidRDefault="00DF4CD9" w:rsidP="00DF4CD9">
      <w:pPr>
        <w:spacing w:after="200" w:line="276" w:lineRule="auto"/>
        <w:jc w:val="both"/>
        <w:rPr>
          <w:rFonts w:eastAsia="Cambria" w:cs="Arial"/>
          <w:szCs w:val="20"/>
          <w:lang w:val="sl-SI"/>
        </w:rPr>
      </w:pPr>
      <w:r w:rsidRPr="005771BD">
        <w:rPr>
          <w:rFonts w:eastAsia="Cambria" w:cs="Arial"/>
          <w:szCs w:val="20"/>
          <w:lang w:val="sl-SI"/>
        </w:rPr>
        <w:t>V letih 2007</w:t>
      </w:r>
      <w:r>
        <w:rPr>
          <w:rFonts w:eastAsia="Cambria" w:cs="Arial"/>
          <w:szCs w:val="20"/>
          <w:lang w:val="sl-SI"/>
        </w:rPr>
        <w:t>–</w:t>
      </w:r>
      <w:r w:rsidRPr="005771BD">
        <w:rPr>
          <w:rFonts w:eastAsia="Cambria" w:cs="Arial"/>
          <w:szCs w:val="20"/>
          <w:lang w:val="sl-SI"/>
        </w:rPr>
        <w:t>2009 je bilo potrjenih več študijskih programov, ki jih v okviru dodiplomskega in podiplomskega izobraževanja izvaja 6 visokošolskih zavodov, in sicer s področ</w:t>
      </w:r>
      <w:r>
        <w:rPr>
          <w:rFonts w:eastAsia="Cambria" w:cs="Arial"/>
          <w:szCs w:val="20"/>
          <w:lang w:val="sl-SI"/>
        </w:rPr>
        <w:t>ja</w:t>
      </w:r>
      <w:r w:rsidRPr="005771BD">
        <w:rPr>
          <w:rFonts w:eastAsia="Cambria" w:cs="Arial"/>
          <w:szCs w:val="20"/>
          <w:lang w:val="sl-SI"/>
        </w:rPr>
        <w:t xml:space="preserve"> okolja oz</w:t>
      </w:r>
      <w:r>
        <w:rPr>
          <w:rFonts w:eastAsia="Cambria" w:cs="Arial"/>
          <w:szCs w:val="20"/>
          <w:lang w:val="sl-SI"/>
        </w:rPr>
        <w:t>iroma</w:t>
      </w:r>
      <w:r w:rsidRPr="005771BD">
        <w:rPr>
          <w:rFonts w:eastAsia="Cambria" w:cs="Arial"/>
          <w:szCs w:val="20"/>
          <w:lang w:val="sl-SI"/>
        </w:rPr>
        <w:t xml:space="preserve"> varstva okolja, ekologije, znanosti o okolju, naravovarstva, ekoremediacij. Ustanovljenih je bilo več šolskih mrež, ki promovirajo cilje in načela trajnostnega razvoja, nekateri srednje- in visokošolski centri </w:t>
      </w:r>
      <w:r>
        <w:rPr>
          <w:rFonts w:eastAsia="Cambria" w:cs="Arial"/>
          <w:szCs w:val="20"/>
          <w:lang w:val="sl-SI"/>
        </w:rPr>
        <w:t>vzpostavljajo</w:t>
      </w:r>
      <w:r w:rsidRPr="005771BD">
        <w:rPr>
          <w:rFonts w:eastAsia="Cambria" w:cs="Arial"/>
          <w:szCs w:val="20"/>
          <w:lang w:val="sl-SI"/>
        </w:rPr>
        <w:t xml:space="preserve"> celostn</w:t>
      </w:r>
      <w:r>
        <w:rPr>
          <w:rFonts w:eastAsia="Cambria" w:cs="Arial"/>
          <w:szCs w:val="20"/>
          <w:lang w:val="sl-SI"/>
        </w:rPr>
        <w:t>i</w:t>
      </w:r>
      <w:r w:rsidRPr="005771BD">
        <w:rPr>
          <w:rFonts w:eastAsia="Cambria" w:cs="Arial"/>
          <w:szCs w:val="20"/>
          <w:lang w:val="sl-SI"/>
        </w:rPr>
        <w:t xml:space="preserve"> pristop</w:t>
      </w:r>
      <w:r>
        <w:rPr>
          <w:rFonts w:eastAsia="Cambria" w:cs="Arial"/>
          <w:szCs w:val="20"/>
          <w:lang w:val="sl-SI"/>
        </w:rPr>
        <w:t xml:space="preserve"> k</w:t>
      </w:r>
      <w:r w:rsidRPr="005771BD">
        <w:rPr>
          <w:rFonts w:eastAsia="Cambria" w:cs="Arial"/>
          <w:szCs w:val="20"/>
          <w:lang w:val="sl-SI"/>
        </w:rPr>
        <w:t xml:space="preserve"> trajnostn</w:t>
      </w:r>
      <w:r>
        <w:rPr>
          <w:rFonts w:eastAsia="Cambria" w:cs="Arial"/>
          <w:szCs w:val="20"/>
          <w:lang w:val="sl-SI"/>
        </w:rPr>
        <w:t>emu razvoju</w:t>
      </w:r>
      <w:r w:rsidRPr="005771BD">
        <w:rPr>
          <w:rFonts w:eastAsia="Cambria" w:cs="Arial"/>
          <w:szCs w:val="20"/>
          <w:lang w:val="sl-SI"/>
        </w:rPr>
        <w:t xml:space="preserve">. </w:t>
      </w:r>
    </w:p>
    <w:p w:rsidR="00F728E5" w:rsidRPr="00993FB7" w:rsidRDefault="00F728E5" w:rsidP="00F728E5">
      <w:pPr>
        <w:tabs>
          <w:tab w:val="left" w:pos="7560"/>
        </w:tabs>
        <w:spacing w:after="200" w:line="276" w:lineRule="auto"/>
        <w:jc w:val="both"/>
        <w:rPr>
          <w:rFonts w:eastAsia="Cambria" w:cs="Arial"/>
          <w:b/>
          <w:szCs w:val="20"/>
          <w:lang w:val="sl-SI"/>
        </w:rPr>
      </w:pPr>
      <w:r w:rsidRPr="00993FB7">
        <w:rPr>
          <w:rFonts w:eastAsia="Cambria" w:cs="Arial"/>
          <w:szCs w:val="20"/>
          <w:lang w:val="sl-SI"/>
        </w:rPr>
        <w:t xml:space="preserve">V izobraževanju odraslih je ključni strateški dokument </w:t>
      </w:r>
      <w:r w:rsidRPr="00993FB7">
        <w:rPr>
          <w:rFonts w:eastAsia="Cambria" w:cs="Arial"/>
          <w:b/>
          <w:szCs w:val="20"/>
          <w:lang w:val="sl-SI"/>
        </w:rPr>
        <w:t xml:space="preserve">Resolucija </w:t>
      </w:r>
      <w:r>
        <w:rPr>
          <w:rFonts w:eastAsia="Cambria" w:cs="Arial"/>
          <w:b/>
          <w:szCs w:val="20"/>
          <w:lang w:val="sl-SI"/>
        </w:rPr>
        <w:t xml:space="preserve">o </w:t>
      </w:r>
      <w:r w:rsidRPr="00993FB7">
        <w:rPr>
          <w:rFonts w:eastAsia="Cambria" w:cs="Arial"/>
          <w:b/>
          <w:szCs w:val="20"/>
          <w:lang w:val="sl-SI"/>
        </w:rPr>
        <w:t>nacionalne</w:t>
      </w:r>
      <w:r>
        <w:rPr>
          <w:rFonts w:eastAsia="Cambria" w:cs="Arial"/>
          <w:b/>
          <w:szCs w:val="20"/>
          <w:lang w:val="sl-SI"/>
        </w:rPr>
        <w:t>m</w:t>
      </w:r>
      <w:r w:rsidRPr="00993FB7">
        <w:rPr>
          <w:rFonts w:eastAsia="Cambria" w:cs="Arial"/>
          <w:b/>
          <w:szCs w:val="20"/>
          <w:lang w:val="sl-SI"/>
        </w:rPr>
        <w:t xml:space="preserve"> program</w:t>
      </w:r>
      <w:r>
        <w:rPr>
          <w:rFonts w:eastAsia="Cambria" w:cs="Arial"/>
          <w:b/>
          <w:szCs w:val="20"/>
          <w:lang w:val="sl-SI"/>
        </w:rPr>
        <w:t>u</w:t>
      </w:r>
      <w:r w:rsidRPr="00993FB7">
        <w:rPr>
          <w:rFonts w:eastAsia="Cambria" w:cs="Arial"/>
          <w:b/>
          <w:szCs w:val="20"/>
          <w:lang w:val="sl-SI"/>
        </w:rPr>
        <w:t xml:space="preserve"> izobraževanja odraslih</w:t>
      </w:r>
      <w:r>
        <w:rPr>
          <w:rFonts w:eastAsia="Cambria" w:cs="Arial"/>
          <w:b/>
          <w:szCs w:val="20"/>
          <w:lang w:val="sl-SI"/>
        </w:rPr>
        <w:t xml:space="preserve"> v Republiki Slovenijiza obdobje 2013-2020 </w:t>
      </w:r>
      <w:r w:rsidRPr="00993FB7">
        <w:rPr>
          <w:rFonts w:eastAsia="Cambria" w:cs="Arial"/>
          <w:szCs w:val="20"/>
          <w:lang w:val="sl-SI"/>
        </w:rPr>
        <w:t>(</w:t>
      </w:r>
      <w:r>
        <w:rPr>
          <w:rFonts w:eastAsia="Cambria" w:cs="Arial"/>
          <w:szCs w:val="20"/>
          <w:lang w:val="sl-SI"/>
        </w:rPr>
        <w:t>ReNPIO13-20</w:t>
      </w:r>
      <w:r w:rsidRPr="00993FB7">
        <w:rPr>
          <w:rFonts w:eastAsia="Cambria" w:cs="Arial"/>
          <w:szCs w:val="20"/>
          <w:lang w:val="sl-SI"/>
        </w:rPr>
        <w:t xml:space="preserve">), ki varstvo okolja obravnava kot priložnost za iskanje razvojnih rešitev, razvoj sinergij med cilji gospodarskega, družbenega in okoljskega razvoja kot koncepta zelene rasti in zelenega gospodarstva ter njunih pod-področij. Izobraževanje odraslih je </w:t>
      </w:r>
      <w:r>
        <w:rPr>
          <w:rFonts w:eastAsia="Cambria" w:cs="Arial"/>
          <w:szCs w:val="20"/>
          <w:lang w:val="sl-SI"/>
        </w:rPr>
        <w:t xml:space="preserve">od leta 2007 </w:t>
      </w:r>
      <w:r w:rsidRPr="00993FB7">
        <w:rPr>
          <w:rFonts w:eastAsia="Cambria" w:cs="Arial"/>
          <w:szCs w:val="20"/>
          <w:lang w:val="sl-SI"/>
        </w:rPr>
        <w:t xml:space="preserve">zastopano z </w:t>
      </w:r>
      <w:r>
        <w:rPr>
          <w:rFonts w:eastAsia="Cambria" w:cs="Arial"/>
          <w:szCs w:val="20"/>
          <w:lang w:val="sl-SI"/>
        </w:rPr>
        <w:t>razvojnimi in strokovnimi nalogami</w:t>
      </w:r>
      <w:r w:rsidRPr="00993FB7">
        <w:rPr>
          <w:rFonts w:eastAsia="Cambria" w:cs="Arial"/>
          <w:szCs w:val="20"/>
          <w:lang w:val="sl-SI"/>
        </w:rPr>
        <w:t xml:space="preserve"> Andragoškega centra Slovenije (ACS) </w:t>
      </w:r>
      <w:r>
        <w:rPr>
          <w:rFonts w:eastAsia="Cambria" w:cs="Arial"/>
          <w:szCs w:val="20"/>
          <w:lang w:val="sl-SI"/>
        </w:rPr>
        <w:t>na področju splošnega neformalnega izobraževanja</w:t>
      </w:r>
      <w:r w:rsidRPr="00993FB7">
        <w:rPr>
          <w:rFonts w:eastAsia="Cambria" w:cs="Arial"/>
          <w:szCs w:val="20"/>
          <w:lang w:val="sl-SI"/>
        </w:rPr>
        <w:t xml:space="preserve"> </w:t>
      </w:r>
      <w:r>
        <w:rPr>
          <w:rFonts w:eastAsia="Cambria" w:cs="Arial"/>
          <w:szCs w:val="20"/>
          <w:lang w:val="sl-SI"/>
        </w:rPr>
        <w:t>(</w:t>
      </w:r>
      <w:r w:rsidRPr="00993FB7">
        <w:rPr>
          <w:rFonts w:eastAsia="Cambria" w:cs="Arial"/>
          <w:szCs w:val="20"/>
          <w:lang w:val="sl-SI"/>
        </w:rPr>
        <w:t>neformaln</w:t>
      </w:r>
      <w:r>
        <w:rPr>
          <w:rFonts w:eastAsia="Cambria" w:cs="Arial"/>
          <w:szCs w:val="20"/>
          <w:lang w:val="sl-SI"/>
        </w:rPr>
        <w:t>i</w:t>
      </w:r>
      <w:r w:rsidRPr="00993FB7">
        <w:rPr>
          <w:rFonts w:eastAsia="Cambria" w:cs="Arial"/>
          <w:szCs w:val="20"/>
          <w:lang w:val="sl-SI"/>
        </w:rPr>
        <w:t xml:space="preserve"> interdisciplinarn</w:t>
      </w:r>
      <w:r>
        <w:rPr>
          <w:rFonts w:eastAsia="Cambria" w:cs="Arial"/>
          <w:szCs w:val="20"/>
          <w:lang w:val="sl-SI"/>
        </w:rPr>
        <w:t>i</w:t>
      </w:r>
      <w:r w:rsidRPr="00993FB7">
        <w:rPr>
          <w:rFonts w:eastAsia="Cambria" w:cs="Arial"/>
          <w:szCs w:val="20"/>
          <w:lang w:val="sl-SI"/>
        </w:rPr>
        <w:t xml:space="preserve"> program, dv</w:t>
      </w:r>
      <w:r>
        <w:rPr>
          <w:rFonts w:eastAsia="Cambria" w:cs="Arial"/>
          <w:szCs w:val="20"/>
          <w:lang w:val="sl-SI"/>
        </w:rPr>
        <w:t>a</w:t>
      </w:r>
      <w:r w:rsidRPr="00993FB7">
        <w:rPr>
          <w:rFonts w:eastAsia="Cambria" w:cs="Arial"/>
          <w:szCs w:val="20"/>
          <w:lang w:val="sl-SI"/>
        </w:rPr>
        <w:t xml:space="preserve"> učbenik</w:t>
      </w:r>
      <w:r>
        <w:rPr>
          <w:rFonts w:eastAsia="Cambria" w:cs="Arial"/>
          <w:szCs w:val="20"/>
          <w:lang w:val="sl-SI"/>
        </w:rPr>
        <w:t>a</w:t>
      </w:r>
      <w:r w:rsidRPr="00993FB7">
        <w:rPr>
          <w:rFonts w:eastAsia="Cambria" w:cs="Arial"/>
          <w:szCs w:val="20"/>
          <w:lang w:val="sl-SI"/>
        </w:rPr>
        <w:t>, vključno s slovarjem</w:t>
      </w:r>
      <w:r>
        <w:rPr>
          <w:rFonts w:eastAsia="Cambria" w:cs="Arial"/>
          <w:szCs w:val="20"/>
          <w:lang w:val="sl-SI"/>
        </w:rPr>
        <w:t>,</w:t>
      </w:r>
      <w:r w:rsidRPr="00993FB7">
        <w:rPr>
          <w:rFonts w:eastAsia="Cambria" w:cs="Arial"/>
          <w:szCs w:val="20"/>
          <w:lang w:val="sl-SI"/>
        </w:rPr>
        <w:t xml:space="preserve"> </w:t>
      </w:r>
      <w:r>
        <w:rPr>
          <w:rFonts w:eastAsia="Cambria" w:cs="Arial"/>
          <w:szCs w:val="20"/>
          <w:lang w:val="sl-SI"/>
        </w:rPr>
        <w:t>usposabljanje izobraževalcev).</w:t>
      </w:r>
    </w:p>
    <w:p w:rsidR="00DF4CD9" w:rsidRPr="005771BD" w:rsidRDefault="00DF4CD9" w:rsidP="00DF4CD9">
      <w:pPr>
        <w:tabs>
          <w:tab w:val="left" w:pos="7560"/>
        </w:tabs>
        <w:spacing w:after="200" w:line="276" w:lineRule="auto"/>
        <w:jc w:val="both"/>
        <w:rPr>
          <w:rFonts w:eastAsia="Cambria" w:cs="Arial"/>
          <w:szCs w:val="20"/>
          <w:lang w:val="sl-SI"/>
        </w:rPr>
      </w:pPr>
      <w:r w:rsidRPr="005771BD">
        <w:rPr>
          <w:rFonts w:eastAsia="Cambria" w:cs="Arial"/>
          <w:szCs w:val="20"/>
          <w:lang w:val="sl-SI"/>
        </w:rPr>
        <w:t>Slovenski kontekst vzgoje in izobraževanja za trajnostni razvoj se umešča v UNESCO-vo</w:t>
      </w:r>
      <w:r w:rsidRPr="005771BD">
        <w:rPr>
          <w:rFonts w:eastAsia="Cambria" w:cs="Arial"/>
          <w:b/>
          <w:szCs w:val="20"/>
          <w:lang w:val="sl-SI"/>
        </w:rPr>
        <w:t xml:space="preserve"> </w:t>
      </w:r>
      <w:r>
        <w:rPr>
          <w:rFonts w:eastAsia="Cambria" w:cs="Arial"/>
          <w:b/>
          <w:szCs w:val="20"/>
          <w:lang w:val="sl-SI"/>
        </w:rPr>
        <w:t>d</w:t>
      </w:r>
      <w:r w:rsidRPr="005771BD">
        <w:rPr>
          <w:rFonts w:eastAsia="Cambria" w:cs="Arial"/>
          <w:b/>
          <w:szCs w:val="20"/>
          <w:lang w:val="sl-SI"/>
        </w:rPr>
        <w:t>esetletje vzgoje in izobraževanja za trajnostni razvoj (2005</w:t>
      </w:r>
      <w:r>
        <w:rPr>
          <w:rFonts w:eastAsia="Cambria" w:cs="Arial"/>
          <w:b/>
          <w:szCs w:val="20"/>
          <w:lang w:val="sl-SI"/>
        </w:rPr>
        <w:t>–</w:t>
      </w:r>
      <w:r w:rsidRPr="005771BD">
        <w:rPr>
          <w:rFonts w:eastAsia="Cambria" w:cs="Arial"/>
          <w:b/>
          <w:szCs w:val="20"/>
          <w:lang w:val="sl-SI"/>
        </w:rPr>
        <w:t>2014)</w:t>
      </w:r>
      <w:r w:rsidRPr="005771BD">
        <w:rPr>
          <w:rFonts w:eastAsia="Cambria" w:cs="Arial"/>
          <w:szCs w:val="20"/>
          <w:lang w:val="sl-SI"/>
        </w:rPr>
        <w:t>,</w:t>
      </w:r>
      <w:r w:rsidRPr="005771BD">
        <w:rPr>
          <w:rFonts w:eastAsia="Cambria" w:cs="Arial"/>
          <w:b/>
          <w:szCs w:val="20"/>
          <w:lang w:val="sl-SI"/>
        </w:rPr>
        <w:t xml:space="preserve"> </w:t>
      </w:r>
      <w:r>
        <w:rPr>
          <w:rFonts w:eastAsia="Cambria" w:cs="Arial"/>
          <w:szCs w:val="20"/>
          <w:lang w:val="sl-SI"/>
        </w:rPr>
        <w:t>ki se izvaja na podlagi</w:t>
      </w:r>
      <w:r w:rsidRPr="005771BD">
        <w:rPr>
          <w:rFonts w:eastAsia="Cambria" w:cs="Arial"/>
          <w:b/>
          <w:szCs w:val="20"/>
          <w:lang w:val="sl-SI"/>
        </w:rPr>
        <w:t xml:space="preserve"> Agende 21 OZN (1992)</w:t>
      </w:r>
      <w:r w:rsidRPr="005771BD">
        <w:rPr>
          <w:rFonts w:eastAsia="Cambria" w:cs="Arial"/>
          <w:szCs w:val="20"/>
          <w:lang w:val="sl-SI"/>
        </w:rPr>
        <w:t xml:space="preserve"> </w:t>
      </w:r>
      <w:r>
        <w:rPr>
          <w:rFonts w:eastAsia="Cambria" w:cs="Arial"/>
          <w:szCs w:val="20"/>
          <w:lang w:val="sl-SI"/>
        </w:rPr>
        <w:t>in</w:t>
      </w:r>
      <w:r w:rsidRPr="005771BD">
        <w:rPr>
          <w:rFonts w:eastAsia="Cambria" w:cs="Arial"/>
          <w:szCs w:val="20"/>
          <w:lang w:val="sl-SI"/>
        </w:rPr>
        <w:t xml:space="preserve"> drug</w:t>
      </w:r>
      <w:r>
        <w:rPr>
          <w:rFonts w:eastAsia="Cambria" w:cs="Arial"/>
          <w:szCs w:val="20"/>
          <w:lang w:val="sl-SI"/>
        </w:rPr>
        <w:t>ih</w:t>
      </w:r>
      <w:r w:rsidRPr="005771BD">
        <w:rPr>
          <w:rFonts w:eastAsia="Cambria" w:cs="Arial"/>
          <w:szCs w:val="20"/>
          <w:lang w:val="sl-SI"/>
        </w:rPr>
        <w:t xml:space="preserve"> dokument</w:t>
      </w:r>
      <w:r>
        <w:rPr>
          <w:rFonts w:eastAsia="Cambria" w:cs="Arial"/>
          <w:szCs w:val="20"/>
          <w:lang w:val="sl-SI"/>
        </w:rPr>
        <w:t>ov</w:t>
      </w:r>
      <w:r w:rsidRPr="005771BD">
        <w:rPr>
          <w:rFonts w:eastAsia="Cambria" w:cs="Arial"/>
          <w:szCs w:val="20"/>
          <w:lang w:val="sl-SI"/>
        </w:rPr>
        <w:t xml:space="preserve"> Združenih narodov, ki kot ključno za trajnostni razvoj </w:t>
      </w:r>
      <w:r>
        <w:rPr>
          <w:rFonts w:eastAsia="Cambria" w:cs="Arial"/>
          <w:szCs w:val="20"/>
          <w:lang w:val="sl-SI"/>
        </w:rPr>
        <w:t>poudarjajo</w:t>
      </w:r>
      <w:r w:rsidRPr="005771BD">
        <w:rPr>
          <w:rFonts w:eastAsia="Cambria" w:cs="Arial"/>
          <w:szCs w:val="20"/>
          <w:lang w:val="sl-SI"/>
        </w:rPr>
        <w:t xml:space="preserve"> prav izobraževanje. V tem okviru je slovensko ministrstvo, pristojno za izobraževanje, leta 2007 sprejelo</w:t>
      </w:r>
      <w:r w:rsidRPr="005771BD">
        <w:rPr>
          <w:rFonts w:eastAsia="Cambria" w:cs="Arial"/>
          <w:b/>
          <w:szCs w:val="20"/>
          <w:lang w:val="sl-SI"/>
        </w:rPr>
        <w:t xml:space="preserve"> Smernice vzgoje in izobraževanja za trajnostni razvoj</w:t>
      </w:r>
      <w:r w:rsidRPr="005771BD">
        <w:rPr>
          <w:rFonts w:eastAsia="Cambria" w:cs="Arial"/>
          <w:szCs w:val="20"/>
          <w:vertAlign w:val="superscript"/>
          <w:lang w:val="sl-SI"/>
        </w:rPr>
        <w:footnoteReference w:id="61"/>
      </w:r>
      <w:r w:rsidRPr="005771BD">
        <w:rPr>
          <w:rFonts w:eastAsia="Cambria" w:cs="Arial"/>
          <w:b/>
          <w:szCs w:val="20"/>
          <w:lang w:val="sl-SI"/>
        </w:rPr>
        <w:t xml:space="preserve"> (VITR)</w:t>
      </w:r>
      <w:r w:rsidRPr="005771BD">
        <w:rPr>
          <w:rFonts w:eastAsia="Cambria" w:cs="Arial"/>
          <w:szCs w:val="20"/>
          <w:lang w:val="sl-SI"/>
        </w:rPr>
        <w:t xml:space="preserve">, ki so bile namenjene vpeljavi vzgoje in izobraževanja za trajnostni razvoj v šolski sistem Republike Slovenije in </w:t>
      </w:r>
      <w:r>
        <w:rPr>
          <w:rFonts w:eastAsia="Cambria" w:cs="Arial"/>
          <w:szCs w:val="20"/>
          <w:lang w:val="sl-SI"/>
        </w:rPr>
        <w:t>temeljijo</w:t>
      </w:r>
      <w:r w:rsidRPr="005771BD">
        <w:rPr>
          <w:rFonts w:eastAsia="Cambria" w:cs="Arial"/>
          <w:szCs w:val="20"/>
          <w:lang w:val="sl-SI"/>
        </w:rPr>
        <w:t xml:space="preserve"> na </w:t>
      </w:r>
      <w:r>
        <w:rPr>
          <w:rFonts w:eastAsia="Cambria" w:cs="Arial"/>
          <w:szCs w:val="20"/>
          <w:lang w:val="sl-SI"/>
        </w:rPr>
        <w:t>s</w:t>
      </w:r>
      <w:r w:rsidRPr="005771BD">
        <w:rPr>
          <w:rFonts w:eastAsia="Cambria" w:cs="Arial"/>
          <w:szCs w:val="20"/>
          <w:lang w:val="sl-SI"/>
        </w:rPr>
        <w:t>trategij</w:t>
      </w:r>
      <w:r>
        <w:rPr>
          <w:rFonts w:eastAsia="Cambria" w:cs="Arial"/>
          <w:szCs w:val="20"/>
          <w:lang w:val="sl-SI"/>
        </w:rPr>
        <w:t>i</w:t>
      </w:r>
      <w:r w:rsidRPr="005771BD">
        <w:rPr>
          <w:rFonts w:eastAsia="Cambria" w:cs="Arial"/>
          <w:szCs w:val="20"/>
          <w:lang w:val="sl-SI"/>
        </w:rPr>
        <w:t xml:space="preserve"> za VITR Gospodarske komisije OZN za Evropo</w:t>
      </w:r>
      <w:r w:rsidRPr="005771BD">
        <w:rPr>
          <w:rFonts w:eastAsia="Cambria" w:cs="Arial"/>
          <w:szCs w:val="20"/>
          <w:vertAlign w:val="superscript"/>
          <w:lang w:val="sl-SI"/>
        </w:rPr>
        <w:footnoteReference w:id="62"/>
      </w:r>
      <w:r w:rsidRPr="005771BD">
        <w:rPr>
          <w:rFonts w:eastAsia="Cambria" w:cs="Arial"/>
          <w:szCs w:val="20"/>
          <w:lang w:val="sl-SI"/>
        </w:rPr>
        <w:t>, pa tudi na drug</w:t>
      </w:r>
      <w:r>
        <w:rPr>
          <w:rFonts w:eastAsia="Cambria" w:cs="Arial"/>
          <w:szCs w:val="20"/>
          <w:lang w:val="sl-SI"/>
        </w:rPr>
        <w:t>ih</w:t>
      </w:r>
      <w:r w:rsidRPr="005771BD">
        <w:rPr>
          <w:rFonts w:eastAsia="Cambria" w:cs="Arial"/>
          <w:szCs w:val="20"/>
          <w:lang w:val="sl-SI"/>
        </w:rPr>
        <w:t xml:space="preserve"> dokument</w:t>
      </w:r>
      <w:r>
        <w:rPr>
          <w:rFonts w:eastAsia="Cambria" w:cs="Arial"/>
          <w:szCs w:val="20"/>
          <w:lang w:val="sl-SI"/>
        </w:rPr>
        <w:t>ih</w:t>
      </w:r>
      <w:r w:rsidRPr="005771BD">
        <w:rPr>
          <w:rFonts w:eastAsia="Cambria" w:cs="Arial"/>
          <w:szCs w:val="20"/>
          <w:lang w:val="sl-SI"/>
        </w:rPr>
        <w:t xml:space="preserve"> VITR. Pri VITR ne gre le za dodatek k sedanjemu splošnemu izobraževanju, niti ni cilj</w:t>
      </w:r>
      <w:r>
        <w:rPr>
          <w:rFonts w:eastAsia="Cambria" w:cs="Arial"/>
          <w:szCs w:val="20"/>
          <w:lang w:val="sl-SI"/>
        </w:rPr>
        <w:t xml:space="preserve"> </w:t>
      </w:r>
      <w:r w:rsidRPr="005771BD">
        <w:rPr>
          <w:rFonts w:eastAsia="Cambria" w:cs="Arial"/>
          <w:szCs w:val="20"/>
          <w:lang w:val="sl-SI"/>
        </w:rPr>
        <w:t>samo varovanje narave, ampak gre za obsežen, celovit</w:t>
      </w:r>
      <w:r>
        <w:rPr>
          <w:rFonts w:eastAsia="Cambria" w:cs="Arial"/>
          <w:szCs w:val="20"/>
          <w:lang w:val="sl-SI"/>
        </w:rPr>
        <w:t xml:space="preserve"> in</w:t>
      </w:r>
      <w:r w:rsidRPr="005771BD">
        <w:rPr>
          <w:rFonts w:eastAsia="Cambria" w:cs="Arial"/>
          <w:szCs w:val="20"/>
          <w:lang w:val="sl-SI"/>
        </w:rPr>
        <w:t xml:space="preserve"> </w:t>
      </w:r>
      <w:r>
        <w:rPr>
          <w:rFonts w:eastAsia="Cambria" w:cs="Arial"/>
          <w:szCs w:val="20"/>
          <w:lang w:val="sl-SI"/>
        </w:rPr>
        <w:t>usklajen</w:t>
      </w:r>
      <w:r w:rsidRPr="005771BD">
        <w:rPr>
          <w:rFonts w:eastAsia="Cambria" w:cs="Arial"/>
          <w:szCs w:val="20"/>
          <w:lang w:val="sl-SI"/>
        </w:rPr>
        <w:t xml:space="preserve"> pedagoški proces, ki vključuje odnos med človekom in naravo ter odnose med ljudmi</w:t>
      </w:r>
      <w:r>
        <w:rPr>
          <w:rFonts w:eastAsia="Cambria" w:cs="Arial"/>
          <w:szCs w:val="20"/>
          <w:lang w:val="sl-SI"/>
        </w:rPr>
        <w:t xml:space="preserve"> in ki</w:t>
      </w:r>
      <w:r w:rsidRPr="005771BD">
        <w:rPr>
          <w:rFonts w:eastAsia="Cambria" w:cs="Arial"/>
          <w:szCs w:val="20"/>
          <w:lang w:val="sl-SI"/>
        </w:rPr>
        <w:t xml:space="preserve"> </w:t>
      </w:r>
      <w:r>
        <w:rPr>
          <w:rFonts w:eastAsia="Cambria" w:cs="Arial"/>
          <w:szCs w:val="20"/>
          <w:lang w:val="sl-SI"/>
        </w:rPr>
        <w:t>pripomore k</w:t>
      </w:r>
      <w:r w:rsidRPr="005771BD">
        <w:rPr>
          <w:rFonts w:eastAsia="Cambria" w:cs="Arial"/>
          <w:szCs w:val="20"/>
          <w:lang w:val="sl-SI"/>
        </w:rPr>
        <w:t xml:space="preserve"> razumevanj</w:t>
      </w:r>
      <w:r>
        <w:rPr>
          <w:rFonts w:eastAsia="Cambria" w:cs="Arial"/>
          <w:szCs w:val="20"/>
          <w:lang w:val="sl-SI"/>
        </w:rPr>
        <w:t>u</w:t>
      </w:r>
      <w:r w:rsidRPr="005771BD">
        <w:rPr>
          <w:rFonts w:eastAsia="Cambria" w:cs="Arial"/>
          <w:szCs w:val="20"/>
          <w:lang w:val="sl-SI"/>
        </w:rPr>
        <w:t xml:space="preserve"> vsestranske </w:t>
      </w:r>
      <w:r>
        <w:rPr>
          <w:rFonts w:eastAsia="Cambria" w:cs="Arial"/>
          <w:szCs w:val="20"/>
          <w:lang w:val="sl-SI"/>
        </w:rPr>
        <w:t>povezave</w:t>
      </w:r>
      <w:r w:rsidRPr="005771BD">
        <w:rPr>
          <w:rFonts w:eastAsia="Cambria" w:cs="Arial"/>
          <w:szCs w:val="20"/>
          <w:lang w:val="sl-SI"/>
        </w:rPr>
        <w:t xml:space="preserve"> med naravnim, gospodarskim, družbenim in političnim sistemom ter soodvisnost</w:t>
      </w:r>
      <w:r>
        <w:rPr>
          <w:rFonts w:eastAsia="Cambria" w:cs="Arial"/>
          <w:szCs w:val="20"/>
          <w:lang w:val="sl-SI"/>
        </w:rPr>
        <w:t>jo</w:t>
      </w:r>
      <w:r w:rsidRPr="005771BD">
        <w:rPr>
          <w:rFonts w:eastAsia="Cambria" w:cs="Arial"/>
          <w:szCs w:val="20"/>
          <w:lang w:val="sl-SI"/>
        </w:rPr>
        <w:t xml:space="preserve"> ljudi, ki živijo v različnih delih sveta</w:t>
      </w:r>
      <w:r>
        <w:rPr>
          <w:rFonts w:eastAsia="Cambria" w:cs="Arial"/>
          <w:szCs w:val="20"/>
          <w:lang w:val="sl-SI"/>
        </w:rPr>
        <w:t>,</w:t>
      </w:r>
      <w:r w:rsidRPr="005771BD">
        <w:rPr>
          <w:rFonts w:eastAsia="Cambria" w:cs="Arial"/>
          <w:szCs w:val="20"/>
          <w:lang w:val="sl-SI"/>
        </w:rPr>
        <w:t xml:space="preserve"> ter skuša dejavno in tvorno reševati sedanja in prihodnja okoljska in družbena vprašanja.</w:t>
      </w:r>
    </w:p>
    <w:p w:rsidR="00DF4CD9" w:rsidRPr="005771BD" w:rsidRDefault="00DF4CD9" w:rsidP="00DF4CD9">
      <w:pPr>
        <w:spacing w:after="200" w:line="276" w:lineRule="auto"/>
        <w:jc w:val="both"/>
        <w:rPr>
          <w:rFonts w:eastAsia="Cambria" w:cs="Arial"/>
          <w:bCs/>
          <w:szCs w:val="20"/>
          <w:lang w:val="sl-SI"/>
        </w:rPr>
      </w:pPr>
      <w:r w:rsidRPr="005771BD">
        <w:rPr>
          <w:rFonts w:eastAsia="Cambria" w:cs="Arial"/>
          <w:b/>
          <w:szCs w:val="20"/>
          <w:lang w:val="sl-SI"/>
        </w:rPr>
        <w:t>Smernice vzgoje in izobraževanja za trajnostni razvoj</w:t>
      </w:r>
      <w:r w:rsidRPr="005771BD">
        <w:rPr>
          <w:rFonts w:eastAsia="Cambria" w:cs="Arial"/>
          <w:szCs w:val="20"/>
          <w:lang w:val="sl-SI"/>
        </w:rPr>
        <w:t xml:space="preserve"> se osredotočajo predvsem na formalni šolski sistem do vstopa v terciarno izobraževanje, dopolnjujejo pa jih</w:t>
      </w:r>
      <w:r>
        <w:rPr>
          <w:rFonts w:eastAsia="Cambria" w:cs="Arial"/>
          <w:bCs/>
          <w:szCs w:val="20"/>
          <w:lang w:val="sl-SI"/>
        </w:rPr>
        <w:t xml:space="preserve"> merila</w:t>
      </w:r>
      <w:r w:rsidRPr="005771BD">
        <w:rPr>
          <w:rFonts w:eastAsia="Cambria" w:cs="Arial"/>
          <w:b/>
          <w:szCs w:val="20"/>
          <w:lang w:val="sl-SI"/>
        </w:rPr>
        <w:t xml:space="preserve"> kakovosti šol, ki vzgajajo in izobražujejo za trajnostni razvoj</w:t>
      </w:r>
      <w:r w:rsidRPr="005771BD">
        <w:rPr>
          <w:rFonts w:eastAsia="Cambria" w:cs="Arial"/>
          <w:szCs w:val="20"/>
          <w:lang w:val="sl-SI"/>
        </w:rPr>
        <w:t>.</w:t>
      </w:r>
      <w:r w:rsidRPr="005771BD">
        <w:rPr>
          <w:rFonts w:eastAsia="Cambria" w:cs="Arial"/>
          <w:b/>
          <w:szCs w:val="20"/>
          <w:lang w:val="sl-SI"/>
        </w:rPr>
        <w:t xml:space="preserve"> </w:t>
      </w:r>
      <w:r w:rsidRPr="005771BD">
        <w:rPr>
          <w:rFonts w:eastAsia="Cambria" w:cs="Arial"/>
          <w:bCs/>
          <w:szCs w:val="20"/>
          <w:lang w:val="sl-SI"/>
        </w:rPr>
        <w:t xml:space="preserve">Po sprejetju teh smernic je </w:t>
      </w:r>
      <w:r>
        <w:rPr>
          <w:rFonts w:eastAsia="Cambria" w:cs="Arial"/>
          <w:bCs/>
          <w:szCs w:val="20"/>
          <w:lang w:val="sl-SI"/>
        </w:rPr>
        <w:t>nastalo</w:t>
      </w:r>
      <w:r w:rsidRPr="005771BD">
        <w:rPr>
          <w:rFonts w:eastAsia="Cambria" w:cs="Arial"/>
          <w:bCs/>
          <w:szCs w:val="20"/>
          <w:lang w:val="sl-SI"/>
        </w:rPr>
        <w:t xml:space="preserve"> več izvedbenih dokumentov</w:t>
      </w:r>
      <w:r>
        <w:rPr>
          <w:rFonts w:eastAsia="Cambria" w:cs="Arial"/>
          <w:bCs/>
          <w:szCs w:val="20"/>
          <w:lang w:val="sl-SI"/>
        </w:rPr>
        <w:t xml:space="preserve">, in sicer </w:t>
      </w:r>
      <w:r w:rsidRPr="005771BD">
        <w:rPr>
          <w:rFonts w:eastAsia="Cambria" w:cs="Arial"/>
          <w:bCs/>
          <w:szCs w:val="20"/>
          <w:lang w:val="sl-SI"/>
        </w:rPr>
        <w:t xml:space="preserve">v splošnem izobraževanju med drugim </w:t>
      </w:r>
      <w:r w:rsidRPr="005771BD">
        <w:rPr>
          <w:rFonts w:eastAsia="Cambria" w:cs="Arial"/>
          <w:b/>
          <w:bCs/>
          <w:szCs w:val="20"/>
          <w:lang w:val="sl-SI"/>
        </w:rPr>
        <w:t>medpredmetna kurikula</w:t>
      </w:r>
      <w:r w:rsidRPr="005771BD">
        <w:rPr>
          <w:rFonts w:eastAsia="Cambria" w:cs="Arial"/>
          <w:bCs/>
          <w:szCs w:val="20"/>
          <w:lang w:val="sl-SI"/>
        </w:rPr>
        <w:t xml:space="preserve"> za okoljsko vzgojo kot vzgojo in izobraževanje za trajnostni razvoj za osnovno šolo [predlog] in gimnazije [sprejeti]), </w:t>
      </w:r>
      <w:r w:rsidRPr="005771BD">
        <w:rPr>
          <w:rFonts w:eastAsia="Cambria" w:cs="Arial"/>
          <w:b/>
          <w:bCs/>
          <w:szCs w:val="20"/>
          <w:lang w:val="sl-SI"/>
        </w:rPr>
        <w:t>izbirna predmeta</w:t>
      </w:r>
      <w:r w:rsidRPr="005771BD">
        <w:rPr>
          <w:rFonts w:eastAsia="Cambria" w:cs="Arial"/>
          <w:bCs/>
          <w:szCs w:val="20"/>
          <w:lang w:val="sl-SI"/>
        </w:rPr>
        <w:t xml:space="preserve"> za okoljsko vzgojo, v strokovnem in poklicnem izobraževanju uvajamo </w:t>
      </w:r>
      <w:r w:rsidRPr="005771BD">
        <w:rPr>
          <w:rFonts w:eastAsia="Cambria" w:cs="Arial"/>
          <w:b/>
          <w:bCs/>
          <w:szCs w:val="20"/>
          <w:lang w:val="sl-SI"/>
        </w:rPr>
        <w:t>kompetenco za trajnostni razvoj</w:t>
      </w:r>
      <w:r w:rsidRPr="005771BD">
        <w:rPr>
          <w:rFonts w:eastAsia="Cambria" w:cs="Arial"/>
          <w:bCs/>
          <w:szCs w:val="20"/>
          <w:lang w:val="sl-SI"/>
        </w:rPr>
        <w:t xml:space="preserve"> kot del poklicnih standardov. V skladu s smernicami so potekale tudi druge aktivnosti, na primer stalno strokovno usposabljanje učiteljev, izdajanje učnih gradiv in </w:t>
      </w:r>
      <w:r w:rsidRPr="005771BD">
        <w:rPr>
          <w:rFonts w:eastAsia="Cambria" w:cs="Arial"/>
          <w:b/>
          <w:bCs/>
          <w:szCs w:val="20"/>
          <w:lang w:val="sl-SI"/>
        </w:rPr>
        <w:t>revije Trajnostni razvoj v šoli in vrtcu</w:t>
      </w:r>
      <w:r w:rsidRPr="005771BD">
        <w:rPr>
          <w:rFonts w:eastAsia="Cambria" w:cs="Arial"/>
          <w:bCs/>
          <w:szCs w:val="20"/>
          <w:lang w:val="sl-SI"/>
        </w:rPr>
        <w:t xml:space="preserve">, </w:t>
      </w:r>
      <w:r w:rsidRPr="005771BD">
        <w:rPr>
          <w:rFonts w:eastAsia="Cambria" w:cs="Arial"/>
          <w:szCs w:val="20"/>
          <w:lang w:val="sl-SI"/>
        </w:rPr>
        <w:t>nadgradnja didaktičnih orodij,</w:t>
      </w:r>
      <w:r w:rsidRPr="005771BD">
        <w:rPr>
          <w:rFonts w:eastAsia="Cambria" w:cs="Arial"/>
          <w:bCs/>
          <w:szCs w:val="20"/>
          <w:lang w:val="sl-SI"/>
        </w:rPr>
        <w:t xml:space="preserve"> številni inovacijski projekti, </w:t>
      </w:r>
      <w:r w:rsidRPr="005771BD">
        <w:rPr>
          <w:rFonts w:eastAsia="Cambria" w:cs="Arial"/>
          <w:szCs w:val="20"/>
          <w:lang w:val="sl-SI"/>
        </w:rPr>
        <w:t xml:space="preserve">projektno so bila </w:t>
      </w:r>
      <w:r>
        <w:rPr>
          <w:rFonts w:eastAsia="Cambria" w:cs="Arial"/>
          <w:szCs w:val="20"/>
          <w:lang w:val="sl-SI"/>
        </w:rPr>
        <w:t>pripravljena</w:t>
      </w:r>
      <w:r w:rsidRPr="005771BD">
        <w:rPr>
          <w:rFonts w:eastAsia="Cambria" w:cs="Arial"/>
          <w:szCs w:val="20"/>
          <w:lang w:val="sl-SI"/>
        </w:rPr>
        <w:t xml:space="preserve"> različna učna gradiva za posamezna področja VITR, kar vse je prikazano v tematski številki revije Vzgoja in izobraževanje ob izteku </w:t>
      </w:r>
      <w:r>
        <w:rPr>
          <w:rFonts w:eastAsia="Cambria" w:cs="Arial"/>
          <w:szCs w:val="20"/>
          <w:lang w:val="sl-SI"/>
        </w:rPr>
        <w:t>d</w:t>
      </w:r>
      <w:r w:rsidRPr="005771BD">
        <w:rPr>
          <w:rFonts w:eastAsia="Cambria" w:cs="Arial"/>
          <w:szCs w:val="20"/>
          <w:lang w:val="sl-SI"/>
        </w:rPr>
        <w:t>esetletja VITR</w:t>
      </w:r>
      <w:r w:rsidRPr="005771BD">
        <w:rPr>
          <w:rFonts w:eastAsia="Cambria" w:cs="Arial"/>
          <w:szCs w:val="20"/>
          <w:vertAlign w:val="superscript"/>
          <w:lang w:val="sl-SI"/>
        </w:rPr>
        <w:footnoteReference w:id="63"/>
      </w:r>
      <w:r w:rsidRPr="005771BD">
        <w:rPr>
          <w:rFonts w:eastAsia="Cambria" w:cs="Arial"/>
          <w:szCs w:val="20"/>
          <w:lang w:val="sl-SI"/>
        </w:rPr>
        <w:t>.</w:t>
      </w:r>
    </w:p>
    <w:p w:rsidR="00DF4CD9" w:rsidRPr="005771BD" w:rsidRDefault="00DF4CD9" w:rsidP="00DF4CD9">
      <w:pPr>
        <w:spacing w:after="200" w:line="276" w:lineRule="auto"/>
        <w:jc w:val="both"/>
        <w:rPr>
          <w:rFonts w:eastAsia="Cambria" w:cs="Arial"/>
          <w:szCs w:val="20"/>
          <w:lang w:val="sl-SI"/>
        </w:rPr>
      </w:pPr>
      <w:r w:rsidRPr="005771BD">
        <w:rPr>
          <w:rFonts w:eastAsia="Cambria" w:cs="Arial"/>
          <w:bCs/>
          <w:szCs w:val="20"/>
          <w:lang w:val="sl-SI"/>
        </w:rPr>
        <w:t xml:space="preserve">Evalvacija uvajanja smernic še ni bila izvedena, po letu 2012 pa </w:t>
      </w:r>
      <w:r>
        <w:rPr>
          <w:rFonts w:eastAsia="Cambria" w:cs="Arial"/>
          <w:bCs/>
          <w:szCs w:val="20"/>
          <w:lang w:val="sl-SI"/>
        </w:rPr>
        <w:t>je opazno zmanjšanje</w:t>
      </w:r>
      <w:r w:rsidRPr="005771BD">
        <w:rPr>
          <w:rFonts w:eastAsia="Cambria" w:cs="Arial"/>
          <w:bCs/>
          <w:szCs w:val="20"/>
          <w:lang w:val="sl-SI"/>
        </w:rPr>
        <w:t xml:space="preserve"> sistematičnih aktivnosti na področju splošnega izobraževanja. </w:t>
      </w:r>
      <w:r w:rsidRPr="005771BD">
        <w:rPr>
          <w:rFonts w:eastAsia="Cambria" w:cs="Arial"/>
          <w:szCs w:val="20"/>
          <w:lang w:val="sl-SI"/>
        </w:rPr>
        <w:t>Primerjalna analiza trajnostnih vsebin, ki jo je v letih 2011</w:t>
      </w:r>
      <w:r>
        <w:rPr>
          <w:rFonts w:eastAsia="Cambria" w:cs="Arial"/>
          <w:szCs w:val="20"/>
          <w:lang w:val="sl-SI"/>
        </w:rPr>
        <w:t xml:space="preserve"> in </w:t>
      </w:r>
      <w:r w:rsidRPr="005771BD">
        <w:rPr>
          <w:rFonts w:eastAsia="Cambria" w:cs="Arial"/>
          <w:szCs w:val="20"/>
          <w:lang w:val="sl-SI"/>
        </w:rPr>
        <w:t xml:space="preserve">2012 v okviru mednarodnega projekta </w:t>
      </w:r>
      <w:r w:rsidRPr="007B7F58">
        <w:rPr>
          <w:rFonts w:eastAsia="Cambria" w:cs="Arial"/>
          <w:bCs/>
          <w:szCs w:val="20"/>
          <w:lang w:val="sl-SI"/>
        </w:rPr>
        <w:t>ENjoinED</w:t>
      </w:r>
      <w:r w:rsidRPr="005771BD">
        <w:rPr>
          <w:rFonts w:eastAsia="Cambria" w:cs="Arial"/>
          <w:szCs w:val="20"/>
          <w:lang w:val="sl-SI"/>
        </w:rPr>
        <w:t xml:space="preserve"> izvedlo društvo Focus, je pokazala, da je trajnostni razvoj vključen </w:t>
      </w:r>
      <w:r>
        <w:rPr>
          <w:rFonts w:eastAsia="Cambria" w:cs="Arial"/>
          <w:szCs w:val="20"/>
          <w:lang w:val="sl-SI"/>
        </w:rPr>
        <w:t>večinoma</w:t>
      </w:r>
      <w:r w:rsidRPr="005771BD">
        <w:rPr>
          <w:rFonts w:eastAsia="Cambria" w:cs="Arial"/>
          <w:szCs w:val="20"/>
          <w:lang w:val="sl-SI"/>
        </w:rPr>
        <w:t xml:space="preserve"> kot dodatni predmet in/ali tema v kurikul in kot besedilo v učbenikih, namesto da bi prežemal druge teme in </w:t>
      </w:r>
      <w:r>
        <w:rPr>
          <w:rFonts w:eastAsia="Cambria" w:cs="Arial"/>
          <w:szCs w:val="20"/>
          <w:lang w:val="sl-SI"/>
        </w:rPr>
        <w:t>bil</w:t>
      </w:r>
      <w:r w:rsidRPr="005771BD">
        <w:rPr>
          <w:rFonts w:eastAsia="Cambria" w:cs="Arial"/>
          <w:szCs w:val="20"/>
          <w:lang w:val="sl-SI"/>
        </w:rPr>
        <w:t xml:space="preserve"> </w:t>
      </w:r>
      <w:r>
        <w:rPr>
          <w:rFonts w:eastAsia="Cambria" w:cs="Arial"/>
          <w:szCs w:val="20"/>
          <w:lang w:val="sl-SI"/>
        </w:rPr>
        <w:t>v</w:t>
      </w:r>
      <w:r w:rsidRPr="005771BD">
        <w:rPr>
          <w:rFonts w:eastAsia="Cambria" w:cs="Arial"/>
          <w:szCs w:val="20"/>
          <w:lang w:val="sl-SI"/>
        </w:rPr>
        <w:t>plet</w:t>
      </w:r>
      <w:r>
        <w:rPr>
          <w:rFonts w:eastAsia="Cambria" w:cs="Arial"/>
          <w:szCs w:val="20"/>
          <w:lang w:val="sl-SI"/>
        </w:rPr>
        <w:t>en</w:t>
      </w:r>
      <w:r w:rsidRPr="005771BD">
        <w:rPr>
          <w:rFonts w:eastAsia="Cambria" w:cs="Arial"/>
          <w:szCs w:val="20"/>
          <w:lang w:val="sl-SI"/>
        </w:rPr>
        <w:t xml:space="preserve"> </w:t>
      </w:r>
      <w:r>
        <w:rPr>
          <w:rFonts w:eastAsia="Cambria" w:cs="Arial"/>
          <w:szCs w:val="20"/>
          <w:lang w:val="sl-SI"/>
        </w:rPr>
        <w:t>v</w:t>
      </w:r>
      <w:r w:rsidRPr="005771BD">
        <w:rPr>
          <w:rFonts w:eastAsia="Cambria" w:cs="Arial"/>
          <w:szCs w:val="20"/>
          <w:lang w:val="sl-SI"/>
        </w:rPr>
        <w:t xml:space="preserve"> celot</w:t>
      </w:r>
      <w:r>
        <w:rPr>
          <w:rFonts w:eastAsia="Cambria" w:cs="Arial"/>
          <w:szCs w:val="20"/>
          <w:lang w:val="sl-SI"/>
        </w:rPr>
        <w:t>ni</w:t>
      </w:r>
      <w:r w:rsidRPr="005771BD">
        <w:rPr>
          <w:rFonts w:eastAsia="Cambria" w:cs="Arial"/>
          <w:szCs w:val="20"/>
          <w:lang w:val="sl-SI"/>
        </w:rPr>
        <w:t xml:space="preserve"> program. Vsebine trajnostnega razvoja so </w:t>
      </w:r>
      <w:r>
        <w:rPr>
          <w:rFonts w:eastAsia="Cambria" w:cs="Arial"/>
          <w:szCs w:val="20"/>
          <w:lang w:val="sl-SI"/>
        </w:rPr>
        <w:t>del</w:t>
      </w:r>
      <w:r w:rsidRPr="005771BD">
        <w:rPr>
          <w:rFonts w:eastAsia="Cambria" w:cs="Arial"/>
          <w:szCs w:val="20"/>
          <w:lang w:val="sl-SI"/>
        </w:rPr>
        <w:t xml:space="preserve"> sedanjih predmetnih učnih načrt</w:t>
      </w:r>
      <w:r>
        <w:rPr>
          <w:rFonts w:eastAsia="Cambria" w:cs="Arial"/>
          <w:szCs w:val="20"/>
          <w:lang w:val="sl-SI"/>
        </w:rPr>
        <w:t>ov</w:t>
      </w:r>
      <w:r w:rsidRPr="005771BD">
        <w:rPr>
          <w:rFonts w:eastAsia="Cambria" w:cs="Arial"/>
          <w:szCs w:val="20"/>
          <w:lang w:val="sl-SI"/>
        </w:rPr>
        <w:t>, vendar s</w:t>
      </w:r>
      <w:r>
        <w:rPr>
          <w:rFonts w:eastAsia="Cambria" w:cs="Arial"/>
          <w:szCs w:val="20"/>
          <w:lang w:val="sl-SI"/>
        </w:rPr>
        <w:t>e</w:t>
      </w:r>
      <w:r w:rsidRPr="005771BD">
        <w:rPr>
          <w:rFonts w:eastAsia="Cambria" w:cs="Arial"/>
          <w:szCs w:val="20"/>
          <w:lang w:val="sl-SI"/>
        </w:rPr>
        <w:t xml:space="preserve"> večinoma </w:t>
      </w:r>
      <w:r>
        <w:rPr>
          <w:rFonts w:eastAsia="Cambria" w:cs="Arial"/>
          <w:szCs w:val="20"/>
          <w:lang w:val="sl-SI"/>
        </w:rPr>
        <w:t>nanašajo</w:t>
      </w:r>
      <w:r w:rsidRPr="005771BD">
        <w:rPr>
          <w:rFonts w:eastAsia="Cambria" w:cs="Arial"/>
          <w:szCs w:val="20"/>
          <w:lang w:val="sl-SI"/>
        </w:rPr>
        <w:t xml:space="preserve"> na varovanje naravnega okolja. Zanemarjeni pa sta socialna in še </w:t>
      </w:r>
      <w:r>
        <w:rPr>
          <w:rFonts w:eastAsia="Cambria" w:cs="Arial"/>
          <w:szCs w:val="20"/>
          <w:lang w:val="sl-SI"/>
        </w:rPr>
        <w:t>zlasti</w:t>
      </w:r>
      <w:r w:rsidRPr="005771BD">
        <w:rPr>
          <w:rFonts w:eastAsia="Cambria" w:cs="Arial"/>
          <w:szCs w:val="20"/>
          <w:lang w:val="sl-SI"/>
        </w:rPr>
        <w:t xml:space="preserve"> ekonomska razsežnost.</w:t>
      </w:r>
    </w:p>
    <w:p w:rsidR="00DF4CD9" w:rsidRPr="005771BD" w:rsidRDefault="00DF4CD9" w:rsidP="00DF4CD9">
      <w:pPr>
        <w:spacing w:after="200" w:line="276" w:lineRule="auto"/>
        <w:jc w:val="both"/>
        <w:rPr>
          <w:rFonts w:eastAsia="Cambria" w:cs="Arial"/>
          <w:szCs w:val="20"/>
          <w:lang w:val="sl-SI"/>
        </w:rPr>
      </w:pPr>
      <w:r w:rsidRPr="005771BD">
        <w:rPr>
          <w:rFonts w:eastAsia="Cambria" w:cs="Arial"/>
          <w:szCs w:val="20"/>
          <w:lang w:val="sl-SI"/>
        </w:rPr>
        <w:t xml:space="preserve">Priporočila </w:t>
      </w:r>
      <w:r>
        <w:rPr>
          <w:rFonts w:eastAsia="Cambria" w:cs="Arial"/>
          <w:b/>
          <w:szCs w:val="20"/>
          <w:lang w:val="sl-SI"/>
        </w:rPr>
        <w:t>b</w:t>
      </w:r>
      <w:r w:rsidRPr="005771BD">
        <w:rPr>
          <w:rFonts w:eastAsia="Cambria" w:cs="Arial"/>
          <w:b/>
          <w:szCs w:val="20"/>
          <w:lang w:val="sl-SI"/>
        </w:rPr>
        <w:t>ele knjige o vzgoji in izobraževanju</w:t>
      </w:r>
      <w:r w:rsidRPr="005771BD">
        <w:rPr>
          <w:rFonts w:eastAsia="Cambria" w:cs="Arial"/>
          <w:szCs w:val="20"/>
          <w:lang w:val="sl-SI"/>
        </w:rPr>
        <w:t xml:space="preserve"> (2011), ki je poudarila vzgojo in izobraževanje za trajnostni oziroma vzdržni razvoj, ki »zahteva spremembo paradigme v znanju in vrednotah«, načelo trajnostnega razvoja pa bi naj postalo »eno ključnih načel vzgoje in izobraževanja v Sloveniji«, niso bila </w:t>
      </w:r>
      <w:r>
        <w:rPr>
          <w:rFonts w:eastAsia="Cambria" w:cs="Arial"/>
          <w:szCs w:val="20"/>
          <w:lang w:val="sl-SI"/>
        </w:rPr>
        <w:t>dovolj</w:t>
      </w:r>
      <w:r w:rsidRPr="005771BD">
        <w:rPr>
          <w:rFonts w:eastAsia="Cambria" w:cs="Arial"/>
          <w:szCs w:val="20"/>
          <w:lang w:val="sl-SI"/>
        </w:rPr>
        <w:t xml:space="preserve"> upoštevana. Tudi leta 2014 sprejet </w:t>
      </w:r>
      <w:r w:rsidRPr="005771BD">
        <w:rPr>
          <w:rFonts w:eastAsia="Cambria" w:cs="Arial"/>
          <w:b/>
          <w:szCs w:val="20"/>
          <w:lang w:val="sl-SI"/>
        </w:rPr>
        <w:t>Globalni akcijski program za VITR</w:t>
      </w:r>
      <w:r w:rsidRPr="005771BD">
        <w:rPr>
          <w:rFonts w:eastAsia="Cambria" w:cs="Arial"/>
          <w:b/>
          <w:szCs w:val="20"/>
          <w:vertAlign w:val="superscript"/>
          <w:lang w:val="sl-SI"/>
        </w:rPr>
        <w:footnoteReference w:id="64"/>
      </w:r>
      <w:r w:rsidRPr="005771BD">
        <w:rPr>
          <w:rFonts w:eastAsia="Cambria" w:cs="Arial"/>
          <w:szCs w:val="20"/>
          <w:lang w:val="sl-SI"/>
        </w:rPr>
        <w:t xml:space="preserve"> </w:t>
      </w:r>
      <w:r>
        <w:rPr>
          <w:rFonts w:eastAsia="Cambria" w:cs="Arial"/>
          <w:szCs w:val="20"/>
          <w:lang w:val="sl-SI"/>
        </w:rPr>
        <w:t>z načrtom</w:t>
      </w:r>
      <w:r w:rsidRPr="005771BD">
        <w:rPr>
          <w:rFonts w:eastAsia="Cambria" w:cs="Arial"/>
          <w:szCs w:val="20"/>
          <w:lang w:val="sl-SI"/>
        </w:rPr>
        <w:t xml:space="preserve"> (roadmap) za njegovo izvajanje še ni preveden </w:t>
      </w:r>
      <w:r>
        <w:rPr>
          <w:rFonts w:eastAsia="Cambria" w:cs="Arial"/>
          <w:szCs w:val="20"/>
          <w:lang w:val="sl-SI"/>
        </w:rPr>
        <w:t>in prenesen</w:t>
      </w:r>
      <w:r w:rsidRPr="005771BD">
        <w:rPr>
          <w:rFonts w:eastAsia="Cambria" w:cs="Arial"/>
          <w:szCs w:val="20"/>
          <w:lang w:val="sl-SI"/>
        </w:rPr>
        <w:t xml:space="preserve"> v slovensk</w:t>
      </w:r>
      <w:r>
        <w:rPr>
          <w:rFonts w:eastAsia="Cambria" w:cs="Arial"/>
          <w:szCs w:val="20"/>
          <w:lang w:val="sl-SI"/>
        </w:rPr>
        <w:t>o</w:t>
      </w:r>
      <w:r w:rsidRPr="005771BD">
        <w:rPr>
          <w:rFonts w:eastAsia="Cambria" w:cs="Arial"/>
          <w:szCs w:val="20"/>
          <w:lang w:val="sl-SI"/>
        </w:rPr>
        <w:t xml:space="preserve"> okol</w:t>
      </w:r>
      <w:r>
        <w:rPr>
          <w:rFonts w:eastAsia="Cambria" w:cs="Arial"/>
          <w:szCs w:val="20"/>
          <w:lang w:val="sl-SI"/>
        </w:rPr>
        <w:t>je</w:t>
      </w:r>
      <w:r w:rsidRPr="005771BD">
        <w:rPr>
          <w:rFonts w:eastAsia="Cambria" w:cs="Arial"/>
          <w:szCs w:val="20"/>
          <w:lang w:val="sl-SI"/>
        </w:rPr>
        <w:t xml:space="preserve">. </w:t>
      </w:r>
    </w:p>
    <w:p w:rsidR="00DF4CD9" w:rsidRPr="005771BD" w:rsidRDefault="00DF4CD9" w:rsidP="00DF4CD9">
      <w:pPr>
        <w:spacing w:line="276" w:lineRule="auto"/>
        <w:jc w:val="both"/>
        <w:rPr>
          <w:rFonts w:eastAsia="Cambria" w:cs="Arial"/>
          <w:b/>
          <w:szCs w:val="20"/>
          <w:lang w:val="sl-SI"/>
        </w:rPr>
      </w:pPr>
    </w:p>
    <w:p w:rsidR="00DF4CD9" w:rsidRPr="005771BD" w:rsidRDefault="00DF4CD9" w:rsidP="00DF4CD9">
      <w:pPr>
        <w:spacing w:after="200" w:line="276" w:lineRule="auto"/>
        <w:jc w:val="both"/>
        <w:rPr>
          <w:rFonts w:eastAsia="Cambria" w:cs="Arial"/>
          <w:b/>
          <w:szCs w:val="20"/>
          <w:u w:val="single"/>
          <w:lang w:val="sl-SI"/>
        </w:rPr>
      </w:pPr>
      <w:r w:rsidRPr="005771BD">
        <w:rPr>
          <w:rFonts w:eastAsia="Cambria" w:cs="Arial"/>
          <w:b/>
          <w:szCs w:val="20"/>
          <w:u w:val="single"/>
          <w:lang w:val="sl-SI"/>
        </w:rPr>
        <w:t>1</w:t>
      </w:r>
      <w:r w:rsidR="001A509D">
        <w:rPr>
          <w:rFonts w:eastAsia="Cambria" w:cs="Arial"/>
          <w:b/>
          <w:szCs w:val="20"/>
          <w:u w:val="single"/>
          <w:lang w:val="sl-SI"/>
        </w:rPr>
        <w:t>5</w:t>
      </w:r>
      <w:r w:rsidRPr="005771BD">
        <w:rPr>
          <w:rFonts w:eastAsia="Cambria" w:cs="Arial"/>
          <w:b/>
          <w:szCs w:val="20"/>
          <w:u w:val="single"/>
          <w:lang w:val="sl-SI"/>
        </w:rPr>
        <w:t>.3 Vzgoja in izobraževanje za varstvo okolja v programih drugih sektorjev</w:t>
      </w:r>
    </w:p>
    <w:p w:rsidR="00DF4CD9" w:rsidRPr="005771BD" w:rsidRDefault="00DF4CD9" w:rsidP="00DF4CD9">
      <w:pPr>
        <w:spacing w:after="200" w:line="276" w:lineRule="auto"/>
        <w:jc w:val="both"/>
        <w:rPr>
          <w:rFonts w:eastAsia="Cambria" w:cs="Arial"/>
          <w:szCs w:val="20"/>
          <w:lang w:val="sl-SI"/>
        </w:rPr>
      </w:pPr>
      <w:r w:rsidRPr="005771BD">
        <w:rPr>
          <w:rFonts w:eastAsia="Cambria" w:cs="Arial"/>
          <w:szCs w:val="20"/>
          <w:lang w:val="sl-SI"/>
        </w:rPr>
        <w:t xml:space="preserve">Aktivnosti vzgoje in izobraževanja so se izvajale tudi na podlagi programov drugih sektorjev, med katerimi omenjamo: </w:t>
      </w:r>
    </w:p>
    <w:p w:rsidR="00DF4CD9" w:rsidRPr="005771BD" w:rsidRDefault="00DF4CD9" w:rsidP="00DF4CD9">
      <w:pPr>
        <w:numPr>
          <w:ilvl w:val="0"/>
          <w:numId w:val="16"/>
        </w:numPr>
        <w:spacing w:after="240" w:line="276" w:lineRule="auto"/>
        <w:ind w:left="284" w:hanging="284"/>
        <w:contextualSpacing/>
        <w:jc w:val="both"/>
        <w:rPr>
          <w:rFonts w:eastAsia="Cambria" w:cs="Arial"/>
          <w:szCs w:val="20"/>
          <w:lang w:val="sl-SI"/>
        </w:rPr>
      </w:pPr>
      <w:r w:rsidRPr="005771BD">
        <w:rPr>
          <w:rFonts w:eastAsia="Cambria" w:cs="Arial"/>
          <w:b/>
          <w:szCs w:val="20"/>
          <w:lang w:val="sl-SI"/>
        </w:rPr>
        <w:t xml:space="preserve">Program porabe </w:t>
      </w:r>
      <w:r>
        <w:rPr>
          <w:rFonts w:eastAsia="Cambria" w:cs="Arial"/>
          <w:b/>
          <w:szCs w:val="20"/>
          <w:lang w:val="sl-SI"/>
        </w:rPr>
        <w:t>s</w:t>
      </w:r>
      <w:r w:rsidRPr="005771BD">
        <w:rPr>
          <w:rFonts w:eastAsia="Cambria" w:cs="Arial"/>
          <w:b/>
          <w:szCs w:val="20"/>
          <w:lang w:val="sl-SI"/>
        </w:rPr>
        <w:t>klada za podnebne spremembe za proračunski leti 2015</w:t>
      </w:r>
      <w:r>
        <w:rPr>
          <w:rFonts w:eastAsia="Cambria" w:cs="Arial"/>
          <w:b/>
          <w:szCs w:val="20"/>
          <w:lang w:val="sl-SI"/>
        </w:rPr>
        <w:t xml:space="preserve"> in </w:t>
      </w:r>
      <w:r w:rsidRPr="005771BD">
        <w:rPr>
          <w:rFonts w:eastAsia="Cambria" w:cs="Arial"/>
          <w:b/>
          <w:szCs w:val="20"/>
          <w:lang w:val="sl-SI"/>
        </w:rPr>
        <w:t xml:space="preserve">2016, </w:t>
      </w:r>
      <w:r w:rsidRPr="005771BD">
        <w:rPr>
          <w:rFonts w:eastAsia="Cambria" w:cs="Arial"/>
          <w:szCs w:val="20"/>
          <w:lang w:val="sl-SI"/>
        </w:rPr>
        <w:t>iz katerega se je financiralo več projektov, med drugim povezanih s kakovostjo zraka, usposabljanje učiteljev o energetski učinkovitosti (v sodelovanju z MZI), nadgradnj</w:t>
      </w:r>
      <w:r>
        <w:rPr>
          <w:rFonts w:eastAsia="Cambria" w:cs="Arial"/>
          <w:szCs w:val="20"/>
          <w:lang w:val="sl-SI"/>
        </w:rPr>
        <w:t>a</w:t>
      </w:r>
      <w:r w:rsidRPr="005771BD">
        <w:rPr>
          <w:rFonts w:eastAsia="Cambria" w:cs="Arial"/>
          <w:szCs w:val="20"/>
          <w:lang w:val="sl-SI"/>
        </w:rPr>
        <w:t xml:space="preserve"> programa temeljnega izobraževanja odraslih o trajnostnem razvoju in drug</w:t>
      </w:r>
      <w:r>
        <w:rPr>
          <w:rFonts w:eastAsia="Cambria" w:cs="Arial"/>
          <w:szCs w:val="20"/>
          <w:lang w:val="sl-SI"/>
        </w:rPr>
        <w:t>i</w:t>
      </w:r>
      <w:r w:rsidRPr="005771BD">
        <w:rPr>
          <w:rFonts w:eastAsia="Cambria" w:cs="Arial"/>
          <w:szCs w:val="20"/>
          <w:lang w:val="sl-SI"/>
        </w:rPr>
        <w:t xml:space="preserve">. </w:t>
      </w:r>
    </w:p>
    <w:p w:rsidR="00DF4CD9" w:rsidRPr="005771BD" w:rsidRDefault="00DF4CD9" w:rsidP="00DF4CD9">
      <w:pPr>
        <w:spacing w:after="240" w:line="276" w:lineRule="auto"/>
        <w:ind w:left="284"/>
        <w:jc w:val="both"/>
        <w:rPr>
          <w:rFonts w:eastAsia="Cambria" w:cs="Arial"/>
          <w:szCs w:val="20"/>
          <w:lang w:val="sl-SI"/>
        </w:rPr>
      </w:pPr>
      <w:r w:rsidRPr="005771BD">
        <w:rPr>
          <w:rFonts w:eastAsia="Cambria" w:cs="Arial"/>
          <w:szCs w:val="20"/>
          <w:lang w:val="sl-SI"/>
        </w:rPr>
        <w:t xml:space="preserve">Ti projekti izhajajo iz spoznanja, da učinkovito dolgoročno spopadanje s podnebnimi spremembami zahteva korenito preoblikovanje vzorcev potrošnje in proizvodnje, celovito spremembo navad potrošnikov in prestrukturiranja v ključnih sektorjih gospodarstva in da </w:t>
      </w:r>
      <w:r>
        <w:rPr>
          <w:rFonts w:eastAsia="Cambria" w:cs="Arial"/>
          <w:szCs w:val="20"/>
          <w:lang w:val="sl-SI"/>
        </w:rPr>
        <w:t>mora biti</w:t>
      </w:r>
      <w:r w:rsidRPr="005771BD">
        <w:rPr>
          <w:rFonts w:eastAsia="Cambria" w:cs="Arial"/>
          <w:szCs w:val="20"/>
          <w:lang w:val="sl-SI"/>
        </w:rPr>
        <w:t xml:space="preserve"> ozaveščanj</w:t>
      </w:r>
      <w:r>
        <w:rPr>
          <w:rFonts w:eastAsia="Cambria" w:cs="Arial"/>
          <w:szCs w:val="20"/>
          <w:lang w:val="sl-SI"/>
        </w:rPr>
        <w:t>e</w:t>
      </w:r>
      <w:r w:rsidRPr="005771BD">
        <w:rPr>
          <w:rFonts w:eastAsia="Cambria" w:cs="Arial"/>
          <w:szCs w:val="20"/>
          <w:lang w:val="sl-SI"/>
        </w:rPr>
        <w:t xml:space="preserve"> in usposabljanj</w:t>
      </w:r>
      <w:r>
        <w:rPr>
          <w:rFonts w:eastAsia="Cambria" w:cs="Arial"/>
          <w:szCs w:val="20"/>
          <w:lang w:val="sl-SI"/>
        </w:rPr>
        <w:t>e</w:t>
      </w:r>
      <w:r w:rsidRPr="005771BD">
        <w:rPr>
          <w:rFonts w:eastAsia="Cambria" w:cs="Arial"/>
          <w:szCs w:val="20"/>
          <w:lang w:val="sl-SI"/>
        </w:rPr>
        <w:t xml:space="preserve"> splošne in strokovne javnosti sistematič</w:t>
      </w:r>
      <w:r>
        <w:rPr>
          <w:rFonts w:eastAsia="Cambria" w:cs="Arial"/>
          <w:szCs w:val="20"/>
          <w:lang w:val="sl-SI"/>
        </w:rPr>
        <w:t xml:space="preserve">no, </w:t>
      </w:r>
      <w:r w:rsidRPr="005771BD">
        <w:rPr>
          <w:rFonts w:eastAsia="Cambria" w:cs="Arial"/>
          <w:szCs w:val="20"/>
          <w:lang w:val="sl-SI"/>
        </w:rPr>
        <w:t xml:space="preserve"> </w:t>
      </w:r>
      <w:r>
        <w:rPr>
          <w:rFonts w:eastAsia="Cambria" w:cs="Arial"/>
          <w:szCs w:val="20"/>
          <w:lang w:val="sl-SI"/>
        </w:rPr>
        <w:t xml:space="preserve">pri čemer je treba </w:t>
      </w:r>
      <w:r w:rsidRPr="005771BD">
        <w:rPr>
          <w:rFonts w:eastAsia="Cambria" w:cs="Arial"/>
          <w:szCs w:val="20"/>
          <w:lang w:val="sl-SI"/>
        </w:rPr>
        <w:t xml:space="preserve">povezati razdrobljene ukrepe, ki jih posamezni akterji izvajajo na tem področju. </w:t>
      </w:r>
    </w:p>
    <w:p w:rsidR="00DF4CD9" w:rsidRPr="005771BD" w:rsidRDefault="00DF4CD9" w:rsidP="00DF4CD9">
      <w:pPr>
        <w:numPr>
          <w:ilvl w:val="0"/>
          <w:numId w:val="16"/>
        </w:numPr>
        <w:tabs>
          <w:tab w:val="left" w:pos="284"/>
        </w:tabs>
        <w:spacing w:after="240" w:line="276" w:lineRule="auto"/>
        <w:ind w:left="284" w:hanging="284"/>
        <w:contextualSpacing/>
        <w:jc w:val="both"/>
        <w:rPr>
          <w:rFonts w:eastAsia="Cambria" w:cs="Arial"/>
          <w:szCs w:val="20"/>
          <w:lang w:val="sl-SI"/>
        </w:rPr>
      </w:pPr>
      <w:r w:rsidRPr="005771BD">
        <w:rPr>
          <w:rFonts w:eastAsia="Cambria" w:cs="Arial"/>
          <w:szCs w:val="20"/>
          <w:lang w:val="sl-SI"/>
        </w:rPr>
        <w:t>Vseslovenski projekt</w:t>
      </w:r>
      <w:r w:rsidRPr="005771BD">
        <w:rPr>
          <w:rFonts w:eastAsia="Cambria" w:cs="Arial"/>
          <w:b/>
          <w:bCs/>
          <w:szCs w:val="20"/>
          <w:lang w:val="sl-SI"/>
        </w:rPr>
        <w:t xml:space="preserve"> </w:t>
      </w:r>
      <w:r>
        <w:rPr>
          <w:rFonts w:eastAsia="Cambria" w:cs="Arial"/>
          <w:b/>
          <w:bCs/>
          <w:szCs w:val="20"/>
          <w:lang w:val="sl-SI"/>
        </w:rPr>
        <w:t>t</w:t>
      </w:r>
      <w:r w:rsidRPr="005771BD">
        <w:rPr>
          <w:rFonts w:eastAsia="Cambria" w:cs="Arial"/>
          <w:b/>
          <w:bCs/>
          <w:szCs w:val="20"/>
          <w:lang w:val="sl-SI"/>
        </w:rPr>
        <w:t>radicionalni slovenski zajtrk</w:t>
      </w:r>
      <w:r w:rsidRPr="005771BD">
        <w:rPr>
          <w:rFonts w:eastAsia="Cambria" w:cs="Arial"/>
          <w:szCs w:val="20"/>
          <w:lang w:val="sl-SI"/>
        </w:rPr>
        <w:t xml:space="preserve"> izvaja Ministrstvo za kmetijstvo, gozdarstvo in prehrano z različnimi partnerji z namenom, da bi izboljšali zavedanje o namenu in razlogih za </w:t>
      </w:r>
      <w:r w:rsidRPr="005771BD">
        <w:rPr>
          <w:rFonts w:eastAsia="Cambria" w:cs="Arial"/>
          <w:b/>
          <w:bCs/>
          <w:szCs w:val="20"/>
          <w:lang w:val="sl-SI"/>
        </w:rPr>
        <w:t>lokalno samooskrbo</w:t>
      </w:r>
      <w:r w:rsidRPr="005771BD">
        <w:rPr>
          <w:rFonts w:eastAsia="Cambria" w:cs="Arial"/>
          <w:b/>
          <w:szCs w:val="20"/>
          <w:lang w:val="sl-SI"/>
        </w:rPr>
        <w:t xml:space="preserve">, </w:t>
      </w:r>
      <w:r w:rsidRPr="005771BD">
        <w:rPr>
          <w:rFonts w:eastAsia="Cambria" w:cs="Arial"/>
          <w:b/>
          <w:bCs/>
          <w:szCs w:val="20"/>
          <w:lang w:val="sl-SI"/>
        </w:rPr>
        <w:t>domačo pridelavo in predelavo</w:t>
      </w:r>
      <w:r w:rsidRPr="005771BD">
        <w:rPr>
          <w:rFonts w:eastAsia="Cambria" w:cs="Arial"/>
          <w:szCs w:val="20"/>
          <w:lang w:val="sl-SI"/>
        </w:rPr>
        <w:t xml:space="preserve"> ter v okviru sistema javnega naročanja spodbudili aktivnosti zagotavljanja hrane, pridelane v lokalnem okolju. </w:t>
      </w:r>
    </w:p>
    <w:p w:rsidR="00DF4CD9" w:rsidRPr="005771BD" w:rsidRDefault="00DF4CD9" w:rsidP="00DF4CD9">
      <w:pPr>
        <w:tabs>
          <w:tab w:val="left" w:pos="284"/>
        </w:tabs>
        <w:spacing w:after="240" w:line="276" w:lineRule="auto"/>
        <w:ind w:left="284"/>
        <w:jc w:val="both"/>
        <w:rPr>
          <w:rFonts w:eastAsia="Cambria" w:cs="Arial"/>
          <w:szCs w:val="20"/>
          <w:lang w:val="sl-SI"/>
        </w:rPr>
      </w:pPr>
      <w:r w:rsidRPr="005771BD">
        <w:rPr>
          <w:rFonts w:eastAsia="Cambria" w:cs="Arial"/>
          <w:szCs w:val="20"/>
          <w:lang w:val="sl-SI"/>
        </w:rPr>
        <w:t>S programom t.</w:t>
      </w:r>
      <w:r>
        <w:rPr>
          <w:rFonts w:eastAsia="Cambria" w:cs="Arial"/>
          <w:szCs w:val="20"/>
          <w:lang w:val="sl-SI"/>
        </w:rPr>
        <w:t xml:space="preserve"> </w:t>
      </w:r>
      <w:r w:rsidRPr="005771BD">
        <w:rPr>
          <w:rFonts w:eastAsia="Cambria" w:cs="Arial"/>
          <w:szCs w:val="20"/>
          <w:lang w:val="sl-SI"/>
        </w:rPr>
        <w:t>i. »</w:t>
      </w:r>
      <w:r w:rsidRPr="005771BD">
        <w:rPr>
          <w:rFonts w:eastAsia="Cambria" w:cs="Arial"/>
          <w:b/>
          <w:szCs w:val="20"/>
          <w:lang w:val="sl-SI"/>
        </w:rPr>
        <w:t>kratkih verig</w:t>
      </w:r>
      <w:r w:rsidRPr="005771BD">
        <w:rPr>
          <w:rFonts w:eastAsia="Cambria" w:cs="Arial"/>
          <w:szCs w:val="20"/>
          <w:lang w:val="sl-SI"/>
        </w:rPr>
        <w:t xml:space="preserve">« je to ministrstvo v okviru kampanje za povečanje potrošnje lokalne hrane izvedlo več </w:t>
      </w:r>
      <w:r>
        <w:rPr>
          <w:rFonts w:eastAsia="Cambria" w:cs="Arial"/>
          <w:szCs w:val="20"/>
          <w:lang w:val="sl-SI"/>
        </w:rPr>
        <w:t xml:space="preserve">promocijskih </w:t>
      </w:r>
      <w:r w:rsidRPr="005771BD">
        <w:rPr>
          <w:rFonts w:eastAsia="Cambria" w:cs="Arial"/>
          <w:szCs w:val="20"/>
          <w:lang w:val="sl-SI"/>
        </w:rPr>
        <w:t>projektov, med razlogi</w:t>
      </w:r>
      <w:r>
        <w:rPr>
          <w:rFonts w:eastAsia="Cambria" w:cs="Arial"/>
          <w:szCs w:val="20"/>
          <w:lang w:val="sl-SI"/>
        </w:rPr>
        <w:t xml:space="preserve"> za projekt</w:t>
      </w:r>
      <w:r w:rsidRPr="005771BD">
        <w:rPr>
          <w:rFonts w:eastAsia="Cambria" w:cs="Arial"/>
          <w:szCs w:val="20"/>
          <w:lang w:val="sl-SI"/>
        </w:rPr>
        <w:t xml:space="preserve"> pa je </w:t>
      </w:r>
      <w:r>
        <w:rPr>
          <w:rFonts w:eastAsia="Cambria" w:cs="Arial"/>
          <w:szCs w:val="20"/>
          <w:lang w:val="sl-SI"/>
        </w:rPr>
        <w:t>poudarjeno</w:t>
      </w:r>
      <w:r w:rsidRPr="005771BD">
        <w:rPr>
          <w:rFonts w:eastAsia="Cambria" w:cs="Arial"/>
          <w:szCs w:val="20"/>
          <w:lang w:val="sl-SI"/>
        </w:rPr>
        <w:t xml:space="preserve">, da z dolgimi </w:t>
      </w:r>
      <w:r>
        <w:rPr>
          <w:rFonts w:eastAsia="Cambria" w:cs="Arial"/>
          <w:szCs w:val="20"/>
          <w:lang w:val="sl-SI"/>
        </w:rPr>
        <w:t>prevoznimi</w:t>
      </w:r>
      <w:r w:rsidRPr="005771BD">
        <w:rPr>
          <w:rFonts w:eastAsia="Cambria" w:cs="Arial"/>
          <w:szCs w:val="20"/>
          <w:lang w:val="sl-SI"/>
        </w:rPr>
        <w:t xml:space="preserve"> potmi tudi zelo onesnažujemo okolje.</w:t>
      </w:r>
    </w:p>
    <w:p w:rsidR="00DF4CD9" w:rsidRPr="005771BD" w:rsidRDefault="00DF4CD9" w:rsidP="00DF4CD9">
      <w:pPr>
        <w:numPr>
          <w:ilvl w:val="0"/>
          <w:numId w:val="16"/>
        </w:numPr>
        <w:spacing w:after="240" w:line="276" w:lineRule="auto"/>
        <w:ind w:left="284" w:hanging="284"/>
        <w:jc w:val="both"/>
        <w:rPr>
          <w:rFonts w:eastAsia="Cambria" w:cs="Arial"/>
          <w:szCs w:val="20"/>
          <w:lang w:val="sl-SI"/>
        </w:rPr>
      </w:pPr>
      <w:r w:rsidRPr="005771BD">
        <w:rPr>
          <w:rFonts w:eastAsia="Cambria" w:cs="Arial"/>
          <w:szCs w:val="20"/>
          <w:lang w:val="sl-SI"/>
        </w:rPr>
        <w:t xml:space="preserve">Vsakodnevne aktivnosti </w:t>
      </w:r>
      <w:r>
        <w:rPr>
          <w:rFonts w:eastAsia="Cambria" w:cs="Arial"/>
          <w:b/>
          <w:szCs w:val="20"/>
          <w:lang w:val="sl-SI"/>
        </w:rPr>
        <w:t>j</w:t>
      </w:r>
      <w:r w:rsidRPr="005771BD">
        <w:rPr>
          <w:rFonts w:eastAsia="Cambria" w:cs="Arial"/>
          <w:b/>
          <w:szCs w:val="20"/>
          <w:lang w:val="sl-SI"/>
        </w:rPr>
        <w:t xml:space="preserve">avne službe kmetijskega svetovanja (JSKS) </w:t>
      </w:r>
      <w:r w:rsidRPr="005771BD">
        <w:rPr>
          <w:rFonts w:eastAsia="Cambria" w:cs="Arial"/>
          <w:szCs w:val="20"/>
          <w:lang w:val="sl-SI"/>
        </w:rPr>
        <w:t>so ključne pri usmeritvah kmetijskih gospodarstev glede tehnologij pridelave in reje ter posledično pri zmanjševanju onesnaženosti tal in vsebnosti škodlj</w:t>
      </w:r>
      <w:r>
        <w:rPr>
          <w:rFonts w:eastAsia="Cambria" w:cs="Arial"/>
          <w:szCs w:val="20"/>
          <w:lang w:val="sl-SI"/>
        </w:rPr>
        <w:t>i</w:t>
      </w:r>
      <w:r w:rsidRPr="005771BD">
        <w:rPr>
          <w:rFonts w:eastAsia="Cambria" w:cs="Arial"/>
          <w:szCs w:val="20"/>
          <w:lang w:val="sl-SI"/>
        </w:rPr>
        <w:t xml:space="preserve">vih snovi v hrani.  Pri tem JSKS </w:t>
      </w:r>
      <w:r>
        <w:rPr>
          <w:rFonts w:eastAsia="Cambria" w:cs="Arial"/>
          <w:szCs w:val="20"/>
          <w:lang w:val="sl-SI"/>
        </w:rPr>
        <w:t>upošteva</w:t>
      </w:r>
      <w:r w:rsidRPr="005771BD">
        <w:rPr>
          <w:rFonts w:eastAsia="Cambria" w:cs="Arial"/>
          <w:szCs w:val="20"/>
          <w:lang w:val="sl-SI"/>
        </w:rPr>
        <w:t xml:space="preserve"> tudi okoljsk</w:t>
      </w:r>
      <w:r>
        <w:rPr>
          <w:rFonts w:eastAsia="Cambria" w:cs="Arial"/>
          <w:szCs w:val="20"/>
          <w:lang w:val="sl-SI"/>
        </w:rPr>
        <w:t>e</w:t>
      </w:r>
      <w:r w:rsidRPr="005771BD">
        <w:rPr>
          <w:rFonts w:eastAsia="Cambria" w:cs="Arial"/>
          <w:szCs w:val="20"/>
          <w:lang w:val="sl-SI"/>
        </w:rPr>
        <w:t xml:space="preserve"> in naravovarstven</w:t>
      </w:r>
      <w:r>
        <w:rPr>
          <w:rFonts w:eastAsia="Cambria" w:cs="Arial"/>
          <w:szCs w:val="20"/>
          <w:lang w:val="sl-SI"/>
        </w:rPr>
        <w:t>e</w:t>
      </w:r>
      <w:r w:rsidRPr="005771BD">
        <w:rPr>
          <w:rFonts w:eastAsia="Cambria" w:cs="Arial"/>
          <w:szCs w:val="20"/>
          <w:lang w:val="sl-SI"/>
        </w:rPr>
        <w:t xml:space="preserve"> cilje in usposablja kmete za izvajanje okoljsko</w:t>
      </w:r>
      <w:r>
        <w:rPr>
          <w:rFonts w:eastAsia="Cambria" w:cs="Arial"/>
          <w:szCs w:val="20"/>
          <w:lang w:val="sl-SI"/>
        </w:rPr>
        <w:t>-</w:t>
      </w:r>
      <w:r w:rsidRPr="005771BD">
        <w:rPr>
          <w:rFonts w:eastAsia="Cambria" w:cs="Arial"/>
          <w:szCs w:val="20"/>
          <w:lang w:val="sl-SI"/>
        </w:rPr>
        <w:t xml:space="preserve">podnebnih vsebin iz </w:t>
      </w:r>
      <w:r w:rsidRPr="005771BD">
        <w:rPr>
          <w:rFonts w:eastAsia="Cambria" w:cs="Arial"/>
          <w:b/>
          <w:szCs w:val="20"/>
          <w:lang w:val="sl-SI"/>
        </w:rPr>
        <w:t>Programa razvoja podeželja 2014</w:t>
      </w:r>
      <w:r>
        <w:rPr>
          <w:rFonts w:eastAsia="Cambria" w:cs="Arial"/>
          <w:b/>
          <w:szCs w:val="20"/>
          <w:lang w:val="sl-SI"/>
        </w:rPr>
        <w:t>–</w:t>
      </w:r>
      <w:r w:rsidRPr="005771BD">
        <w:rPr>
          <w:rFonts w:eastAsia="Cambria" w:cs="Arial"/>
          <w:b/>
          <w:szCs w:val="20"/>
          <w:lang w:val="sl-SI"/>
        </w:rPr>
        <w:t>2020</w:t>
      </w:r>
      <w:r w:rsidRPr="005771BD">
        <w:rPr>
          <w:rFonts w:eastAsia="Cambria" w:cs="Arial"/>
          <w:szCs w:val="20"/>
          <w:lang w:val="sl-SI"/>
        </w:rPr>
        <w:t>.</w:t>
      </w:r>
    </w:p>
    <w:p w:rsidR="00DF4CD9" w:rsidRPr="005771BD" w:rsidRDefault="00DF4CD9" w:rsidP="00DF4CD9">
      <w:pPr>
        <w:numPr>
          <w:ilvl w:val="0"/>
          <w:numId w:val="16"/>
        </w:numPr>
        <w:spacing w:after="240" w:line="276" w:lineRule="auto"/>
        <w:ind w:left="284" w:hanging="284"/>
        <w:contextualSpacing/>
        <w:jc w:val="both"/>
        <w:rPr>
          <w:rFonts w:eastAsia="Cambria" w:cs="Arial"/>
          <w:szCs w:val="20"/>
          <w:lang w:val="sl-SI"/>
        </w:rPr>
      </w:pPr>
      <w:r w:rsidRPr="005771BD">
        <w:rPr>
          <w:rFonts w:eastAsia="Cambria" w:cs="Arial"/>
          <w:szCs w:val="20"/>
          <w:lang w:val="sl-SI"/>
        </w:rPr>
        <w:t xml:space="preserve">V okviru izobraževalne in komunikacijske </w:t>
      </w:r>
      <w:r>
        <w:rPr>
          <w:rFonts w:eastAsia="Cambria" w:cs="Arial"/>
          <w:szCs w:val="20"/>
          <w:lang w:val="sl-SI"/>
        </w:rPr>
        <w:t>dejavnosti iz</w:t>
      </w:r>
      <w:r w:rsidRPr="005771BD">
        <w:rPr>
          <w:rFonts w:eastAsia="Cambria" w:cs="Arial"/>
          <w:szCs w:val="20"/>
          <w:lang w:val="sl-SI"/>
        </w:rPr>
        <w:t xml:space="preserve"> </w:t>
      </w:r>
      <w:r>
        <w:rPr>
          <w:rFonts w:eastAsia="Cambria" w:cs="Arial"/>
          <w:szCs w:val="20"/>
          <w:lang w:val="sl-SI"/>
        </w:rPr>
        <w:t>o</w:t>
      </w:r>
      <w:r w:rsidRPr="005771BD">
        <w:rPr>
          <w:rFonts w:eastAsia="Cambria" w:cs="Arial"/>
          <w:szCs w:val="20"/>
          <w:lang w:val="sl-SI"/>
        </w:rPr>
        <w:t>perativnega programa razvoja okolj</w:t>
      </w:r>
      <w:r>
        <w:rPr>
          <w:rFonts w:eastAsia="Cambria" w:cs="Arial"/>
          <w:szCs w:val="20"/>
          <w:lang w:val="sl-SI"/>
        </w:rPr>
        <w:t>a</w:t>
      </w:r>
      <w:r w:rsidRPr="005771BD">
        <w:rPr>
          <w:rFonts w:eastAsia="Cambria" w:cs="Arial"/>
          <w:szCs w:val="20"/>
          <w:lang w:val="sl-SI"/>
        </w:rPr>
        <w:t xml:space="preserve"> in prometne infrastrukture so bile na področju </w:t>
      </w:r>
      <w:r>
        <w:rPr>
          <w:rFonts w:eastAsia="Cambria" w:cs="Arial"/>
          <w:b/>
          <w:szCs w:val="20"/>
          <w:lang w:val="sl-SI"/>
        </w:rPr>
        <w:t>e</w:t>
      </w:r>
      <w:r w:rsidRPr="005771BD">
        <w:rPr>
          <w:rFonts w:eastAsia="Cambria" w:cs="Arial"/>
          <w:b/>
          <w:szCs w:val="20"/>
          <w:lang w:val="sl-SI"/>
        </w:rPr>
        <w:t>nergetske sanacije stavb javnih zavodov</w:t>
      </w:r>
      <w:r w:rsidRPr="005771BD">
        <w:rPr>
          <w:rFonts w:eastAsia="Cambria" w:cs="Arial"/>
          <w:szCs w:val="20"/>
          <w:lang w:val="sl-SI"/>
        </w:rPr>
        <w:t xml:space="preserve"> izvedene aktivnosti za uvajanje energetskega upravljanja</w:t>
      </w:r>
      <w:r>
        <w:rPr>
          <w:rFonts w:eastAsia="Cambria" w:cs="Arial"/>
          <w:szCs w:val="20"/>
          <w:lang w:val="sl-SI"/>
        </w:rPr>
        <w:t>,</w:t>
      </w:r>
      <w:r w:rsidRPr="005771BD">
        <w:rPr>
          <w:rFonts w:eastAsia="Cambria" w:cs="Arial"/>
          <w:szCs w:val="20"/>
          <w:lang w:val="sl-SI"/>
        </w:rPr>
        <w:t xml:space="preserve"> vključno z e-informacijskimi točkami in energetskim knjigovodstvom (v sodelovanju med MzI in MIZŠ).</w:t>
      </w:r>
    </w:p>
    <w:p w:rsidR="00DF4CD9" w:rsidRPr="005771BD" w:rsidRDefault="00DF4CD9" w:rsidP="00DF4CD9">
      <w:pPr>
        <w:spacing w:after="200" w:line="276" w:lineRule="auto"/>
        <w:contextualSpacing/>
        <w:jc w:val="both"/>
        <w:rPr>
          <w:rFonts w:eastAsia="Cambria" w:cs="Arial"/>
          <w:szCs w:val="20"/>
          <w:lang w:val="sl-SI"/>
        </w:rPr>
      </w:pPr>
    </w:p>
    <w:p w:rsidR="00DF4CD9" w:rsidRPr="005771BD" w:rsidRDefault="00DF4CD9" w:rsidP="00DF4CD9">
      <w:pPr>
        <w:numPr>
          <w:ilvl w:val="0"/>
          <w:numId w:val="16"/>
        </w:numPr>
        <w:spacing w:after="200" w:line="276" w:lineRule="auto"/>
        <w:ind w:left="284" w:hanging="284"/>
        <w:contextualSpacing/>
        <w:jc w:val="both"/>
        <w:rPr>
          <w:rFonts w:eastAsia="Cambria" w:cs="Arial"/>
          <w:szCs w:val="20"/>
          <w:lang w:val="sl-SI"/>
        </w:rPr>
      </w:pPr>
      <w:r w:rsidRPr="005771BD">
        <w:rPr>
          <w:rFonts w:eastAsia="Cambria" w:cs="Arial"/>
          <w:szCs w:val="20"/>
          <w:lang w:val="sl-SI"/>
        </w:rPr>
        <w:t xml:space="preserve">V okviru programa usposabljanja za brezposelne osebe sta bila s sredstvi tedanje </w:t>
      </w:r>
      <w:r>
        <w:rPr>
          <w:rFonts w:eastAsia="Cambria" w:cs="Arial"/>
          <w:szCs w:val="20"/>
          <w:lang w:val="sl-SI"/>
        </w:rPr>
        <w:t>s</w:t>
      </w:r>
      <w:r w:rsidRPr="005771BD">
        <w:rPr>
          <w:rFonts w:eastAsia="Cambria" w:cs="Arial"/>
          <w:szCs w:val="20"/>
          <w:lang w:val="sl-SI"/>
        </w:rPr>
        <w:t xml:space="preserve">lužbe vlade za podnebne spremembe izvedena dva pilotna programa, ki sta lahko </w:t>
      </w:r>
      <w:r>
        <w:rPr>
          <w:rFonts w:eastAsia="Cambria" w:cs="Arial"/>
          <w:szCs w:val="20"/>
          <w:lang w:val="sl-SI"/>
        </w:rPr>
        <w:t>vzorčni primer</w:t>
      </w:r>
      <w:r w:rsidRPr="005771BD">
        <w:rPr>
          <w:rFonts w:eastAsia="Cambria" w:cs="Arial"/>
          <w:szCs w:val="20"/>
          <w:lang w:val="sl-SI"/>
        </w:rPr>
        <w:t xml:space="preserve"> za širše uvajanje »podnebnih« in »nizkoogljičnih« programov za iskalce zaposlitve in zelena delovna mesta:  </w:t>
      </w:r>
    </w:p>
    <w:p w:rsidR="00DF4CD9" w:rsidRPr="005771BD" w:rsidRDefault="00DF4CD9" w:rsidP="00DF4CD9">
      <w:pPr>
        <w:numPr>
          <w:ilvl w:val="0"/>
          <w:numId w:val="83"/>
        </w:numPr>
        <w:spacing w:before="120" w:after="200" w:line="276" w:lineRule="auto"/>
        <w:ind w:left="714" w:hanging="357"/>
        <w:contextualSpacing/>
        <w:jc w:val="both"/>
        <w:rPr>
          <w:rFonts w:eastAsia="Cambria" w:cs="Arial"/>
          <w:szCs w:val="20"/>
          <w:lang w:val="sl-SI"/>
        </w:rPr>
      </w:pPr>
      <w:r w:rsidRPr="005771BD">
        <w:rPr>
          <w:rFonts w:eastAsia="Cambria" w:cs="Arial"/>
          <w:szCs w:val="20"/>
          <w:lang w:val="sl-SI"/>
        </w:rPr>
        <w:t>usposabljanje za brezposeln</w:t>
      </w:r>
      <w:r>
        <w:rPr>
          <w:rFonts w:eastAsia="Cambria" w:cs="Arial"/>
          <w:szCs w:val="20"/>
          <w:lang w:val="sl-SI"/>
        </w:rPr>
        <w:t>e</w:t>
      </w:r>
      <w:r w:rsidRPr="005771BD">
        <w:rPr>
          <w:rFonts w:eastAsia="Cambria" w:cs="Arial"/>
          <w:szCs w:val="20"/>
          <w:lang w:val="sl-SI"/>
        </w:rPr>
        <w:t xml:space="preserve"> na področju učinkovite rabe energije in obnovljivih virov energije v izvedbi Slovenskega E-foruma; </w:t>
      </w:r>
    </w:p>
    <w:p w:rsidR="00DF4CD9" w:rsidRPr="005771BD" w:rsidRDefault="00DF4CD9" w:rsidP="00DF4CD9">
      <w:pPr>
        <w:numPr>
          <w:ilvl w:val="0"/>
          <w:numId w:val="83"/>
        </w:numPr>
        <w:spacing w:before="120" w:after="200" w:line="276" w:lineRule="auto"/>
        <w:ind w:left="714" w:hanging="357"/>
        <w:jc w:val="both"/>
        <w:rPr>
          <w:rFonts w:eastAsia="Cambria" w:cs="Arial"/>
          <w:szCs w:val="20"/>
          <w:lang w:val="sl-SI"/>
        </w:rPr>
      </w:pPr>
      <w:r w:rsidRPr="005771BD">
        <w:rPr>
          <w:rFonts w:eastAsia="Cambria" w:cs="Arial"/>
          <w:szCs w:val="20"/>
          <w:lang w:val="sl-SI"/>
        </w:rPr>
        <w:t xml:space="preserve">informiranje in izobraževanje na temo ekološkega kmetijstva za brezposelne v Pomurju v </w:t>
      </w:r>
      <w:r>
        <w:rPr>
          <w:rFonts w:eastAsia="Cambria" w:cs="Arial"/>
          <w:szCs w:val="20"/>
          <w:lang w:val="sl-SI"/>
        </w:rPr>
        <w:t>iz</w:t>
      </w:r>
      <w:r w:rsidRPr="005771BD">
        <w:rPr>
          <w:rFonts w:eastAsia="Cambria" w:cs="Arial"/>
          <w:szCs w:val="20"/>
          <w:lang w:val="sl-SI"/>
        </w:rPr>
        <w:t>vedbi Fakultete za kmetijstvo in biosistemske vede Univerz</w:t>
      </w:r>
      <w:r>
        <w:rPr>
          <w:rFonts w:eastAsia="Cambria" w:cs="Arial"/>
          <w:szCs w:val="20"/>
          <w:lang w:val="sl-SI"/>
        </w:rPr>
        <w:t>e</w:t>
      </w:r>
      <w:r w:rsidRPr="005771BD">
        <w:rPr>
          <w:rFonts w:eastAsia="Cambria" w:cs="Arial"/>
          <w:szCs w:val="20"/>
          <w:lang w:val="sl-SI"/>
        </w:rPr>
        <w:t xml:space="preserve"> v Mariboru. </w:t>
      </w:r>
    </w:p>
    <w:p w:rsidR="00DF4CD9" w:rsidRPr="005771BD" w:rsidRDefault="00DF4CD9" w:rsidP="00DF4CD9">
      <w:pPr>
        <w:numPr>
          <w:ilvl w:val="0"/>
          <w:numId w:val="16"/>
        </w:numPr>
        <w:autoSpaceDE w:val="0"/>
        <w:autoSpaceDN w:val="0"/>
        <w:adjustRightInd w:val="0"/>
        <w:spacing w:after="200" w:line="276" w:lineRule="auto"/>
        <w:ind w:left="284" w:hanging="284"/>
        <w:contextualSpacing/>
        <w:jc w:val="both"/>
        <w:rPr>
          <w:rFonts w:eastAsia="Cambria" w:cs="Arial"/>
          <w:szCs w:val="20"/>
          <w:lang w:val="sl-SI"/>
        </w:rPr>
      </w:pPr>
      <w:r w:rsidRPr="005771BD">
        <w:rPr>
          <w:rFonts w:eastAsia="Cambria" w:cs="Arial"/>
          <w:b/>
          <w:szCs w:val="20"/>
          <w:lang w:val="sl-SI"/>
        </w:rPr>
        <w:t>Evropski teden mobilnosti</w:t>
      </w:r>
      <w:r w:rsidRPr="005771BD">
        <w:rPr>
          <w:rFonts w:eastAsia="Cambria" w:cs="Arial"/>
          <w:szCs w:val="20"/>
          <w:lang w:val="sl-SI"/>
        </w:rPr>
        <w:t xml:space="preserve"> z </w:t>
      </w:r>
      <w:r>
        <w:rPr>
          <w:rFonts w:eastAsia="Cambria" w:cs="Arial"/>
          <w:b/>
          <w:szCs w:val="20"/>
          <w:lang w:val="sl-SI"/>
        </w:rPr>
        <w:t>e</w:t>
      </w:r>
      <w:r w:rsidRPr="005771BD">
        <w:rPr>
          <w:rFonts w:eastAsia="Cambria" w:cs="Arial"/>
          <w:b/>
          <w:szCs w:val="20"/>
          <w:lang w:val="sl-SI"/>
        </w:rPr>
        <w:t xml:space="preserve">vropskim dnevom brez avtomobila </w:t>
      </w:r>
      <w:r w:rsidRPr="005771BD">
        <w:rPr>
          <w:rFonts w:eastAsia="Cambria" w:cs="Arial"/>
          <w:szCs w:val="20"/>
          <w:lang w:val="sl-SI"/>
        </w:rPr>
        <w:t>je odmevna vsakoletna kampanja za trajnostno mobilnost, katere nosilec je Ministrstvo za infrastrukturo. Cilj kampanje je ozavestiti prebivalce o posledicah pretirane uporabe avtomobila in cestnega prometa nasploh ter vplivati na spremembo mobilnih navad. Kampanja opozarja na podnebne spremembe in na vse, kar ustvarja »</w:t>
      </w:r>
      <w:r>
        <w:rPr>
          <w:rFonts w:eastAsia="Cambria" w:cs="Arial"/>
          <w:szCs w:val="20"/>
          <w:lang w:val="sl-SI"/>
        </w:rPr>
        <w:t>ozračje</w:t>
      </w:r>
      <w:r w:rsidRPr="005771BD">
        <w:rPr>
          <w:rFonts w:eastAsia="Cambria" w:cs="Arial"/>
          <w:szCs w:val="20"/>
          <w:lang w:val="sl-SI"/>
        </w:rPr>
        <w:t>« mest: kakovost življenja, kakovost zraka, hrup, prometna varnost, kakovost javnih površin, socialna povezanost prebivalcev in na splošno vzdušje v mestih. V kampanji so najpomembnejši akter občine, saj najbolj poznajo prometno problematiko v posameznih</w:t>
      </w:r>
      <w:r>
        <w:rPr>
          <w:rFonts w:eastAsia="Cambria" w:cs="Arial"/>
          <w:szCs w:val="20"/>
          <w:lang w:val="sl-SI"/>
        </w:rPr>
        <w:t xml:space="preserve"> predelih</w:t>
      </w:r>
      <w:r w:rsidRPr="005771BD">
        <w:rPr>
          <w:rFonts w:eastAsia="Cambria" w:cs="Arial"/>
          <w:szCs w:val="20"/>
          <w:lang w:val="sl-SI"/>
        </w:rPr>
        <w:t xml:space="preserve"> in lahko najhitreje določijo prometne režime v mestih ter pripomorejo k trajnostni mobilnosti. </w:t>
      </w:r>
    </w:p>
    <w:p w:rsidR="00DF4CD9" w:rsidRPr="005771BD" w:rsidRDefault="00DF4CD9" w:rsidP="00DF4CD9">
      <w:pPr>
        <w:autoSpaceDE w:val="0"/>
        <w:autoSpaceDN w:val="0"/>
        <w:adjustRightInd w:val="0"/>
        <w:spacing w:after="200" w:line="276" w:lineRule="auto"/>
        <w:ind w:left="284"/>
        <w:jc w:val="both"/>
        <w:rPr>
          <w:rFonts w:eastAsia="Cambria" w:cs="Arial"/>
          <w:szCs w:val="20"/>
          <w:lang w:val="sl-SI"/>
        </w:rPr>
      </w:pPr>
      <w:r w:rsidRPr="005771BD">
        <w:rPr>
          <w:rFonts w:eastAsia="Cambria" w:cs="Arial"/>
          <w:szCs w:val="20"/>
          <w:lang w:val="sl-SI"/>
        </w:rPr>
        <w:t xml:space="preserve">Od začetka te akcije leta 2002, ko je v prvih letih sodelovalo </w:t>
      </w:r>
      <w:r>
        <w:rPr>
          <w:rFonts w:eastAsia="Cambria" w:cs="Arial"/>
          <w:szCs w:val="20"/>
          <w:lang w:val="sl-SI"/>
        </w:rPr>
        <w:t xml:space="preserve">od </w:t>
      </w:r>
      <w:r w:rsidRPr="005771BD">
        <w:rPr>
          <w:rFonts w:eastAsia="Cambria" w:cs="Arial"/>
          <w:szCs w:val="20"/>
          <w:lang w:val="sl-SI"/>
        </w:rPr>
        <w:t>20 do 26 občin, je leta 2011 že 30 občin sodelovalo  v pobudi »</w:t>
      </w:r>
      <w:r>
        <w:rPr>
          <w:rFonts w:eastAsia="Cambria" w:cs="Arial"/>
          <w:szCs w:val="20"/>
          <w:lang w:val="sl-SI"/>
        </w:rPr>
        <w:t>p</w:t>
      </w:r>
      <w:r w:rsidRPr="005771BD">
        <w:rPr>
          <w:rFonts w:eastAsia="Cambria" w:cs="Arial"/>
          <w:szCs w:val="20"/>
          <w:lang w:val="sl-SI"/>
        </w:rPr>
        <w:t xml:space="preserve">otujmo drugače« z organizacijo </w:t>
      </w:r>
      <w:r>
        <w:rPr>
          <w:rFonts w:eastAsia="Cambria" w:cs="Arial"/>
          <w:szCs w:val="20"/>
          <w:lang w:val="sl-SI"/>
        </w:rPr>
        <w:t>več kakor</w:t>
      </w:r>
      <w:r w:rsidRPr="005771BD">
        <w:rPr>
          <w:rFonts w:eastAsia="Cambria" w:cs="Arial"/>
          <w:szCs w:val="20"/>
          <w:lang w:val="sl-SI"/>
        </w:rPr>
        <w:t xml:space="preserve"> 200 dogodkov in aktivnosti</w:t>
      </w:r>
      <w:r>
        <w:rPr>
          <w:rFonts w:eastAsia="Cambria" w:cs="Arial"/>
          <w:szCs w:val="20"/>
          <w:lang w:val="sl-SI"/>
        </w:rPr>
        <w:t>,</w:t>
      </w:r>
      <w:r w:rsidRPr="005771BD">
        <w:rPr>
          <w:rFonts w:eastAsia="Cambria" w:cs="Arial"/>
          <w:szCs w:val="20"/>
          <w:lang w:val="sl-SI"/>
        </w:rPr>
        <w:t xml:space="preserve"> od brezplačnega servisa koles do javnega prevoza ter različnih dogodkov za otroke in strokovno javnost. Namen je bil izboljšati  kakovost mestnega življenja s spodbujanjem meščanov, da preizkusijo alternative osebnim avtomobilom, vključno z javnim prevozom, kolesarjenjem in hojo. </w:t>
      </w:r>
    </w:p>
    <w:p w:rsidR="00DF4CD9" w:rsidRPr="005771BD" w:rsidRDefault="00DF4CD9" w:rsidP="00DF4CD9">
      <w:pPr>
        <w:spacing w:after="200" w:line="276" w:lineRule="auto"/>
        <w:ind w:left="284"/>
        <w:jc w:val="both"/>
        <w:rPr>
          <w:rFonts w:eastAsia="Cambria" w:cs="Arial"/>
          <w:szCs w:val="20"/>
          <w:lang w:val="sl-SI"/>
        </w:rPr>
      </w:pPr>
      <w:r w:rsidRPr="005771BD">
        <w:rPr>
          <w:rFonts w:eastAsia="Cambria" w:cs="Arial"/>
          <w:bCs/>
          <w:szCs w:val="20"/>
          <w:lang w:val="sl-SI"/>
        </w:rPr>
        <w:t xml:space="preserve">Leta 2013 se je </w:t>
      </w:r>
      <w:r>
        <w:rPr>
          <w:rFonts w:eastAsia="Cambria" w:cs="Arial"/>
          <w:bCs/>
          <w:szCs w:val="20"/>
          <w:lang w:val="sl-SI"/>
        </w:rPr>
        <w:t>e</w:t>
      </w:r>
      <w:r w:rsidRPr="005771BD">
        <w:rPr>
          <w:rFonts w:eastAsia="Cambria" w:cs="Arial"/>
          <w:bCs/>
          <w:szCs w:val="20"/>
          <w:lang w:val="sl-SI"/>
        </w:rPr>
        <w:t xml:space="preserve">vropski teden mobilnosti izvajal </w:t>
      </w:r>
      <w:r>
        <w:rPr>
          <w:rFonts w:eastAsia="Cambria" w:cs="Arial"/>
          <w:bCs/>
          <w:szCs w:val="20"/>
          <w:lang w:val="sl-SI"/>
        </w:rPr>
        <w:t>z</w:t>
      </w:r>
      <w:r w:rsidRPr="005771BD">
        <w:rPr>
          <w:rFonts w:eastAsia="Cambria" w:cs="Arial"/>
          <w:bCs/>
          <w:szCs w:val="20"/>
          <w:lang w:val="sl-SI"/>
        </w:rPr>
        <w:t xml:space="preserve"> geslom</w:t>
      </w:r>
      <w:r w:rsidRPr="005771BD">
        <w:rPr>
          <w:rFonts w:eastAsia="Cambria" w:cs="Arial"/>
          <w:b/>
          <w:bCs/>
          <w:szCs w:val="20"/>
          <w:lang w:val="sl-SI"/>
        </w:rPr>
        <w:t xml:space="preserve"> »</w:t>
      </w:r>
      <w:r>
        <w:rPr>
          <w:rFonts w:eastAsia="Cambria" w:cs="Arial"/>
          <w:b/>
          <w:bCs/>
          <w:szCs w:val="20"/>
          <w:lang w:val="sl-SI"/>
        </w:rPr>
        <w:t>v</w:t>
      </w:r>
      <w:r w:rsidRPr="005771BD">
        <w:rPr>
          <w:rFonts w:eastAsia="Cambria" w:cs="Arial"/>
          <w:b/>
          <w:bCs/>
          <w:szCs w:val="20"/>
          <w:lang w:val="sl-SI"/>
        </w:rPr>
        <w:t xml:space="preserve">aš korak za čistejši zrak«, </w:t>
      </w:r>
      <w:r w:rsidRPr="005771BD">
        <w:rPr>
          <w:rFonts w:eastAsia="Cambria" w:cs="Arial"/>
          <w:bCs/>
          <w:szCs w:val="20"/>
          <w:lang w:val="sl-SI"/>
        </w:rPr>
        <w:t>v letu 2016 pa</w:t>
      </w:r>
      <w:r w:rsidRPr="005771BD">
        <w:rPr>
          <w:rFonts w:eastAsia="Cambria" w:cs="Arial"/>
          <w:b/>
          <w:bCs/>
          <w:szCs w:val="20"/>
          <w:lang w:val="sl-SI"/>
        </w:rPr>
        <w:t xml:space="preserve"> </w:t>
      </w:r>
      <w:r>
        <w:rPr>
          <w:rFonts w:eastAsia="Cambria" w:cs="Arial"/>
          <w:szCs w:val="20"/>
          <w:lang w:val="sl-SI"/>
        </w:rPr>
        <w:t>s</w:t>
      </w:r>
      <w:r w:rsidRPr="005771BD">
        <w:rPr>
          <w:rFonts w:eastAsia="Cambria" w:cs="Arial"/>
          <w:szCs w:val="20"/>
          <w:lang w:val="sl-SI"/>
        </w:rPr>
        <w:t xml:space="preserve"> sloganom »</w:t>
      </w:r>
      <w:r>
        <w:rPr>
          <w:rFonts w:eastAsia="Cambria" w:cs="Arial"/>
          <w:b/>
          <w:szCs w:val="20"/>
          <w:lang w:val="sl-SI"/>
        </w:rPr>
        <w:t>p</w:t>
      </w:r>
      <w:r w:rsidRPr="005771BD">
        <w:rPr>
          <w:rFonts w:eastAsia="Cambria" w:cs="Arial"/>
          <w:b/>
          <w:szCs w:val="20"/>
          <w:lang w:val="sl-SI"/>
        </w:rPr>
        <w:t>ametna mobilnost za gospodarsko uspešnost</w:t>
      </w:r>
      <w:r w:rsidRPr="005771BD">
        <w:rPr>
          <w:rFonts w:eastAsia="Cambria" w:cs="Arial"/>
          <w:szCs w:val="20"/>
          <w:lang w:val="sl-SI"/>
        </w:rPr>
        <w:t xml:space="preserve">«, saj raziskave jasno kažejo, da imajo mesta, ki se zavzemajo za trajnostno mobilnost, opazno ekonomsko prednost. </w:t>
      </w:r>
    </w:p>
    <w:p w:rsidR="00DF4CD9" w:rsidRPr="005771BD" w:rsidRDefault="00DF4CD9" w:rsidP="00DF4CD9">
      <w:pPr>
        <w:numPr>
          <w:ilvl w:val="0"/>
          <w:numId w:val="16"/>
        </w:numPr>
        <w:spacing w:line="276" w:lineRule="auto"/>
        <w:ind w:left="284" w:hanging="284"/>
        <w:jc w:val="both"/>
        <w:rPr>
          <w:rFonts w:eastAsia="Cambria" w:cs="Arial"/>
          <w:bCs/>
          <w:strike/>
          <w:szCs w:val="20"/>
          <w:lang w:val="sl-SI"/>
        </w:rPr>
      </w:pPr>
      <w:r w:rsidRPr="005771BD">
        <w:rPr>
          <w:rFonts w:eastAsia="Cambria" w:cs="Arial"/>
          <w:bCs/>
          <w:szCs w:val="20"/>
          <w:lang w:val="sl-SI"/>
        </w:rPr>
        <w:t xml:space="preserve">V okviru projektov </w:t>
      </w:r>
      <w:r w:rsidRPr="005771BD">
        <w:rPr>
          <w:rFonts w:eastAsia="Cambria" w:cs="Arial"/>
          <w:b/>
          <w:bCs/>
          <w:szCs w:val="20"/>
          <w:lang w:val="sl-SI"/>
        </w:rPr>
        <w:t xml:space="preserve">LIFE+ Informacije in obveščanje </w:t>
      </w:r>
      <w:r w:rsidRPr="005771BD">
        <w:rPr>
          <w:rFonts w:eastAsia="Cambria" w:cs="Arial"/>
          <w:bCs/>
          <w:szCs w:val="20"/>
          <w:lang w:val="sl-SI"/>
        </w:rPr>
        <w:t>so bili izvedeni</w:t>
      </w:r>
      <w:r w:rsidRPr="005771BD">
        <w:rPr>
          <w:rFonts w:eastAsia="Cambria" w:cs="Arial"/>
          <w:b/>
          <w:bCs/>
          <w:szCs w:val="20"/>
          <w:lang w:val="sl-SI"/>
        </w:rPr>
        <w:t xml:space="preserve"> </w:t>
      </w:r>
      <w:r w:rsidRPr="005771BD">
        <w:rPr>
          <w:rFonts w:eastAsia="Cambria" w:cs="Arial"/>
          <w:bCs/>
          <w:szCs w:val="20"/>
          <w:lang w:val="sl-SI"/>
        </w:rPr>
        <w:t xml:space="preserve">trije odmevni projekti s področja ravnanja z odpadki: </w:t>
      </w:r>
    </w:p>
    <w:p w:rsidR="00DF4CD9" w:rsidRPr="007B7F58" w:rsidRDefault="00DF4CD9" w:rsidP="00DF4CD9">
      <w:pPr>
        <w:numPr>
          <w:ilvl w:val="0"/>
          <w:numId w:val="17"/>
        </w:numPr>
        <w:spacing w:before="120" w:line="276" w:lineRule="auto"/>
        <w:ind w:left="568" w:hanging="284"/>
        <w:jc w:val="both"/>
        <w:rPr>
          <w:rFonts w:eastAsia="Cambria" w:cs="Arial"/>
          <w:strike/>
          <w:szCs w:val="20"/>
          <w:lang w:val="sl-SI"/>
        </w:rPr>
      </w:pPr>
      <w:r w:rsidRPr="001527B2">
        <w:rPr>
          <w:rFonts w:eastAsia="Cambria" w:cs="Arial"/>
          <w:szCs w:val="20"/>
          <w:lang w:val="sl-SI"/>
        </w:rPr>
        <w:t>LOČUJMO ODPADKE</w:t>
      </w:r>
      <w:r w:rsidRPr="005771BD">
        <w:rPr>
          <w:rFonts w:eastAsia="Cambria" w:cs="Arial"/>
          <w:szCs w:val="20"/>
          <w:lang w:val="sl-SI"/>
        </w:rPr>
        <w:t xml:space="preserve"> </w:t>
      </w:r>
      <w:r>
        <w:rPr>
          <w:rFonts w:eastAsia="Cambria" w:cs="Arial"/>
          <w:szCs w:val="20"/>
          <w:lang w:val="sl-SI"/>
        </w:rPr>
        <w:t>/</w:t>
      </w:r>
      <w:r w:rsidRPr="007B7F58">
        <w:rPr>
          <w:rFonts w:eastAsia="Cambria" w:cs="Arial"/>
          <w:szCs w:val="20"/>
          <w:lang w:val="sl-SI"/>
        </w:rPr>
        <w:t xml:space="preserve">SEPARATE COLLECTION, v katerem so bile izvedene komunikacijske kampanje, predstavitvene dejavnosti, natečaji in razprave o koristnosti ločenega zbiranja odpadkov, </w:t>
      </w:r>
    </w:p>
    <w:p w:rsidR="00DF4CD9" w:rsidRPr="007B7F58" w:rsidRDefault="00DF4CD9" w:rsidP="00DF4CD9">
      <w:pPr>
        <w:numPr>
          <w:ilvl w:val="0"/>
          <w:numId w:val="17"/>
        </w:numPr>
        <w:spacing w:before="120" w:line="276" w:lineRule="auto"/>
        <w:ind w:left="568" w:hanging="284"/>
        <w:jc w:val="both"/>
        <w:rPr>
          <w:rFonts w:eastAsia="Cambria" w:cs="Arial"/>
          <w:strike/>
          <w:szCs w:val="20"/>
          <w:lang w:val="sl-SI"/>
        </w:rPr>
      </w:pPr>
      <w:r>
        <w:rPr>
          <w:rFonts w:eastAsia="Cambria" w:cs="Arial"/>
          <w:szCs w:val="20"/>
          <w:lang w:val="sl-SI"/>
        </w:rPr>
        <w:t>spodbujanje</w:t>
      </w:r>
      <w:r w:rsidRPr="005771BD">
        <w:rPr>
          <w:rFonts w:eastAsia="Cambria" w:cs="Arial"/>
          <w:szCs w:val="20"/>
          <w:lang w:val="sl-SI"/>
        </w:rPr>
        <w:t xml:space="preserve"> recikliranja industrijskih in gradbenih odpadkov v gradbeni industriji </w:t>
      </w:r>
      <w:r>
        <w:rPr>
          <w:rFonts w:eastAsia="Cambria" w:cs="Arial"/>
          <w:szCs w:val="20"/>
          <w:lang w:val="sl-SI"/>
        </w:rPr>
        <w:t>/</w:t>
      </w:r>
      <w:r w:rsidRPr="005771BD">
        <w:rPr>
          <w:rFonts w:eastAsia="Cambria" w:cs="Arial"/>
          <w:szCs w:val="20"/>
          <w:lang w:val="sl-SI"/>
        </w:rPr>
        <w:t>REBIRTH , ki je prispeval k višji stopnji recikliranja gradbenih in industrijskih odpadkov ter njihovi povečani uporabi v gradbeništvu,</w:t>
      </w:r>
    </w:p>
    <w:p w:rsidR="00DF4CD9" w:rsidRPr="007B7F58" w:rsidRDefault="00DF4CD9" w:rsidP="00DF4CD9">
      <w:pPr>
        <w:numPr>
          <w:ilvl w:val="0"/>
          <w:numId w:val="17"/>
        </w:numPr>
        <w:spacing w:before="120" w:after="200" w:line="276" w:lineRule="auto"/>
        <w:ind w:left="568" w:hanging="284"/>
        <w:jc w:val="both"/>
        <w:rPr>
          <w:rFonts w:eastAsia="Cambria" w:cs="Arial"/>
          <w:strike/>
          <w:szCs w:val="20"/>
          <w:lang w:val="sl-SI"/>
        </w:rPr>
      </w:pPr>
      <w:r w:rsidRPr="005771BD">
        <w:rPr>
          <w:rFonts w:eastAsia="Cambria" w:cs="Arial"/>
          <w:szCs w:val="20"/>
          <w:lang w:val="sl-SI"/>
        </w:rPr>
        <w:t xml:space="preserve">Slovenia WEEE, ki je namenjen </w:t>
      </w:r>
      <w:r>
        <w:rPr>
          <w:rFonts w:eastAsia="Cambria" w:cs="Arial"/>
          <w:szCs w:val="20"/>
          <w:lang w:val="sl-SI"/>
        </w:rPr>
        <w:t>povečevanju</w:t>
      </w:r>
      <w:r w:rsidRPr="005771BD">
        <w:rPr>
          <w:rFonts w:eastAsia="Cambria" w:cs="Arial"/>
          <w:szCs w:val="20"/>
          <w:lang w:val="sl-SI"/>
        </w:rPr>
        <w:t xml:space="preserve"> ozaveščenosti o proizvodnji in uporabi odpadne elektronske in električne opreme (OEEO) ter njeni obdelavi in predelavi s posebnim poudarkom na gospodinjstvih in šolskih otrocih v Sloveniji.</w:t>
      </w:r>
    </w:p>
    <w:p w:rsidR="00DF4CD9" w:rsidRPr="005771BD" w:rsidRDefault="00DF4CD9" w:rsidP="00DF4CD9">
      <w:pPr>
        <w:numPr>
          <w:ilvl w:val="0"/>
          <w:numId w:val="16"/>
        </w:numPr>
        <w:spacing w:after="200" w:line="276" w:lineRule="auto"/>
        <w:ind w:left="284" w:hanging="284"/>
        <w:jc w:val="both"/>
        <w:rPr>
          <w:rFonts w:eastAsia="Cambria" w:cs="Arial"/>
          <w:szCs w:val="20"/>
          <w:lang w:val="sl-SI"/>
        </w:rPr>
      </w:pPr>
      <w:r>
        <w:rPr>
          <w:rFonts w:eastAsia="Cambria" w:cs="Arial"/>
          <w:szCs w:val="20"/>
          <w:lang w:val="sl-SI"/>
        </w:rPr>
        <w:t>O</w:t>
      </w:r>
      <w:r w:rsidRPr="005771BD">
        <w:rPr>
          <w:rFonts w:eastAsia="Cambria" w:cs="Arial"/>
          <w:szCs w:val="20"/>
          <w:lang w:val="sl-SI"/>
        </w:rPr>
        <w:t>zaveščevalne akcije ARSO, namenjene posamezni okoljski vsebini, ki so običajno tudi nagovarjale določeno skupino</w:t>
      </w:r>
      <w:r>
        <w:rPr>
          <w:rFonts w:eastAsia="Cambria" w:cs="Arial"/>
          <w:szCs w:val="20"/>
          <w:lang w:val="sl-SI"/>
        </w:rPr>
        <w:t>,</w:t>
      </w:r>
      <w:r w:rsidRPr="005771BD">
        <w:rPr>
          <w:rFonts w:eastAsia="Cambria" w:cs="Arial"/>
          <w:szCs w:val="20"/>
          <w:lang w:val="sl-SI"/>
        </w:rPr>
        <w:t xml:space="preserve"> na primer šolarj</w:t>
      </w:r>
      <w:r>
        <w:rPr>
          <w:rFonts w:eastAsia="Cambria" w:cs="Arial"/>
          <w:szCs w:val="20"/>
          <w:lang w:val="sl-SI"/>
        </w:rPr>
        <w:t>e</w:t>
      </w:r>
      <w:r w:rsidRPr="005771BD">
        <w:rPr>
          <w:rFonts w:eastAsia="Cambria" w:cs="Arial"/>
          <w:szCs w:val="20"/>
          <w:lang w:val="sl-SI"/>
        </w:rPr>
        <w:t>, lokalne skupnosti</w:t>
      </w:r>
      <w:r>
        <w:rPr>
          <w:rFonts w:eastAsia="Cambria" w:cs="Arial"/>
          <w:szCs w:val="20"/>
          <w:lang w:val="sl-SI"/>
        </w:rPr>
        <w:t xml:space="preserve">, </w:t>
      </w:r>
      <w:r w:rsidRPr="005771BD">
        <w:rPr>
          <w:rFonts w:eastAsia="Cambria" w:cs="Arial"/>
          <w:szCs w:val="20"/>
          <w:lang w:val="sl-SI"/>
        </w:rPr>
        <w:t xml:space="preserve">na primer </w:t>
      </w:r>
      <w:r>
        <w:rPr>
          <w:rFonts w:eastAsia="Cambria" w:cs="Arial"/>
          <w:szCs w:val="20"/>
          <w:lang w:val="sl-SI"/>
        </w:rPr>
        <w:t xml:space="preserve">z </w:t>
      </w:r>
      <w:r w:rsidRPr="005771BD">
        <w:rPr>
          <w:rFonts w:eastAsia="Cambria" w:cs="Arial"/>
          <w:szCs w:val="20"/>
          <w:lang w:val="sl-SI"/>
        </w:rPr>
        <w:t xml:space="preserve">akcijo </w:t>
      </w:r>
      <w:hyperlink r:id="rId294" w:history="1">
        <w:r>
          <w:rPr>
            <w:rFonts w:eastAsia="Cambria" w:cs="Arial"/>
            <w:szCs w:val="20"/>
            <w:u w:val="single"/>
            <w:lang w:val="sl-SI"/>
          </w:rPr>
          <w:t>z</w:t>
        </w:r>
        <w:r w:rsidRPr="005771BD">
          <w:rPr>
            <w:rFonts w:eastAsia="Cambria" w:cs="Arial"/>
            <w:szCs w:val="20"/>
            <w:u w:val="single"/>
            <w:lang w:val="sl-SI"/>
          </w:rPr>
          <w:t>emljo so nam posodili otroci</w:t>
        </w:r>
      </w:hyperlink>
      <w:r w:rsidRPr="005771BD">
        <w:rPr>
          <w:rFonts w:eastAsia="Cambria" w:cs="Arial"/>
          <w:szCs w:val="20"/>
          <w:u w:val="single"/>
          <w:lang w:val="sl-SI"/>
        </w:rPr>
        <w:t>,</w:t>
      </w:r>
      <w:r w:rsidRPr="005771BD">
        <w:rPr>
          <w:rFonts w:eastAsia="Cambria" w:cs="Arial"/>
          <w:szCs w:val="20"/>
          <w:lang w:val="sl-SI"/>
        </w:rPr>
        <w:t xml:space="preserve"> namenjeno osnovnošolcem in srednješolcem ter njihovim mentorjem, in pod pokroviteljstvom predsednika države, ter akcijo </w:t>
      </w:r>
      <w:r>
        <w:rPr>
          <w:rFonts w:eastAsia="Cambria" w:cs="Arial"/>
          <w:szCs w:val="20"/>
          <w:u w:val="single"/>
          <w:lang w:val="sl-SI"/>
        </w:rPr>
        <w:t>m</w:t>
      </w:r>
      <w:r w:rsidRPr="005771BD">
        <w:rPr>
          <w:rFonts w:eastAsia="Cambria" w:cs="Arial"/>
          <w:szCs w:val="20"/>
          <w:u w:val="single"/>
          <w:lang w:val="sl-SI"/>
        </w:rPr>
        <w:t>oč vode</w:t>
      </w:r>
      <w:r w:rsidRPr="005771BD">
        <w:rPr>
          <w:rFonts w:eastAsia="Cambria" w:cs="Arial"/>
          <w:szCs w:val="20"/>
          <w:lang w:val="sl-SI"/>
        </w:rPr>
        <w:t xml:space="preserve">, v kateri </w:t>
      </w:r>
      <w:r>
        <w:rPr>
          <w:rFonts w:eastAsia="Cambria" w:cs="Arial"/>
          <w:szCs w:val="20"/>
          <w:lang w:val="sl-SI"/>
        </w:rPr>
        <w:t>so bile</w:t>
      </w:r>
      <w:r w:rsidRPr="005771BD">
        <w:rPr>
          <w:rFonts w:eastAsia="Cambria" w:cs="Arial"/>
          <w:szCs w:val="20"/>
          <w:lang w:val="sl-SI"/>
        </w:rPr>
        <w:t xml:space="preserve"> v sodelovanju z župani, krajani, šolarji in mediji organiziral </w:t>
      </w:r>
      <w:r>
        <w:rPr>
          <w:rFonts w:eastAsia="Cambria" w:cs="Arial"/>
          <w:szCs w:val="20"/>
          <w:lang w:val="sl-SI"/>
        </w:rPr>
        <w:t>nameščene</w:t>
      </w:r>
      <w:r w:rsidRPr="005771BD">
        <w:rPr>
          <w:rFonts w:eastAsia="Cambria" w:cs="Arial"/>
          <w:szCs w:val="20"/>
          <w:lang w:val="sl-SI"/>
        </w:rPr>
        <w:t xml:space="preserve"> ozaveščevaln</w:t>
      </w:r>
      <w:r>
        <w:rPr>
          <w:rFonts w:eastAsia="Cambria" w:cs="Arial"/>
          <w:szCs w:val="20"/>
          <w:lang w:val="sl-SI"/>
        </w:rPr>
        <w:t>e</w:t>
      </w:r>
      <w:r w:rsidRPr="005771BD">
        <w:rPr>
          <w:rFonts w:eastAsia="Cambria" w:cs="Arial"/>
          <w:szCs w:val="20"/>
          <w:lang w:val="sl-SI"/>
        </w:rPr>
        <w:t xml:space="preserve"> tab</w:t>
      </w:r>
      <w:r>
        <w:rPr>
          <w:rFonts w:eastAsia="Cambria" w:cs="Arial"/>
          <w:szCs w:val="20"/>
          <w:lang w:val="sl-SI"/>
        </w:rPr>
        <w:t>le</w:t>
      </w:r>
      <w:r w:rsidRPr="005771BD">
        <w:rPr>
          <w:rFonts w:eastAsia="Cambria" w:cs="Arial"/>
          <w:szCs w:val="20"/>
          <w:lang w:val="sl-SI"/>
        </w:rPr>
        <w:t xml:space="preserve"> z oznako, kako visoko lahko poplavi voda na poplavnih območjih.</w:t>
      </w:r>
    </w:p>
    <w:p w:rsidR="00DF4CD9" w:rsidRPr="005771BD" w:rsidRDefault="00DF4CD9" w:rsidP="00DF4CD9">
      <w:pPr>
        <w:numPr>
          <w:ilvl w:val="0"/>
          <w:numId w:val="16"/>
        </w:numPr>
        <w:spacing w:after="200" w:line="276" w:lineRule="auto"/>
        <w:ind w:left="284" w:hanging="284"/>
        <w:jc w:val="both"/>
        <w:rPr>
          <w:rFonts w:cs="Arial"/>
          <w:szCs w:val="20"/>
          <w:lang w:val="sl-SI" w:eastAsia="sl-SI"/>
        </w:rPr>
      </w:pPr>
      <w:r>
        <w:rPr>
          <w:rFonts w:eastAsia="Cambria" w:cs="Arial"/>
          <w:szCs w:val="20"/>
          <w:lang w:val="sl-SI"/>
        </w:rPr>
        <w:t>P</w:t>
      </w:r>
      <w:r w:rsidRPr="005771BD">
        <w:rPr>
          <w:rFonts w:eastAsia="Cambria" w:cs="Arial"/>
          <w:szCs w:val="20"/>
          <w:lang w:val="sl-SI"/>
        </w:rPr>
        <w:t xml:space="preserve">riročnik </w:t>
      </w:r>
      <w:hyperlink r:id="rId295" w:history="1">
        <w:r w:rsidRPr="005771BD">
          <w:rPr>
            <w:rFonts w:eastAsia="Cambria" w:cs="Arial"/>
            <w:szCs w:val="20"/>
            <w:u w:val="single"/>
            <w:lang w:val="sl-SI"/>
          </w:rPr>
          <w:t>Youthxchange: izobraževalni priročnik za odgovorno potrošnjo</w:t>
        </w:r>
        <w:r>
          <w:rPr>
            <w:rFonts w:eastAsia="Cambria" w:cs="Arial"/>
            <w:szCs w:val="20"/>
            <w:u w:val="single"/>
            <w:lang w:val="sl-SI"/>
          </w:rPr>
          <w:t xml:space="preserve">, </w:t>
        </w:r>
        <w:r w:rsidRPr="005771BD">
          <w:rPr>
            <w:rFonts w:eastAsia="Cambria" w:cs="Arial"/>
            <w:szCs w:val="20"/>
            <w:u w:val="single"/>
            <w:lang w:val="sl-SI"/>
          </w:rPr>
          <w:t xml:space="preserve">vodnik </w:t>
        </w:r>
        <w:r>
          <w:rPr>
            <w:rFonts w:eastAsia="Cambria" w:cs="Arial"/>
            <w:szCs w:val="20"/>
            <w:u w:val="single"/>
            <w:lang w:val="sl-SI"/>
          </w:rPr>
          <w:t>za</w:t>
        </w:r>
        <w:r w:rsidRPr="005771BD">
          <w:rPr>
            <w:rFonts w:eastAsia="Cambria" w:cs="Arial"/>
            <w:szCs w:val="20"/>
            <w:u w:val="single"/>
            <w:lang w:val="sl-SI"/>
          </w:rPr>
          <w:t xml:space="preserve"> trajnostn</w:t>
        </w:r>
        <w:r>
          <w:rPr>
            <w:rFonts w:eastAsia="Cambria" w:cs="Arial"/>
            <w:szCs w:val="20"/>
            <w:u w:val="single"/>
            <w:lang w:val="sl-SI"/>
          </w:rPr>
          <w:t>i</w:t>
        </w:r>
        <w:r w:rsidRPr="005771BD">
          <w:rPr>
            <w:rFonts w:eastAsia="Cambria" w:cs="Arial"/>
            <w:szCs w:val="20"/>
            <w:u w:val="single"/>
            <w:lang w:val="sl-SI"/>
          </w:rPr>
          <w:t xml:space="preserve"> način življenja</w:t>
        </w:r>
      </w:hyperlink>
      <w:r w:rsidRPr="005771BD">
        <w:rPr>
          <w:rFonts w:eastAsia="Cambria" w:cs="Arial"/>
          <w:szCs w:val="20"/>
          <w:lang w:val="sl-SI"/>
        </w:rPr>
        <w:t xml:space="preserve"> (prevod priročnika UNESCO in UNEP), ki ga je 2007 izdal MOP. P</w:t>
      </w:r>
      <w:r w:rsidRPr="005771BD">
        <w:rPr>
          <w:rFonts w:cs="Arial"/>
          <w:szCs w:val="20"/>
          <w:lang w:val="sl-SI" w:eastAsia="sl-SI"/>
        </w:rPr>
        <w:t xml:space="preserve">riročnik in spletne strani, ki so z njim povezane, so v pomoč vzgojiteljem in učiteljem, da bodo mlade vključili v </w:t>
      </w:r>
      <w:r>
        <w:rPr>
          <w:rFonts w:cs="Arial"/>
          <w:szCs w:val="20"/>
          <w:lang w:val="sl-SI" w:eastAsia="sl-SI"/>
        </w:rPr>
        <w:t>razpravo</w:t>
      </w:r>
      <w:r w:rsidRPr="005771BD">
        <w:rPr>
          <w:rFonts w:cs="Arial"/>
          <w:szCs w:val="20"/>
          <w:lang w:val="sl-SI" w:eastAsia="sl-SI"/>
        </w:rPr>
        <w:t xml:space="preserve"> o bolj trajnostnih načinih življenja in kako jih doseči. Priročnik z ustreznimi informacijami, konkretnimi primeri in preprostim jezikom </w:t>
      </w:r>
      <w:r>
        <w:rPr>
          <w:rFonts w:cs="Arial"/>
          <w:szCs w:val="20"/>
          <w:lang w:val="sl-SI" w:eastAsia="sl-SI"/>
        </w:rPr>
        <w:t>navaja</w:t>
      </w:r>
      <w:r w:rsidRPr="005771BD">
        <w:rPr>
          <w:rFonts w:cs="Arial"/>
          <w:szCs w:val="20"/>
          <w:lang w:val="sl-SI" w:eastAsia="sl-SI"/>
        </w:rPr>
        <w:t xml:space="preserve"> številna dejstva in </w:t>
      </w:r>
      <w:r>
        <w:rPr>
          <w:rFonts w:cs="Arial"/>
          <w:szCs w:val="20"/>
          <w:lang w:val="sl-SI" w:eastAsia="sl-SI"/>
        </w:rPr>
        <w:t>podatke</w:t>
      </w:r>
      <w:r w:rsidRPr="005771BD">
        <w:rPr>
          <w:rFonts w:cs="Arial"/>
          <w:szCs w:val="20"/>
          <w:lang w:val="sl-SI" w:eastAsia="sl-SI"/>
        </w:rPr>
        <w:t xml:space="preserve"> o trajnostni potrošnji in poudarja povezave med kulturnimi, geografskimi in medgeneracijskimi dejavniki. Predvsem pa poudarja neposredno povezavo trajnostne potrošnje s kakovostjo življenja, učinkovito rabo virov (tako človeških kot naravnih), z zmanjševanjem nastajanja odpadkov </w:t>
      </w:r>
      <w:r>
        <w:rPr>
          <w:rFonts w:cs="Arial"/>
          <w:szCs w:val="20"/>
          <w:lang w:val="sl-SI" w:eastAsia="sl-SI"/>
        </w:rPr>
        <w:t>in</w:t>
      </w:r>
      <w:r w:rsidRPr="005771BD">
        <w:rPr>
          <w:rFonts w:cs="Arial"/>
          <w:szCs w:val="20"/>
          <w:lang w:val="sl-SI" w:eastAsia="sl-SI"/>
        </w:rPr>
        <w:t xml:space="preserve"> etičnimi izzivi, kot so delo otrok, krutost do živali, pravična trgovina in splošna enakost.</w:t>
      </w:r>
    </w:p>
    <w:p w:rsidR="00DF4CD9" w:rsidRPr="005771BD" w:rsidRDefault="00DF4CD9" w:rsidP="00DF4CD9">
      <w:pPr>
        <w:pStyle w:val="Odstavekseznama"/>
        <w:numPr>
          <w:ilvl w:val="0"/>
          <w:numId w:val="16"/>
        </w:numPr>
        <w:spacing w:after="200" w:line="276" w:lineRule="auto"/>
        <w:ind w:left="284" w:hanging="284"/>
        <w:jc w:val="both"/>
        <w:rPr>
          <w:rFonts w:eastAsia="Cambria" w:cs="Arial"/>
          <w:szCs w:val="20"/>
          <w:lang w:val="sl-SI"/>
        </w:rPr>
      </w:pPr>
      <w:r>
        <w:rPr>
          <w:rFonts w:eastAsia="Cambria" w:cs="Arial"/>
          <w:b/>
          <w:szCs w:val="20"/>
          <w:lang w:val="sl-SI"/>
        </w:rPr>
        <w:t xml:space="preserve"> </w:t>
      </w:r>
      <w:r w:rsidRPr="005771BD">
        <w:rPr>
          <w:rFonts w:eastAsia="Cambria" w:cs="Arial"/>
          <w:b/>
          <w:szCs w:val="20"/>
          <w:lang w:val="sl-SI"/>
        </w:rPr>
        <w:t xml:space="preserve">Dan </w:t>
      </w:r>
      <w:r>
        <w:rPr>
          <w:rFonts w:eastAsia="Cambria" w:cs="Arial"/>
          <w:b/>
          <w:szCs w:val="20"/>
          <w:lang w:val="sl-SI"/>
        </w:rPr>
        <w:t>s</w:t>
      </w:r>
      <w:r w:rsidRPr="005771BD">
        <w:rPr>
          <w:rFonts w:eastAsia="Cambria" w:cs="Arial"/>
          <w:b/>
          <w:szCs w:val="20"/>
          <w:lang w:val="sl-SI"/>
        </w:rPr>
        <w:t>redozemske obale</w:t>
      </w:r>
      <w:r w:rsidRPr="005771BD">
        <w:rPr>
          <w:rFonts w:eastAsia="Cambria" w:cs="Arial"/>
          <w:szCs w:val="20"/>
          <w:lang w:val="sl-SI"/>
        </w:rPr>
        <w:t xml:space="preserve">, ki ga </w:t>
      </w:r>
      <w:r>
        <w:rPr>
          <w:rFonts w:eastAsia="Cambria" w:cs="Arial"/>
          <w:szCs w:val="20"/>
          <w:lang w:val="sl-SI"/>
        </w:rPr>
        <w:t xml:space="preserve">od leta 2013 </w:t>
      </w:r>
      <w:r w:rsidRPr="005771BD">
        <w:rPr>
          <w:rFonts w:eastAsia="Cambria" w:cs="Arial"/>
          <w:szCs w:val="20"/>
          <w:lang w:val="sl-SI"/>
        </w:rPr>
        <w:t>organizira MOP v sodelovanju z Ministrstvom za zunanje zadeve in Univerzo na Primorskem ob podpori Mestne občine Koper, je namenjen krepitvi zavesti o učinkovitem upravljanju obalni</w:t>
      </w:r>
      <w:r>
        <w:rPr>
          <w:rFonts w:eastAsia="Cambria" w:cs="Arial"/>
          <w:szCs w:val="20"/>
          <w:lang w:val="sl-SI"/>
        </w:rPr>
        <w:t>h</w:t>
      </w:r>
      <w:r w:rsidRPr="005771BD">
        <w:rPr>
          <w:rFonts w:eastAsia="Cambria" w:cs="Arial"/>
          <w:szCs w:val="20"/>
          <w:lang w:val="sl-SI"/>
        </w:rPr>
        <w:t xml:space="preserve"> in morski</w:t>
      </w:r>
      <w:r>
        <w:rPr>
          <w:rFonts w:eastAsia="Cambria" w:cs="Arial"/>
          <w:szCs w:val="20"/>
          <w:lang w:val="sl-SI"/>
        </w:rPr>
        <w:t>h</w:t>
      </w:r>
      <w:r w:rsidRPr="005771BD">
        <w:rPr>
          <w:rFonts w:eastAsia="Cambria" w:cs="Arial"/>
          <w:szCs w:val="20"/>
          <w:lang w:val="sl-SI"/>
        </w:rPr>
        <w:t xml:space="preserve"> vir</w:t>
      </w:r>
      <w:r>
        <w:rPr>
          <w:rFonts w:eastAsia="Cambria" w:cs="Arial"/>
          <w:szCs w:val="20"/>
          <w:lang w:val="sl-SI"/>
        </w:rPr>
        <w:t>ov</w:t>
      </w:r>
      <w:r w:rsidRPr="005771BD">
        <w:rPr>
          <w:rFonts w:eastAsia="Cambria" w:cs="Arial"/>
          <w:szCs w:val="20"/>
          <w:lang w:val="sl-SI"/>
        </w:rPr>
        <w:t>. Ta je v</w:t>
      </w:r>
      <w:r>
        <w:rPr>
          <w:rFonts w:eastAsia="Cambria" w:cs="Arial"/>
          <w:szCs w:val="20"/>
          <w:lang w:val="sl-SI"/>
        </w:rPr>
        <w:t xml:space="preserve"> letu</w:t>
      </w:r>
      <w:r w:rsidRPr="005771BD">
        <w:rPr>
          <w:rFonts w:eastAsia="Cambria" w:cs="Arial"/>
          <w:szCs w:val="20"/>
          <w:lang w:val="sl-SI"/>
        </w:rPr>
        <w:t xml:space="preserve"> 2015 prerasel v </w:t>
      </w:r>
      <w:r>
        <w:rPr>
          <w:rFonts w:eastAsia="Cambria" w:cs="Arial"/>
          <w:szCs w:val="20"/>
          <w:lang w:val="sl-SI"/>
        </w:rPr>
        <w:t>t</w:t>
      </w:r>
      <w:r w:rsidRPr="005771BD">
        <w:rPr>
          <w:rFonts w:eastAsia="Cambria" w:cs="Arial"/>
          <w:szCs w:val="20"/>
          <w:lang w:val="sl-SI"/>
        </w:rPr>
        <w:t xml:space="preserve">eden </w:t>
      </w:r>
      <w:r>
        <w:rPr>
          <w:rFonts w:eastAsia="Cambria" w:cs="Arial"/>
          <w:szCs w:val="20"/>
          <w:lang w:val="sl-SI"/>
        </w:rPr>
        <w:t>s</w:t>
      </w:r>
      <w:r w:rsidRPr="005771BD">
        <w:rPr>
          <w:rFonts w:eastAsia="Cambria" w:cs="Arial"/>
          <w:szCs w:val="20"/>
          <w:lang w:val="sl-SI"/>
        </w:rPr>
        <w:t>redozemske obale, ko je bil izveden tudi posvet »</w:t>
      </w:r>
      <w:r>
        <w:rPr>
          <w:rFonts w:eastAsia="Cambria" w:cs="Arial"/>
          <w:szCs w:val="20"/>
          <w:lang w:val="sl-SI"/>
        </w:rPr>
        <w:t>i</w:t>
      </w:r>
      <w:r w:rsidRPr="005771BD">
        <w:rPr>
          <w:rFonts w:eastAsia="Cambria" w:cs="Arial"/>
          <w:szCs w:val="20"/>
          <w:lang w:val="sl-SI"/>
        </w:rPr>
        <w:t xml:space="preserve">zvajanje </w:t>
      </w:r>
      <w:r>
        <w:rPr>
          <w:rFonts w:eastAsia="Cambria" w:cs="Arial"/>
          <w:szCs w:val="20"/>
          <w:lang w:val="sl-SI"/>
        </w:rPr>
        <w:t>j</w:t>
      </w:r>
      <w:r w:rsidRPr="005771BD">
        <w:rPr>
          <w:rFonts w:eastAsia="Cambria" w:cs="Arial"/>
          <w:szCs w:val="20"/>
          <w:lang w:val="sl-SI"/>
        </w:rPr>
        <w:t>adransko</w:t>
      </w:r>
      <w:r>
        <w:rPr>
          <w:rFonts w:eastAsia="Cambria" w:cs="Arial"/>
          <w:szCs w:val="20"/>
          <w:lang w:val="sl-SI"/>
        </w:rPr>
        <w:t>-j</w:t>
      </w:r>
      <w:r w:rsidRPr="005771BD">
        <w:rPr>
          <w:rFonts w:eastAsia="Cambria" w:cs="Arial"/>
          <w:szCs w:val="20"/>
          <w:lang w:val="sl-SI"/>
        </w:rPr>
        <w:t xml:space="preserve">onske makroregionalne strategije v Sloveniji – </w:t>
      </w:r>
      <w:r>
        <w:rPr>
          <w:rFonts w:eastAsia="Cambria" w:cs="Arial"/>
          <w:szCs w:val="20"/>
          <w:lang w:val="sl-SI"/>
        </w:rPr>
        <w:t>i</w:t>
      </w:r>
      <w:r w:rsidRPr="005771BD">
        <w:rPr>
          <w:rFonts w:eastAsia="Cambria" w:cs="Arial"/>
          <w:szCs w:val="20"/>
          <w:lang w:val="sl-SI"/>
        </w:rPr>
        <w:t xml:space="preserve">zzivi in priložnosti«, ter številni drugi dogodki (javna čistilna akcija obale v okviru projekta </w:t>
      </w:r>
      <w:r>
        <w:rPr>
          <w:rFonts w:eastAsia="Cambria" w:cs="Arial"/>
          <w:szCs w:val="20"/>
          <w:lang w:val="sl-SI"/>
        </w:rPr>
        <w:t>č</w:t>
      </w:r>
      <w:r w:rsidRPr="005771BD">
        <w:rPr>
          <w:rFonts w:eastAsia="Cambria" w:cs="Arial"/>
          <w:szCs w:val="20"/>
          <w:lang w:val="sl-SI"/>
        </w:rPr>
        <w:t>ista obala 2015, razstave, predstavitve projektov, predavanja, okrogle mize).</w:t>
      </w:r>
    </w:p>
    <w:p w:rsidR="00DF4CD9" w:rsidRPr="005771BD" w:rsidRDefault="00DF4CD9" w:rsidP="00DF4CD9">
      <w:pPr>
        <w:numPr>
          <w:ilvl w:val="0"/>
          <w:numId w:val="16"/>
        </w:numPr>
        <w:spacing w:after="200" w:line="276" w:lineRule="auto"/>
        <w:ind w:left="425" w:hanging="425"/>
        <w:jc w:val="both"/>
        <w:rPr>
          <w:rFonts w:eastAsia="Cambria" w:cs="Arial"/>
          <w:szCs w:val="20"/>
          <w:lang w:val="sl-SI"/>
        </w:rPr>
      </w:pPr>
      <w:r>
        <w:rPr>
          <w:rFonts w:eastAsia="Cambria" w:cs="Arial"/>
          <w:szCs w:val="20"/>
          <w:lang w:val="sl-SI"/>
        </w:rPr>
        <w:t>O</w:t>
      </w:r>
      <w:r w:rsidRPr="005771BD">
        <w:rPr>
          <w:rFonts w:eastAsia="Cambria" w:cs="Arial"/>
          <w:szCs w:val="20"/>
          <w:lang w:val="sl-SI"/>
        </w:rPr>
        <w:t xml:space="preserve">bveščanje javnosti na 19 lokacijah območij pomembnih vplivov poplav o aktivnostih MOP </w:t>
      </w:r>
      <w:r>
        <w:rPr>
          <w:rFonts w:eastAsia="Cambria" w:cs="Arial"/>
          <w:szCs w:val="20"/>
          <w:lang w:val="sl-SI"/>
        </w:rPr>
        <w:t>glede</w:t>
      </w:r>
      <w:r w:rsidRPr="005771BD">
        <w:rPr>
          <w:rFonts w:eastAsia="Cambria" w:cs="Arial"/>
          <w:szCs w:val="20"/>
          <w:lang w:val="sl-SI"/>
        </w:rPr>
        <w:t xml:space="preserve"> </w:t>
      </w:r>
      <w:r w:rsidRPr="005771BD">
        <w:rPr>
          <w:rFonts w:eastAsia="Cambria" w:cs="Arial"/>
          <w:b/>
          <w:szCs w:val="20"/>
          <w:lang w:val="sl-SI"/>
        </w:rPr>
        <w:t>zmanjšanja poplavne ogroženosti</w:t>
      </w:r>
      <w:r w:rsidRPr="005771BD">
        <w:rPr>
          <w:rFonts w:eastAsia="Cambria" w:cs="Arial"/>
          <w:szCs w:val="20"/>
          <w:lang w:val="sl-SI"/>
        </w:rPr>
        <w:t xml:space="preserve"> in o samozaščitnem ukrepanju ob poplavah (v 2015) v sodelovanju z Inštitutom za vode RS, ARSO in Upravo RS za zaščito in reševanje. </w:t>
      </w:r>
    </w:p>
    <w:p w:rsidR="00DF4CD9" w:rsidRPr="005771BD" w:rsidRDefault="00DF4CD9" w:rsidP="00DF4CD9">
      <w:pPr>
        <w:numPr>
          <w:ilvl w:val="0"/>
          <w:numId w:val="16"/>
        </w:numPr>
        <w:autoSpaceDE w:val="0"/>
        <w:autoSpaceDN w:val="0"/>
        <w:adjustRightInd w:val="0"/>
        <w:spacing w:after="200" w:line="276" w:lineRule="auto"/>
        <w:ind w:left="425" w:hanging="425"/>
        <w:jc w:val="both"/>
        <w:rPr>
          <w:rFonts w:eastAsia="Cambria" w:cs="Arial"/>
          <w:szCs w:val="20"/>
          <w:lang w:val="sl-SI"/>
        </w:rPr>
      </w:pPr>
      <w:r>
        <w:rPr>
          <w:rFonts w:eastAsia="Cambria" w:cs="Arial"/>
          <w:szCs w:val="20"/>
          <w:lang w:val="sl-SI"/>
        </w:rPr>
        <w:t>V</w:t>
      </w:r>
      <w:r w:rsidRPr="005771BD">
        <w:rPr>
          <w:rFonts w:eastAsia="Cambria" w:cs="Arial"/>
          <w:szCs w:val="20"/>
          <w:lang w:val="sl-SI"/>
        </w:rPr>
        <w:t xml:space="preserve">ključitev v </w:t>
      </w:r>
      <w:r>
        <w:rPr>
          <w:rFonts w:eastAsia="Cambria" w:cs="Arial"/>
          <w:b/>
          <w:szCs w:val="20"/>
          <w:lang w:val="sl-SI"/>
        </w:rPr>
        <w:t>e</w:t>
      </w:r>
      <w:r w:rsidRPr="005771BD">
        <w:rPr>
          <w:rFonts w:eastAsia="Cambria" w:cs="Arial"/>
          <w:b/>
          <w:szCs w:val="20"/>
          <w:lang w:val="sl-SI"/>
        </w:rPr>
        <w:t>vropsko mrežo zdravih šol</w:t>
      </w:r>
      <w:r w:rsidRPr="005771BD">
        <w:rPr>
          <w:rFonts w:eastAsia="Cambria" w:cs="Arial"/>
          <w:szCs w:val="20"/>
          <w:lang w:val="sl-SI"/>
        </w:rPr>
        <w:t>. Slovenija je bila med prvimi državami, ki so se leta 1993 vključile v to mrežo, v kateri je v začetku sodelovalo 12 pilotnih šol, njen namen pa je spodbujanje, pospeševanje in krepitev telesnega, duševnega, socialnega in okoljskega zdravja učencev, učiteljev in staršev. »Slovensko mrežo zdravih šol« (</w:t>
      </w:r>
      <w:r>
        <w:rPr>
          <w:rFonts w:eastAsia="Cambria" w:cs="Arial"/>
          <w:szCs w:val="20"/>
          <w:lang w:val="sl-SI"/>
        </w:rPr>
        <w:t>z</w:t>
      </w:r>
      <w:r w:rsidRPr="005771BD">
        <w:rPr>
          <w:rFonts w:eastAsia="Cambria" w:cs="Arial"/>
          <w:szCs w:val="20"/>
          <w:lang w:val="sl-SI"/>
        </w:rPr>
        <w:t xml:space="preserve">drave šole) podpirata ministrstvi, pristojni za izobraževanje in zdravje, vodi pa jo Nacionalni inštitut za javno zdravje. Po pilotni fazi (mreža se je na začetku imenovala </w:t>
      </w:r>
      <w:r>
        <w:rPr>
          <w:rFonts w:eastAsia="Cambria" w:cs="Arial"/>
          <w:szCs w:val="20"/>
          <w:lang w:val="sl-SI"/>
        </w:rPr>
        <w:t>e</w:t>
      </w:r>
      <w:r w:rsidRPr="005771BD">
        <w:rPr>
          <w:rFonts w:eastAsia="Cambria" w:cs="Arial"/>
          <w:szCs w:val="20"/>
          <w:lang w:val="sl-SI"/>
        </w:rPr>
        <w:t xml:space="preserve">vropska mreža šol za promocijo zdravja) je več šol predlagalo, da se mreža razširi, ker so se zavedale njene koristi in spodbujevalnega učinka na šolsko prakso. Od takrat je </w:t>
      </w:r>
      <w:r>
        <w:rPr>
          <w:rFonts w:eastAsia="Cambria" w:cs="Arial"/>
          <w:szCs w:val="20"/>
          <w:lang w:val="sl-SI"/>
        </w:rPr>
        <w:t>bilo</w:t>
      </w:r>
      <w:r w:rsidRPr="005771BD">
        <w:rPr>
          <w:rFonts w:eastAsia="Cambria" w:cs="Arial"/>
          <w:szCs w:val="20"/>
          <w:lang w:val="sl-SI"/>
        </w:rPr>
        <w:t xml:space="preserve"> pet širitev in danes v mreži sodeluje 375 šol (301 osnovnih šol (67 %</w:t>
      </w:r>
      <w:r>
        <w:rPr>
          <w:rFonts w:eastAsia="Cambria" w:cs="Arial"/>
          <w:szCs w:val="20"/>
          <w:lang w:val="sl-SI"/>
        </w:rPr>
        <w:t>)</w:t>
      </w:r>
      <w:r w:rsidRPr="005771BD">
        <w:rPr>
          <w:rFonts w:eastAsia="Cambria" w:cs="Arial"/>
          <w:szCs w:val="20"/>
          <w:lang w:val="sl-SI"/>
        </w:rPr>
        <w:t>), 63 srednjih šol (47 %</w:t>
      </w:r>
      <w:r>
        <w:rPr>
          <w:rFonts w:eastAsia="Cambria" w:cs="Arial"/>
          <w:szCs w:val="20"/>
          <w:lang w:val="sl-SI"/>
        </w:rPr>
        <w:t>)</w:t>
      </w:r>
      <w:r w:rsidRPr="005771BD">
        <w:rPr>
          <w:rFonts w:eastAsia="Cambria" w:cs="Arial"/>
          <w:szCs w:val="20"/>
          <w:lang w:val="sl-SI"/>
        </w:rPr>
        <w:t>, 11 dijaških domov (26 %)).</w:t>
      </w:r>
    </w:p>
    <w:p w:rsidR="00DF4CD9" w:rsidRPr="005771BD" w:rsidRDefault="00DF4CD9" w:rsidP="00DF4CD9">
      <w:pPr>
        <w:pStyle w:val="Odstavekseznama"/>
        <w:numPr>
          <w:ilvl w:val="0"/>
          <w:numId w:val="16"/>
        </w:numPr>
        <w:autoSpaceDE w:val="0"/>
        <w:autoSpaceDN w:val="0"/>
        <w:adjustRightInd w:val="0"/>
        <w:spacing w:after="200" w:line="276" w:lineRule="auto"/>
        <w:ind w:left="426" w:hanging="426"/>
        <w:jc w:val="both"/>
        <w:rPr>
          <w:rFonts w:eastAsiaTheme="minorHAnsi" w:cs="Arial"/>
          <w:szCs w:val="20"/>
          <w:lang w:val="sl-SI"/>
        </w:rPr>
      </w:pPr>
      <w:r w:rsidRPr="007B7F58">
        <w:rPr>
          <w:rFonts w:cs="Arial"/>
          <w:szCs w:val="20"/>
          <w:lang w:val="sl-SI" w:eastAsia="en-GB"/>
        </w:rPr>
        <w:t xml:space="preserve">Pod okriljem </w:t>
      </w:r>
      <w:hyperlink r:id="rId296" w:tgtFrame="_blank" w:history="1">
        <w:r>
          <w:rPr>
            <w:rFonts w:eastAsiaTheme="majorEastAsia" w:cs="Arial"/>
            <w:color w:val="0000FF"/>
            <w:szCs w:val="20"/>
            <w:u w:val="single"/>
            <w:lang w:val="sl-SI" w:eastAsia="en-GB"/>
          </w:rPr>
          <w:t>S</w:t>
        </w:r>
        <w:r w:rsidRPr="007B7F58">
          <w:rPr>
            <w:rFonts w:eastAsiaTheme="majorEastAsia" w:cs="Arial"/>
            <w:color w:val="0000FF"/>
            <w:szCs w:val="20"/>
            <w:u w:val="single"/>
            <w:lang w:val="sl-SI" w:eastAsia="en-GB"/>
          </w:rPr>
          <w:t>lovenske nacionalne komisije za Unesco</w:t>
        </w:r>
      </w:hyperlink>
      <w:r w:rsidRPr="007B7F58">
        <w:rPr>
          <w:rFonts w:cs="Arial"/>
          <w:szCs w:val="20"/>
          <w:lang w:val="sl-SI" w:eastAsia="en-GB"/>
        </w:rPr>
        <w:t xml:space="preserve"> deluje UNESCO ASP</w:t>
      </w:r>
      <w:r>
        <w:rPr>
          <w:rFonts w:cs="Arial"/>
          <w:szCs w:val="20"/>
          <w:lang w:val="sl-SI" w:eastAsia="en-GB"/>
        </w:rPr>
        <w:t>-</w:t>
      </w:r>
      <w:r w:rsidRPr="007B7F58">
        <w:rPr>
          <w:rFonts w:cs="Arial"/>
          <w:szCs w:val="20"/>
          <w:lang w:val="sl-SI" w:eastAsia="en-GB"/>
        </w:rPr>
        <w:t xml:space="preserve">mreža šol Slovenije. </w:t>
      </w:r>
      <w:r w:rsidRPr="005771BD">
        <w:rPr>
          <w:rFonts w:eastAsiaTheme="minorHAnsi" w:cs="Arial"/>
          <w:szCs w:val="20"/>
          <w:lang w:val="sl-SI"/>
        </w:rPr>
        <w:t xml:space="preserve">V programu </w:t>
      </w:r>
      <w:r w:rsidRPr="005771BD">
        <w:rPr>
          <w:rFonts w:eastAsiaTheme="minorHAnsi" w:cs="Arial"/>
          <w:b/>
          <w:szCs w:val="20"/>
          <w:lang w:val="sl-SI"/>
        </w:rPr>
        <w:t>»Unescove šole«</w:t>
      </w:r>
      <w:r w:rsidRPr="005771BD">
        <w:rPr>
          <w:rFonts w:eastAsiaTheme="minorHAnsi" w:cs="Arial"/>
          <w:szCs w:val="20"/>
          <w:lang w:val="sl-SI"/>
        </w:rPr>
        <w:t xml:space="preserve"> sodeluje 93 zavodov (vrtcev, osnovnih in srednjih šol), ki so povezani v 10 centrov. V teh šolah učenci in dijaki z lokalnimi in </w:t>
      </w:r>
      <w:r>
        <w:rPr>
          <w:rFonts w:eastAsiaTheme="minorHAnsi" w:cs="Arial"/>
          <w:szCs w:val="20"/>
          <w:lang w:val="sl-SI"/>
        </w:rPr>
        <w:t>državnimi</w:t>
      </w:r>
      <w:r w:rsidRPr="005771BD">
        <w:rPr>
          <w:rFonts w:eastAsiaTheme="minorHAnsi" w:cs="Arial"/>
          <w:szCs w:val="20"/>
          <w:lang w:val="sl-SI"/>
        </w:rPr>
        <w:t xml:space="preserve"> razmerami povezujejo mednarodne izzive</w:t>
      </w:r>
      <w:r>
        <w:rPr>
          <w:rFonts w:eastAsiaTheme="minorHAnsi" w:cs="Arial"/>
          <w:szCs w:val="20"/>
          <w:lang w:val="sl-SI"/>
        </w:rPr>
        <w:t xml:space="preserve"> </w:t>
      </w:r>
      <w:r w:rsidRPr="005771BD">
        <w:rPr>
          <w:rFonts w:eastAsiaTheme="minorHAnsi" w:cs="Arial"/>
          <w:szCs w:val="20"/>
          <w:lang w:val="sl-SI"/>
        </w:rPr>
        <w:t xml:space="preserve">tudi s področja varstva okolja in iščejo rešitve zanje z interdisciplinarnim reševanjem. </w:t>
      </w:r>
    </w:p>
    <w:p w:rsidR="00DF4CD9" w:rsidRPr="005771BD" w:rsidRDefault="00DF4CD9" w:rsidP="00DF4CD9">
      <w:pPr>
        <w:numPr>
          <w:ilvl w:val="0"/>
          <w:numId w:val="16"/>
        </w:numPr>
        <w:spacing w:after="200" w:line="276" w:lineRule="auto"/>
        <w:ind w:left="425" w:hanging="425"/>
        <w:jc w:val="both"/>
        <w:rPr>
          <w:rFonts w:eastAsia="Arial Unicode MS" w:cs="Arial"/>
          <w:bCs/>
          <w:szCs w:val="20"/>
          <w:lang w:val="sl-SI"/>
        </w:rPr>
      </w:pPr>
      <w:r w:rsidRPr="005771BD">
        <w:rPr>
          <w:rFonts w:eastAsia="Cambria" w:cs="Arial"/>
          <w:szCs w:val="20"/>
          <w:lang w:val="sl-SI"/>
        </w:rPr>
        <w:t xml:space="preserve">Novejše pobude, </w:t>
      </w:r>
      <w:r>
        <w:rPr>
          <w:rFonts w:eastAsia="Cambria" w:cs="Arial"/>
          <w:szCs w:val="20"/>
          <w:lang w:val="sl-SI"/>
        </w:rPr>
        <w:t>pomembne</w:t>
      </w:r>
      <w:r w:rsidRPr="005771BD">
        <w:rPr>
          <w:rFonts w:eastAsia="Cambria" w:cs="Arial"/>
          <w:szCs w:val="20"/>
          <w:lang w:val="sl-SI"/>
        </w:rPr>
        <w:t xml:space="preserve"> za področje izobraževanja in usposabljanja o zelenem gospodarstvu, vključujejo predloge za vključitev kompetence za trajnostni razvoj in spodbujanje zelenih delovnih mest v okviru širšega vladnega </w:t>
      </w:r>
      <w:r w:rsidRPr="005771BD">
        <w:rPr>
          <w:rFonts w:eastAsia="Cambria" w:cs="Arial"/>
          <w:b/>
          <w:szCs w:val="20"/>
          <w:lang w:val="sl-SI"/>
        </w:rPr>
        <w:t>Okvirnega programa za prehod v zeleno gospodarstvo (OPZG)</w:t>
      </w:r>
      <w:r w:rsidRPr="005771BD">
        <w:rPr>
          <w:rFonts w:eastAsia="Cambria" w:cs="Arial"/>
          <w:szCs w:val="20"/>
          <w:lang w:val="sl-SI"/>
        </w:rPr>
        <w:t xml:space="preserve">. Med ključnimi horizontalnimi ukrepi tega programa </w:t>
      </w:r>
      <w:r>
        <w:rPr>
          <w:rFonts w:eastAsia="Cambria" w:cs="Arial"/>
          <w:szCs w:val="20"/>
          <w:lang w:val="sl-SI"/>
        </w:rPr>
        <w:t>sta</w:t>
      </w:r>
      <w:r w:rsidRPr="005771BD">
        <w:rPr>
          <w:rFonts w:eastAsia="Cambria" w:cs="Arial"/>
          <w:szCs w:val="20"/>
          <w:lang w:val="sl-SI"/>
        </w:rPr>
        <w:t xml:space="preserve"> izobraževanje in usposabljanje za zeleno gospodarstvo, saj je to </w:t>
      </w:r>
      <w:r w:rsidRPr="005771BD">
        <w:rPr>
          <w:rFonts w:eastAsia="Arial Unicode MS" w:cs="Arial"/>
          <w:szCs w:val="20"/>
          <w:lang w:val="sl-SI"/>
        </w:rPr>
        <w:t xml:space="preserve">prepoznano kot pomembno za </w:t>
      </w:r>
      <w:r>
        <w:rPr>
          <w:rFonts w:eastAsia="Arial Unicode MS" w:cs="Arial"/>
          <w:szCs w:val="20"/>
          <w:lang w:val="sl-SI"/>
        </w:rPr>
        <w:t>krepitev vloge</w:t>
      </w:r>
      <w:r w:rsidRPr="005771BD">
        <w:rPr>
          <w:rFonts w:eastAsia="Arial Unicode MS" w:cs="Arial"/>
          <w:szCs w:val="20"/>
          <w:lang w:val="sl-SI"/>
        </w:rPr>
        <w:t xml:space="preserve"> mladine in odraslih za delo in življenje v zelenem gospodarstvu. Pri tem ni pomembno samo izobraževanje in usposabljanje mladine, temveč je treba navedena znanja vgraditi v vseživljenjsk</w:t>
      </w:r>
      <w:r>
        <w:rPr>
          <w:rFonts w:eastAsia="Arial Unicode MS" w:cs="Arial"/>
          <w:szCs w:val="20"/>
          <w:lang w:val="sl-SI"/>
        </w:rPr>
        <w:t>o</w:t>
      </w:r>
      <w:r w:rsidRPr="005771BD">
        <w:rPr>
          <w:rFonts w:eastAsia="Arial Unicode MS" w:cs="Arial"/>
          <w:szCs w:val="20"/>
          <w:lang w:val="sl-SI"/>
        </w:rPr>
        <w:t xml:space="preserve"> izobraževanj</w:t>
      </w:r>
      <w:r>
        <w:rPr>
          <w:rFonts w:eastAsia="Arial Unicode MS" w:cs="Arial"/>
          <w:szCs w:val="20"/>
          <w:lang w:val="sl-SI"/>
        </w:rPr>
        <w:t>e</w:t>
      </w:r>
      <w:r w:rsidRPr="005771BD">
        <w:rPr>
          <w:rFonts w:eastAsia="Arial Unicode MS" w:cs="Arial"/>
          <w:szCs w:val="20"/>
          <w:lang w:val="sl-SI"/>
        </w:rPr>
        <w:t xml:space="preserve">, </w:t>
      </w:r>
      <w:r>
        <w:rPr>
          <w:rFonts w:eastAsia="Arial Unicode MS" w:cs="Arial"/>
          <w:szCs w:val="20"/>
          <w:lang w:val="sl-SI"/>
        </w:rPr>
        <w:t>pri čemer</w:t>
      </w:r>
      <w:r w:rsidRPr="005771BD">
        <w:rPr>
          <w:rFonts w:eastAsia="Arial Unicode MS" w:cs="Arial"/>
          <w:szCs w:val="20"/>
          <w:lang w:val="sl-SI"/>
        </w:rPr>
        <w:t xml:space="preserve"> je treba posebno pozornost</w:t>
      </w:r>
      <w:r>
        <w:rPr>
          <w:rFonts w:eastAsia="Arial Unicode MS" w:cs="Arial"/>
          <w:szCs w:val="20"/>
          <w:lang w:val="sl-SI"/>
        </w:rPr>
        <w:t xml:space="preserve"> nameniti</w:t>
      </w:r>
      <w:r w:rsidRPr="005771BD">
        <w:rPr>
          <w:rFonts w:eastAsia="Arial Unicode MS" w:cs="Arial"/>
          <w:szCs w:val="20"/>
          <w:lang w:val="sl-SI"/>
        </w:rPr>
        <w:t xml:space="preserve"> delovno aktivn</w:t>
      </w:r>
      <w:r>
        <w:rPr>
          <w:rFonts w:eastAsia="Arial Unicode MS" w:cs="Arial"/>
          <w:szCs w:val="20"/>
          <w:lang w:val="sl-SI"/>
        </w:rPr>
        <w:t>emu</w:t>
      </w:r>
      <w:r w:rsidRPr="005771BD">
        <w:rPr>
          <w:rFonts w:eastAsia="Arial Unicode MS" w:cs="Arial"/>
          <w:szCs w:val="20"/>
          <w:lang w:val="sl-SI"/>
        </w:rPr>
        <w:t xml:space="preserve"> prebivalstv</w:t>
      </w:r>
      <w:r>
        <w:rPr>
          <w:rFonts w:eastAsia="Arial Unicode MS" w:cs="Arial"/>
          <w:szCs w:val="20"/>
          <w:lang w:val="sl-SI"/>
        </w:rPr>
        <w:t>u</w:t>
      </w:r>
      <w:r w:rsidRPr="005771BD">
        <w:rPr>
          <w:rFonts w:eastAsia="Arial Unicode MS" w:cs="Arial"/>
          <w:szCs w:val="20"/>
          <w:lang w:val="sl-SI"/>
        </w:rPr>
        <w:t xml:space="preserve">. Nujne so tudi spremembe v načinu izvajanja vzgojno-izobraževalne dejavnosti, med drugim </w:t>
      </w:r>
      <w:r w:rsidRPr="005771BD">
        <w:rPr>
          <w:rFonts w:eastAsia="Arial Unicode MS" w:cs="Arial"/>
          <w:bCs/>
          <w:szCs w:val="20"/>
          <w:lang w:val="sl-SI"/>
        </w:rPr>
        <w:t xml:space="preserve">z ozelenitvijo izobraževalne infrastrukture, s povečano snovno in energetsko učinkovitostjo ter vpeljavo trajnostnega načina življenja in delovanja vzgojno-izobraževalnih ustanov. Na podlagi akcijskega načrta se je intenzivno izvajanje OPZG </w:t>
      </w:r>
      <w:r>
        <w:rPr>
          <w:rFonts w:eastAsia="Arial Unicode MS" w:cs="Arial"/>
          <w:bCs/>
          <w:szCs w:val="20"/>
          <w:lang w:val="sl-SI"/>
        </w:rPr>
        <w:t>za</w:t>
      </w:r>
      <w:r w:rsidRPr="005771BD">
        <w:rPr>
          <w:rFonts w:eastAsia="Arial Unicode MS" w:cs="Arial"/>
          <w:bCs/>
          <w:szCs w:val="20"/>
          <w:lang w:val="sl-SI"/>
        </w:rPr>
        <w:t xml:space="preserve">čelo v letu 2016. </w:t>
      </w:r>
    </w:p>
    <w:p w:rsidR="00DF4CD9" w:rsidRPr="005771BD" w:rsidRDefault="00DF4CD9" w:rsidP="00DF4CD9">
      <w:pPr>
        <w:spacing w:line="276" w:lineRule="auto"/>
        <w:jc w:val="both"/>
        <w:rPr>
          <w:rFonts w:eastAsia="Cambria" w:cs="Arial"/>
          <w:b/>
          <w:szCs w:val="20"/>
          <w:u w:val="single"/>
          <w:lang w:val="sl-SI"/>
        </w:rPr>
      </w:pPr>
    </w:p>
    <w:p w:rsidR="00DF4CD9" w:rsidRPr="005771BD" w:rsidRDefault="00DF4CD9" w:rsidP="00DF4CD9">
      <w:pPr>
        <w:spacing w:after="200" w:line="276" w:lineRule="auto"/>
        <w:jc w:val="both"/>
        <w:rPr>
          <w:rFonts w:eastAsia="Cambria" w:cs="Arial"/>
          <w:b/>
          <w:szCs w:val="20"/>
          <w:u w:val="single"/>
          <w:lang w:val="sl-SI"/>
        </w:rPr>
      </w:pPr>
      <w:r w:rsidRPr="005771BD">
        <w:rPr>
          <w:rFonts w:eastAsia="Cambria" w:cs="Arial"/>
          <w:b/>
          <w:szCs w:val="20"/>
          <w:u w:val="single"/>
          <w:lang w:val="sl-SI"/>
        </w:rPr>
        <w:t>1</w:t>
      </w:r>
      <w:r w:rsidR="001A509D">
        <w:rPr>
          <w:rFonts w:eastAsia="Cambria" w:cs="Arial"/>
          <w:b/>
          <w:szCs w:val="20"/>
          <w:u w:val="single"/>
          <w:lang w:val="sl-SI"/>
        </w:rPr>
        <w:t>5</w:t>
      </w:r>
      <w:r w:rsidRPr="005771BD">
        <w:rPr>
          <w:rFonts w:eastAsia="Cambria" w:cs="Arial"/>
          <w:b/>
          <w:szCs w:val="20"/>
          <w:u w:val="single"/>
          <w:lang w:val="sl-SI"/>
        </w:rPr>
        <w:t xml:space="preserve">.4 </w:t>
      </w:r>
      <w:r>
        <w:rPr>
          <w:rFonts w:eastAsia="Cambria" w:cs="Arial"/>
          <w:b/>
          <w:szCs w:val="20"/>
          <w:u w:val="single"/>
          <w:lang w:val="sl-SI"/>
        </w:rPr>
        <w:t>Vzpostavitev</w:t>
      </w:r>
      <w:r w:rsidRPr="005771BD">
        <w:rPr>
          <w:rFonts w:eastAsia="Cambria" w:cs="Arial"/>
          <w:b/>
          <w:szCs w:val="20"/>
          <w:u w:val="single"/>
          <w:lang w:val="sl-SI"/>
        </w:rPr>
        <w:t xml:space="preserve"> </w:t>
      </w:r>
      <w:r>
        <w:rPr>
          <w:rFonts w:eastAsia="Cambria" w:cs="Arial"/>
          <w:b/>
          <w:szCs w:val="20"/>
          <w:u w:val="single"/>
          <w:lang w:val="sl-SI"/>
        </w:rPr>
        <w:t>zbirke</w:t>
      </w:r>
      <w:r w:rsidRPr="005771BD">
        <w:rPr>
          <w:rFonts w:eastAsia="Cambria" w:cs="Arial"/>
          <w:b/>
          <w:szCs w:val="20"/>
          <w:u w:val="single"/>
          <w:lang w:val="sl-SI"/>
        </w:rPr>
        <w:t xml:space="preserve"> podatkov in znanja o okolju </w:t>
      </w:r>
    </w:p>
    <w:p w:rsidR="00DF4CD9" w:rsidRPr="005771BD" w:rsidRDefault="00DF4CD9" w:rsidP="00DF4CD9">
      <w:pPr>
        <w:spacing w:after="200" w:line="276" w:lineRule="auto"/>
        <w:jc w:val="both"/>
        <w:rPr>
          <w:rFonts w:eastAsia="Cambria" w:cs="Arial"/>
          <w:szCs w:val="20"/>
          <w:lang w:val="sl-SI"/>
        </w:rPr>
      </w:pPr>
      <w:r w:rsidRPr="005771BD">
        <w:rPr>
          <w:rFonts w:eastAsia="Cambria" w:cs="Arial"/>
          <w:szCs w:val="20"/>
          <w:lang w:val="sl-SI"/>
        </w:rPr>
        <w:t xml:space="preserve">MOP je z Agencijo RS za okolje pobudnik in izvajalec aktivnosti za </w:t>
      </w:r>
      <w:r>
        <w:rPr>
          <w:rFonts w:eastAsia="Cambria" w:cs="Arial"/>
          <w:szCs w:val="20"/>
          <w:lang w:val="sl-SI"/>
        </w:rPr>
        <w:t>vzpostavitev</w:t>
      </w:r>
      <w:r w:rsidRPr="005771BD">
        <w:rPr>
          <w:rFonts w:eastAsia="Cambria" w:cs="Arial"/>
          <w:szCs w:val="20"/>
          <w:lang w:val="sl-SI"/>
        </w:rPr>
        <w:t xml:space="preserve"> sistema podatkov o okolju. Na spletišču agencije (</w:t>
      </w:r>
      <w:hyperlink r:id="rId297" w:history="1">
        <w:r w:rsidRPr="005771BD">
          <w:rPr>
            <w:rFonts w:eastAsia="Cambria" w:cs="Arial"/>
            <w:szCs w:val="20"/>
            <w:u w:val="single"/>
            <w:lang w:val="sl-SI"/>
          </w:rPr>
          <w:t>http://www.arso.gov.si/</w:t>
        </w:r>
      </w:hyperlink>
      <w:r w:rsidRPr="005771BD">
        <w:rPr>
          <w:rFonts w:eastAsia="Cambria" w:cs="Arial"/>
          <w:szCs w:val="20"/>
          <w:lang w:val="sl-SI"/>
        </w:rPr>
        <w:t xml:space="preserve">) so objavljene informacije o vremenu, vodah, potresih, ohranjanju narave, odpadkih, presoji vplivov na okolje, </w:t>
      </w:r>
      <w:r>
        <w:rPr>
          <w:rFonts w:eastAsia="Cambria" w:cs="Arial"/>
          <w:szCs w:val="20"/>
          <w:lang w:val="sl-SI"/>
        </w:rPr>
        <w:t xml:space="preserve">o </w:t>
      </w:r>
      <w:r w:rsidRPr="005771BD">
        <w:rPr>
          <w:rFonts w:eastAsia="Cambria" w:cs="Arial"/>
          <w:szCs w:val="20"/>
          <w:lang w:val="sl-SI"/>
        </w:rPr>
        <w:t>sevanjih, hrupu, kakovosti zraka in podnebnih spremembah. Spletišče je namenjeno obveščanju javnosti o spremembah v okolju in o njegovem stanju.</w:t>
      </w:r>
    </w:p>
    <w:p w:rsidR="00DF4CD9" w:rsidRPr="005771BD" w:rsidRDefault="00DF4CD9" w:rsidP="00DF4CD9">
      <w:pPr>
        <w:spacing w:after="200" w:line="276" w:lineRule="auto"/>
        <w:jc w:val="both"/>
        <w:rPr>
          <w:rFonts w:eastAsia="Cambria" w:cs="Arial"/>
          <w:szCs w:val="20"/>
          <w:lang w:val="sl-SI"/>
        </w:rPr>
      </w:pPr>
      <w:r w:rsidRPr="005771BD">
        <w:rPr>
          <w:rFonts w:eastAsia="Cambria" w:cs="Arial"/>
          <w:szCs w:val="20"/>
          <w:lang w:val="sl-SI"/>
        </w:rPr>
        <w:t>Najbolj celovit in na enem mestu zbran sistem podatkov o okolju je na voljo v obliki kazalcev okolja, ki vsebujejo na dogovorjen</w:t>
      </w:r>
      <w:r>
        <w:rPr>
          <w:rFonts w:eastAsia="Cambria" w:cs="Arial"/>
          <w:szCs w:val="20"/>
          <w:lang w:val="sl-SI"/>
        </w:rPr>
        <w:t>i</w:t>
      </w:r>
      <w:r w:rsidRPr="005771BD">
        <w:rPr>
          <w:rFonts w:eastAsia="Cambria" w:cs="Arial"/>
          <w:szCs w:val="20"/>
          <w:lang w:val="sl-SI"/>
        </w:rPr>
        <w:t xml:space="preserve"> način zbrane, analizirane in pr</w:t>
      </w:r>
      <w:r>
        <w:rPr>
          <w:rFonts w:eastAsia="Cambria" w:cs="Arial"/>
          <w:szCs w:val="20"/>
          <w:lang w:val="sl-SI"/>
        </w:rPr>
        <w:t>ikazane</w:t>
      </w:r>
      <w:r w:rsidRPr="005771BD">
        <w:rPr>
          <w:rFonts w:eastAsia="Cambria" w:cs="Arial"/>
          <w:szCs w:val="20"/>
          <w:lang w:val="sl-SI"/>
        </w:rPr>
        <w:t xml:space="preserve"> podatke o okolju ter z njimi povezane podatke na področjih energija, gozdarstvo, industrijska proizvodnja, instrumenti okoljske politike, kmetijstvo, morje, narava in biotska pestrost, odpadki in snovni tok, podnebne spremembe, potrošnja v gospodinjstvih, promet, soci</w:t>
      </w:r>
      <w:r>
        <w:rPr>
          <w:rFonts w:eastAsia="Cambria" w:cs="Arial"/>
          <w:szCs w:val="20"/>
          <w:lang w:val="sl-SI"/>
        </w:rPr>
        <w:t>alno</w:t>
      </w:r>
      <w:r w:rsidRPr="005771BD">
        <w:rPr>
          <w:rFonts w:eastAsia="Cambria" w:cs="Arial"/>
          <w:szCs w:val="20"/>
          <w:lang w:val="sl-SI"/>
        </w:rPr>
        <w:t xml:space="preserve">-ekonomski razvoj, tla in površje, turizem, vode, zdravje ljudi in ekosistemov ter zrak. Kazalci okolja kažejo smer razvoja okolja v Sloveniji glede na cilje okoljske politike. So uporabna </w:t>
      </w:r>
      <w:r>
        <w:rPr>
          <w:rFonts w:eastAsia="Cambria" w:cs="Arial"/>
          <w:szCs w:val="20"/>
          <w:lang w:val="sl-SI"/>
        </w:rPr>
        <w:t>podlaga</w:t>
      </w:r>
      <w:r w:rsidRPr="005771BD">
        <w:rPr>
          <w:rFonts w:eastAsia="Cambria" w:cs="Arial"/>
          <w:szCs w:val="20"/>
          <w:lang w:val="sl-SI"/>
        </w:rPr>
        <w:t xml:space="preserve"> za oblikovanje ukrepov, dialog med nosilci odločitev, strokovnjaki, nevladnimi organizacijami, za mednarodno primerjavo </w:t>
      </w:r>
      <w:r>
        <w:rPr>
          <w:rFonts w:eastAsia="Cambria" w:cs="Arial"/>
          <w:szCs w:val="20"/>
          <w:lang w:val="sl-SI"/>
        </w:rPr>
        <w:t>in</w:t>
      </w:r>
      <w:r w:rsidRPr="005771BD">
        <w:rPr>
          <w:rFonts w:eastAsia="Cambria" w:cs="Arial"/>
          <w:szCs w:val="20"/>
          <w:lang w:val="sl-SI"/>
        </w:rPr>
        <w:t xml:space="preserve"> ozaveščanje javnosti. Povezani so v okoljsko</w:t>
      </w:r>
      <w:r>
        <w:rPr>
          <w:rFonts w:eastAsia="Cambria" w:cs="Arial"/>
          <w:szCs w:val="20"/>
          <w:lang w:val="sl-SI"/>
        </w:rPr>
        <w:t>-</w:t>
      </w:r>
      <w:r w:rsidRPr="005771BD">
        <w:rPr>
          <w:rFonts w:eastAsia="Cambria" w:cs="Arial"/>
          <w:szCs w:val="20"/>
          <w:lang w:val="sl-SI"/>
        </w:rPr>
        <w:t xml:space="preserve">informacijsko in opazovalno omrežje Eionet. </w:t>
      </w:r>
    </w:p>
    <w:p w:rsidR="00DF4CD9" w:rsidRPr="005771BD" w:rsidRDefault="00DF4CD9" w:rsidP="00DF4CD9">
      <w:pPr>
        <w:spacing w:line="276" w:lineRule="auto"/>
        <w:jc w:val="both"/>
        <w:rPr>
          <w:rFonts w:eastAsia="Cambria" w:cs="Arial"/>
          <w:szCs w:val="20"/>
          <w:lang w:val="sl-SI"/>
        </w:rPr>
      </w:pPr>
      <w:r w:rsidRPr="005771BD">
        <w:rPr>
          <w:rFonts w:eastAsia="Cambria" w:cs="Arial"/>
          <w:szCs w:val="20"/>
          <w:lang w:val="sl-SI"/>
        </w:rPr>
        <w:t xml:space="preserve">Povezava med prostorskimi in okoljskimi podatki je na voljo prek </w:t>
      </w:r>
      <w:r>
        <w:rPr>
          <w:rFonts w:eastAsia="Cambria" w:cs="Arial"/>
          <w:szCs w:val="20"/>
          <w:lang w:val="sl-SI"/>
        </w:rPr>
        <w:t>g</w:t>
      </w:r>
      <w:r w:rsidRPr="005771BD">
        <w:rPr>
          <w:rFonts w:eastAsia="Cambria" w:cs="Arial"/>
          <w:szCs w:val="20"/>
          <w:lang w:val="sl-SI"/>
        </w:rPr>
        <w:t xml:space="preserve">eoportala ARSO, ki omogoča enostaven dostop in prenos prostorskih podatkov z okoljskimi vsebinami. Geoportal </w:t>
      </w:r>
      <w:r>
        <w:rPr>
          <w:rFonts w:eastAsia="Cambria" w:cs="Arial"/>
          <w:szCs w:val="20"/>
          <w:lang w:val="sl-SI"/>
        </w:rPr>
        <w:t xml:space="preserve">upošteva </w:t>
      </w:r>
      <w:r w:rsidRPr="005771BD">
        <w:rPr>
          <w:rFonts w:eastAsia="Cambria" w:cs="Arial"/>
          <w:szCs w:val="20"/>
          <w:lang w:val="sl-SI"/>
        </w:rPr>
        <w:t>smernic</w:t>
      </w:r>
      <w:r>
        <w:rPr>
          <w:rFonts w:eastAsia="Cambria" w:cs="Arial"/>
          <w:szCs w:val="20"/>
          <w:lang w:val="sl-SI"/>
        </w:rPr>
        <w:t>e</w:t>
      </w:r>
      <w:r w:rsidRPr="005771BD">
        <w:rPr>
          <w:rFonts w:eastAsia="Cambria" w:cs="Arial"/>
          <w:szCs w:val="20"/>
          <w:lang w:val="sl-SI"/>
        </w:rPr>
        <w:t xml:space="preserve"> direktive INSPIRE in ga sestavljajo:</w:t>
      </w:r>
    </w:p>
    <w:p w:rsidR="00DF4CD9" w:rsidRPr="005771BD" w:rsidRDefault="00DF4CD9" w:rsidP="00DF4CD9">
      <w:pPr>
        <w:numPr>
          <w:ilvl w:val="0"/>
          <w:numId w:val="70"/>
        </w:numPr>
        <w:spacing w:before="60" w:line="276" w:lineRule="auto"/>
        <w:ind w:left="284" w:hanging="284"/>
        <w:jc w:val="both"/>
        <w:rPr>
          <w:rFonts w:eastAsia="Cambria" w:cs="Arial"/>
          <w:szCs w:val="20"/>
          <w:lang w:val="sl-SI"/>
        </w:rPr>
      </w:pPr>
      <w:r>
        <w:rPr>
          <w:rFonts w:eastAsia="Cambria" w:cs="Arial"/>
          <w:szCs w:val="20"/>
          <w:lang w:val="sl-SI"/>
        </w:rPr>
        <w:t>a</w:t>
      </w:r>
      <w:r w:rsidRPr="005771BD">
        <w:rPr>
          <w:rFonts w:eastAsia="Cambria" w:cs="Arial"/>
          <w:szCs w:val="20"/>
          <w:lang w:val="sl-SI"/>
        </w:rPr>
        <w:t xml:space="preserve">tlas okolja, ki omogoča vpogled in poizvedbe glede prostorskih podatkov, </w:t>
      </w:r>
    </w:p>
    <w:p w:rsidR="00DF4CD9" w:rsidRPr="005771BD" w:rsidRDefault="00DF4CD9" w:rsidP="00DF4CD9">
      <w:pPr>
        <w:numPr>
          <w:ilvl w:val="0"/>
          <w:numId w:val="70"/>
        </w:numPr>
        <w:spacing w:before="60" w:line="276" w:lineRule="auto"/>
        <w:ind w:left="284" w:hanging="284"/>
        <w:jc w:val="both"/>
        <w:rPr>
          <w:rFonts w:eastAsia="Cambria" w:cs="Arial"/>
          <w:szCs w:val="20"/>
          <w:lang w:val="sl-SI"/>
        </w:rPr>
      </w:pPr>
      <w:r w:rsidRPr="005771BD">
        <w:rPr>
          <w:rFonts w:eastAsia="Cambria" w:cs="Arial"/>
          <w:szCs w:val="20"/>
          <w:lang w:val="sl-SI"/>
        </w:rPr>
        <w:t>metapodatkovni portal, ki omogoča brskanje po metapodatkih okoljskih prostorskih podatkov, dodane ima povezave za vpogled</w:t>
      </w:r>
      <w:r>
        <w:rPr>
          <w:rFonts w:eastAsia="Cambria" w:cs="Arial"/>
          <w:szCs w:val="20"/>
          <w:lang w:val="sl-SI"/>
        </w:rPr>
        <w:t xml:space="preserve"> v zbirke podatkov</w:t>
      </w:r>
      <w:r w:rsidRPr="005771BD">
        <w:rPr>
          <w:rFonts w:eastAsia="Cambria" w:cs="Arial"/>
          <w:szCs w:val="20"/>
          <w:lang w:val="sl-SI"/>
        </w:rPr>
        <w:t xml:space="preserve"> in </w:t>
      </w:r>
      <w:r>
        <w:rPr>
          <w:rFonts w:eastAsia="Cambria" w:cs="Arial"/>
          <w:szCs w:val="20"/>
          <w:lang w:val="sl-SI"/>
        </w:rPr>
        <w:t xml:space="preserve">njihov </w:t>
      </w:r>
      <w:r w:rsidRPr="005771BD">
        <w:rPr>
          <w:rFonts w:eastAsia="Cambria" w:cs="Arial"/>
          <w:szCs w:val="20"/>
          <w:lang w:val="sl-SI"/>
        </w:rPr>
        <w:t xml:space="preserve">prenos, </w:t>
      </w:r>
    </w:p>
    <w:p w:rsidR="00DF4CD9" w:rsidRPr="005771BD" w:rsidRDefault="00DF4CD9" w:rsidP="00DF4CD9">
      <w:pPr>
        <w:numPr>
          <w:ilvl w:val="0"/>
          <w:numId w:val="70"/>
        </w:numPr>
        <w:spacing w:before="60" w:after="200" w:line="276" w:lineRule="auto"/>
        <w:ind w:left="284" w:hanging="284"/>
        <w:jc w:val="both"/>
        <w:rPr>
          <w:rFonts w:eastAsia="Cambria" w:cs="Arial"/>
          <w:szCs w:val="20"/>
          <w:lang w:val="sl-SI"/>
        </w:rPr>
      </w:pPr>
      <w:r w:rsidRPr="005771BD">
        <w:rPr>
          <w:rFonts w:eastAsia="Cambria" w:cs="Arial"/>
          <w:szCs w:val="20"/>
          <w:lang w:val="sl-SI"/>
        </w:rPr>
        <w:t>spletna objektna storitev (WFS) uporabnikom omogoča enostaven prenos okoljskih prostorskih podatkov za nadaljnjo obdelavo.</w:t>
      </w:r>
    </w:p>
    <w:p w:rsidR="00DF4CD9" w:rsidRPr="005771BD" w:rsidRDefault="00DF4CD9" w:rsidP="00DF4CD9">
      <w:pPr>
        <w:spacing w:after="200" w:line="276" w:lineRule="auto"/>
        <w:jc w:val="both"/>
        <w:rPr>
          <w:rFonts w:eastAsia="Cambria" w:cs="Arial"/>
          <w:szCs w:val="20"/>
          <w:lang w:val="sl-SI"/>
        </w:rPr>
      </w:pPr>
      <w:r w:rsidRPr="005771BD">
        <w:rPr>
          <w:rFonts w:eastAsia="Cambria" w:cs="Arial"/>
          <w:bCs/>
          <w:szCs w:val="20"/>
          <w:lang w:val="sl-SI"/>
        </w:rPr>
        <w:t>Dostop do podatkov s področja upravljanja voda</w:t>
      </w:r>
      <w:r w:rsidRPr="005771BD">
        <w:rPr>
          <w:rFonts w:eastAsia="Cambria" w:cs="Arial"/>
          <w:szCs w:val="20"/>
          <w:lang w:val="sl-SI"/>
        </w:rPr>
        <w:t xml:space="preserve"> omogoča nedavno vzpostavljena spletna platforma eVode </w:t>
      </w:r>
      <w:r>
        <w:rPr>
          <w:rFonts w:eastAsia="Cambria" w:cs="Arial"/>
          <w:szCs w:val="20"/>
          <w:lang w:val="sl-SI"/>
        </w:rPr>
        <w:t>–</w:t>
      </w:r>
      <w:r w:rsidRPr="005771BD">
        <w:rPr>
          <w:rFonts w:eastAsia="Cambria" w:cs="Arial"/>
          <w:szCs w:val="20"/>
          <w:lang w:val="sl-SI"/>
        </w:rPr>
        <w:t xml:space="preserve"> informacijska podpora za učinkovitejše upravljanje</w:t>
      </w:r>
      <w:r>
        <w:rPr>
          <w:rFonts w:eastAsia="Cambria" w:cs="Arial"/>
          <w:szCs w:val="20"/>
          <w:lang w:val="sl-SI"/>
        </w:rPr>
        <w:t xml:space="preserve"> </w:t>
      </w:r>
      <w:r w:rsidRPr="005771BD">
        <w:rPr>
          <w:rFonts w:eastAsia="Cambria" w:cs="Arial"/>
          <w:szCs w:val="20"/>
          <w:lang w:val="sl-SI"/>
        </w:rPr>
        <w:t xml:space="preserve">voda. </w:t>
      </w:r>
    </w:p>
    <w:p w:rsidR="00DF4CD9" w:rsidRPr="005771BD" w:rsidRDefault="00DF4CD9" w:rsidP="00DF4CD9">
      <w:pPr>
        <w:spacing w:after="200" w:line="276" w:lineRule="auto"/>
        <w:jc w:val="both"/>
        <w:rPr>
          <w:rFonts w:eastAsia="Cambria" w:cs="Arial"/>
          <w:szCs w:val="20"/>
          <w:lang w:val="sl-SI"/>
        </w:rPr>
      </w:pPr>
      <w:r w:rsidRPr="005771BD">
        <w:rPr>
          <w:rFonts w:eastAsia="Cambria" w:cs="Arial"/>
          <w:szCs w:val="20"/>
          <w:lang w:val="sl-SI"/>
        </w:rPr>
        <w:t>MOP in ARSO o okolju obveščata tudi z občasnimi publikacijami</w:t>
      </w:r>
      <w:r>
        <w:rPr>
          <w:rFonts w:eastAsia="Cambria" w:cs="Arial"/>
          <w:szCs w:val="20"/>
          <w:lang w:val="sl-SI"/>
        </w:rPr>
        <w:t>,</w:t>
      </w:r>
      <w:r w:rsidRPr="005771BD">
        <w:rPr>
          <w:rFonts w:eastAsia="Cambria" w:cs="Arial"/>
          <w:szCs w:val="20"/>
          <w:lang w:val="sl-SI"/>
        </w:rPr>
        <w:t xml:space="preserve"> kot so : Kazalci okolja (ARSO), zgibanka Dan podnebnih sprememb (ARSO), Vzemite manj, imejte več, Zbirka namigov za neškodljivo življenje,</w:t>
      </w:r>
      <w:r w:rsidRPr="005771BD">
        <w:rPr>
          <w:rFonts w:eastAsia="Cambria" w:cs="Arial"/>
          <w:bCs/>
          <w:szCs w:val="20"/>
          <w:lang w:val="sl-SI"/>
        </w:rPr>
        <w:t xml:space="preserve"> </w:t>
      </w:r>
      <w:r w:rsidRPr="005771BD">
        <w:rPr>
          <w:rFonts w:eastAsia="Cambria" w:cs="Arial"/>
          <w:i/>
          <w:iCs/>
          <w:szCs w:val="20"/>
          <w:lang w:val="sl-SI"/>
        </w:rPr>
        <w:t>Vodik vodi</w:t>
      </w:r>
      <w:r w:rsidRPr="005771BD">
        <w:rPr>
          <w:rFonts w:eastAsia="Cambria" w:cs="Arial"/>
          <w:szCs w:val="20"/>
          <w:lang w:val="sl-SI"/>
        </w:rPr>
        <w:t xml:space="preserve"> v čisto </w:t>
      </w:r>
      <w:r w:rsidRPr="005771BD">
        <w:rPr>
          <w:rFonts w:eastAsia="Cambria" w:cs="Arial"/>
          <w:i/>
          <w:iCs/>
          <w:szCs w:val="20"/>
          <w:lang w:val="sl-SI"/>
        </w:rPr>
        <w:t>energetsko prihodnost</w:t>
      </w:r>
      <w:r w:rsidRPr="005771BD">
        <w:rPr>
          <w:rFonts w:eastAsia="Cambria" w:cs="Arial"/>
          <w:szCs w:val="20"/>
          <w:lang w:val="sl-SI"/>
        </w:rPr>
        <w:t xml:space="preserve"> (MOP), Okolje na dlani </w:t>
      </w:r>
      <w:r>
        <w:rPr>
          <w:rFonts w:eastAsia="Cambria" w:cs="Arial"/>
          <w:szCs w:val="20"/>
          <w:lang w:val="sl-SI"/>
        </w:rPr>
        <w:t>– k</w:t>
      </w:r>
      <w:r w:rsidRPr="005771BD">
        <w:rPr>
          <w:rFonts w:eastAsia="Cambria" w:cs="Arial"/>
          <w:szCs w:val="20"/>
          <w:lang w:val="sl-SI"/>
        </w:rPr>
        <w:t>orak naprej v ravnanju z okoljem, Kam s tastarim?, Imate moč. Pokažite še modrost. ARSO izdaja redni mesečni bilten s podatki s področja meteorologije, agrometeorologije, hidrologije, onesnaženosti zraka in kakovosti vodotokov ter podzemnih voda.</w:t>
      </w:r>
    </w:p>
    <w:p w:rsidR="00DF4CD9" w:rsidRPr="005771BD" w:rsidRDefault="00DF4CD9" w:rsidP="00DF4CD9">
      <w:pPr>
        <w:spacing w:line="276" w:lineRule="auto"/>
        <w:jc w:val="both"/>
        <w:rPr>
          <w:rFonts w:eastAsiaTheme="majorEastAsia" w:cs="Arial"/>
          <w:b/>
          <w:bCs/>
          <w:iCs/>
          <w:szCs w:val="20"/>
          <w:u w:val="single"/>
          <w:lang w:val="sl-SI" w:eastAsia="de-DE"/>
        </w:rPr>
      </w:pPr>
      <w:bookmarkStart w:id="51" w:name="_Toc451859325"/>
    </w:p>
    <w:p w:rsidR="00DF4CD9" w:rsidRPr="005771BD" w:rsidRDefault="00DF4CD9" w:rsidP="00DF4CD9">
      <w:pPr>
        <w:spacing w:after="200" w:line="276" w:lineRule="auto"/>
        <w:jc w:val="both"/>
        <w:rPr>
          <w:rFonts w:eastAsiaTheme="majorEastAsia" w:cs="Arial"/>
          <w:b/>
          <w:bCs/>
          <w:iCs/>
          <w:szCs w:val="20"/>
          <w:u w:val="single"/>
          <w:lang w:val="sl-SI" w:eastAsia="de-DE"/>
        </w:rPr>
      </w:pPr>
      <w:r w:rsidRPr="005771BD">
        <w:rPr>
          <w:rFonts w:eastAsiaTheme="majorEastAsia" w:cs="Arial"/>
          <w:b/>
          <w:bCs/>
          <w:iCs/>
          <w:szCs w:val="20"/>
          <w:u w:val="single"/>
          <w:lang w:val="sl-SI" w:eastAsia="de-DE"/>
        </w:rPr>
        <w:t>1</w:t>
      </w:r>
      <w:r w:rsidR="001A509D">
        <w:rPr>
          <w:rFonts w:eastAsiaTheme="majorEastAsia" w:cs="Arial"/>
          <w:b/>
          <w:bCs/>
          <w:iCs/>
          <w:szCs w:val="20"/>
          <w:u w:val="single"/>
          <w:lang w:val="sl-SI" w:eastAsia="de-DE"/>
        </w:rPr>
        <w:t>5</w:t>
      </w:r>
      <w:r w:rsidRPr="005771BD">
        <w:rPr>
          <w:rFonts w:eastAsiaTheme="majorEastAsia" w:cs="Arial"/>
          <w:b/>
          <w:bCs/>
          <w:iCs/>
          <w:szCs w:val="20"/>
          <w:u w:val="single"/>
          <w:lang w:val="sl-SI" w:eastAsia="de-DE"/>
        </w:rPr>
        <w:t xml:space="preserve">.5 Dobre prakse vzgoje, izobraževanja in ozaveščanja različnih izvajalcev </w:t>
      </w:r>
    </w:p>
    <w:p w:rsidR="00DF4CD9" w:rsidRPr="005771BD" w:rsidRDefault="00DF4CD9" w:rsidP="00DF4CD9">
      <w:pPr>
        <w:widowControl w:val="0"/>
        <w:suppressAutoHyphens/>
        <w:spacing w:after="200" w:line="276" w:lineRule="auto"/>
        <w:jc w:val="both"/>
        <w:rPr>
          <w:rFonts w:eastAsia="Cambria" w:cs="Arial"/>
          <w:szCs w:val="20"/>
          <w:lang w:val="sl-SI"/>
        </w:rPr>
      </w:pPr>
      <w:r w:rsidRPr="005771BD">
        <w:rPr>
          <w:rFonts w:eastAsia="Cambria" w:cs="Arial"/>
          <w:szCs w:val="20"/>
          <w:lang w:val="sl-SI"/>
        </w:rPr>
        <w:t>V zadnjem desetletju se povečuje število nosilcev, ki izvajajo</w:t>
      </w:r>
      <w:r w:rsidRPr="005771BD">
        <w:rPr>
          <w:rFonts w:eastAsia="Cambria" w:cs="Arial"/>
          <w:b/>
          <w:szCs w:val="20"/>
          <w:lang w:val="sl-SI"/>
        </w:rPr>
        <w:t xml:space="preserve"> </w:t>
      </w:r>
      <w:r w:rsidRPr="005771BD">
        <w:rPr>
          <w:rFonts w:eastAsia="Cambria" w:cs="Arial"/>
          <w:szCs w:val="20"/>
          <w:lang w:val="sl-SI"/>
        </w:rPr>
        <w:t xml:space="preserve">projekte in akcije vzgoje in izobraževanja, usposabljanja in ozaveščanja. </w:t>
      </w:r>
    </w:p>
    <w:p w:rsidR="00DF4CD9" w:rsidRPr="005771BD" w:rsidRDefault="00DF4CD9" w:rsidP="00DF4CD9">
      <w:pPr>
        <w:widowControl w:val="0"/>
        <w:suppressAutoHyphens/>
        <w:spacing w:after="200" w:line="276" w:lineRule="auto"/>
        <w:jc w:val="both"/>
        <w:rPr>
          <w:rFonts w:eastAsia="Cambria" w:cs="Arial"/>
          <w:szCs w:val="20"/>
          <w:lang w:val="sl-SI"/>
        </w:rPr>
      </w:pPr>
      <w:r w:rsidRPr="005771BD">
        <w:rPr>
          <w:rFonts w:eastAsia="Cambria" w:cs="Arial"/>
          <w:szCs w:val="20"/>
          <w:lang w:val="sl-SI"/>
        </w:rPr>
        <w:t xml:space="preserve">Del teh projektov se izvaja v vrtcih, osnovnih in srednjih šolah ter drugih vzgojnoizobraževalnih zavodih. Vzpostavilo se je več šolskih mrež (npr. </w:t>
      </w:r>
      <w:r>
        <w:rPr>
          <w:rFonts w:eastAsia="Cambria" w:cs="Arial"/>
          <w:bCs/>
          <w:szCs w:val="20"/>
          <w:lang w:val="sl-SI"/>
        </w:rPr>
        <w:t>m</w:t>
      </w:r>
      <w:r w:rsidRPr="005771BD">
        <w:rPr>
          <w:rFonts w:eastAsia="Cambria" w:cs="Arial"/>
          <w:bCs/>
          <w:szCs w:val="20"/>
          <w:lang w:val="sl-SI"/>
        </w:rPr>
        <w:t>reža šolskih ekovrtov, program Inštituta za trajnostni razvoj)</w:t>
      </w:r>
      <w:r w:rsidRPr="005771BD">
        <w:rPr>
          <w:rFonts w:eastAsia="Cambria" w:cs="Arial"/>
          <w:szCs w:val="20"/>
          <w:lang w:val="sl-SI"/>
        </w:rPr>
        <w:t xml:space="preserve">, nastala so številna gradiva (mnogokrat premalo </w:t>
      </w:r>
      <w:r>
        <w:rPr>
          <w:rFonts w:eastAsia="Cambria" w:cs="Arial"/>
          <w:szCs w:val="20"/>
          <w:lang w:val="sl-SI"/>
        </w:rPr>
        <w:t>upoštevana</w:t>
      </w:r>
      <w:r w:rsidRPr="005771BD">
        <w:rPr>
          <w:rFonts w:eastAsia="Cambria" w:cs="Arial"/>
          <w:szCs w:val="20"/>
          <w:lang w:val="sl-SI"/>
        </w:rPr>
        <w:t xml:space="preserve">, še zlasti po zaključku projektov), vzpostavljeni so spletni portali o okolju in trajnostnem razvoju, </w:t>
      </w:r>
      <w:r>
        <w:rPr>
          <w:rFonts w:eastAsia="Cambria" w:cs="Arial"/>
          <w:szCs w:val="20"/>
          <w:lang w:val="sl-SI"/>
        </w:rPr>
        <w:t>vz</w:t>
      </w:r>
      <w:r w:rsidRPr="005771BD">
        <w:rPr>
          <w:rFonts w:eastAsia="Cambria" w:cs="Arial"/>
          <w:szCs w:val="20"/>
          <w:lang w:val="sl-SI"/>
        </w:rPr>
        <w:t xml:space="preserve">postavljena je bila trajnostna infrastruktura, usposabljali so se učitelji in drugi deležniki. </w:t>
      </w:r>
    </w:p>
    <w:p w:rsidR="00DF4CD9" w:rsidRPr="005771BD" w:rsidRDefault="00DF4CD9" w:rsidP="00DF4CD9">
      <w:pPr>
        <w:widowControl w:val="0"/>
        <w:suppressAutoHyphens/>
        <w:spacing w:after="200" w:line="276" w:lineRule="auto"/>
        <w:jc w:val="both"/>
        <w:rPr>
          <w:rFonts w:eastAsia="Cambria" w:cs="Arial"/>
          <w:strike/>
          <w:szCs w:val="20"/>
          <w:lang w:val="sl-SI"/>
        </w:rPr>
      </w:pPr>
      <w:r w:rsidRPr="005771BD">
        <w:rPr>
          <w:rFonts w:eastAsia="Cambria" w:cs="Arial"/>
          <w:szCs w:val="20"/>
          <w:lang w:val="sl-SI"/>
        </w:rPr>
        <w:t xml:space="preserve">Med izvajalci so okoljske in druge nevladne organizacije, energetska podjetja in lokalne energetske agencije, gospodarski subjekti, različne agencije in zavodi, lokalne skupnosti, nosilci s področja umetnosti in drugi. Sredstva za te projekte so iz različnih virov, od zasebnih in lokalnih do </w:t>
      </w:r>
      <w:r>
        <w:rPr>
          <w:rFonts w:eastAsia="Cambria" w:cs="Arial"/>
          <w:szCs w:val="20"/>
          <w:lang w:val="sl-SI"/>
        </w:rPr>
        <w:t>državnih</w:t>
      </w:r>
      <w:r w:rsidRPr="005771BD">
        <w:rPr>
          <w:rFonts w:eastAsia="Cambria" w:cs="Arial"/>
          <w:szCs w:val="20"/>
          <w:lang w:val="sl-SI"/>
        </w:rPr>
        <w:t xml:space="preserve">, evropskih in mednarodnih. V nadaljevanju lahko prikažemo le del te bogate zakladnice </w:t>
      </w:r>
      <w:r>
        <w:rPr>
          <w:rFonts w:eastAsia="Cambria" w:cs="Arial"/>
          <w:szCs w:val="20"/>
          <w:lang w:val="sl-SI"/>
        </w:rPr>
        <w:t>možnosti</w:t>
      </w:r>
      <w:r w:rsidRPr="005771BD">
        <w:rPr>
          <w:rFonts w:eastAsia="Cambria" w:cs="Arial"/>
          <w:szCs w:val="20"/>
          <w:lang w:val="sl-SI"/>
        </w:rPr>
        <w:t xml:space="preserve"> za trajnostni razvoj. </w:t>
      </w:r>
    </w:p>
    <w:p w:rsidR="00DF4CD9" w:rsidRPr="005771BD" w:rsidRDefault="00DF4CD9" w:rsidP="00DF4CD9">
      <w:pPr>
        <w:spacing w:after="200" w:line="276" w:lineRule="auto"/>
        <w:jc w:val="both"/>
        <w:rPr>
          <w:rFonts w:cs="Arial"/>
          <w:szCs w:val="20"/>
          <w:u w:val="single"/>
          <w:lang w:val="sl-SI" w:eastAsia="en-GB"/>
        </w:rPr>
      </w:pPr>
      <w:r w:rsidRPr="005771BD">
        <w:rPr>
          <w:rFonts w:cs="Arial"/>
          <w:bCs/>
          <w:szCs w:val="20"/>
          <w:lang w:val="sl-SI" w:eastAsia="en-GB"/>
        </w:rPr>
        <w:t xml:space="preserve">Med programi, ki temeljijo na ciljih dokumentov o okoljski vzgoji ter vzgoji in izobraževanju za trajnostni razvoj, je v Sloveniji najbolj uveljavljen </w:t>
      </w:r>
      <w:r>
        <w:rPr>
          <w:rFonts w:cs="Arial"/>
          <w:b/>
          <w:bCs/>
          <w:szCs w:val="20"/>
          <w:lang w:val="sl-SI" w:eastAsia="en-GB"/>
        </w:rPr>
        <w:t>p</w:t>
      </w:r>
      <w:r w:rsidRPr="005771BD">
        <w:rPr>
          <w:rFonts w:cs="Arial"/>
          <w:b/>
          <w:bCs/>
          <w:szCs w:val="20"/>
          <w:lang w:val="sl-SI" w:eastAsia="en-GB"/>
        </w:rPr>
        <w:t xml:space="preserve">rogram </w:t>
      </w:r>
      <w:r>
        <w:rPr>
          <w:rFonts w:cs="Arial"/>
          <w:b/>
          <w:bCs/>
          <w:szCs w:val="20"/>
          <w:lang w:val="sl-SI" w:eastAsia="en-GB"/>
        </w:rPr>
        <w:t>e</w:t>
      </w:r>
      <w:r w:rsidRPr="005771BD">
        <w:rPr>
          <w:rFonts w:cs="Arial"/>
          <w:b/>
          <w:bCs/>
          <w:szCs w:val="20"/>
          <w:lang w:val="sl-SI" w:eastAsia="en-GB"/>
        </w:rPr>
        <w:t>košola</w:t>
      </w:r>
      <w:r w:rsidRPr="005771BD">
        <w:rPr>
          <w:rFonts w:eastAsia="Arial Unicode MS" w:cs="Arial"/>
          <w:bCs/>
          <w:szCs w:val="20"/>
          <w:vertAlign w:val="superscript"/>
          <w:lang w:val="sl-SI" w:eastAsia="en-GB"/>
        </w:rPr>
        <w:footnoteReference w:id="65"/>
      </w:r>
      <w:r w:rsidRPr="005771BD">
        <w:rPr>
          <w:rFonts w:cs="Arial"/>
          <w:bCs/>
          <w:szCs w:val="20"/>
          <w:lang w:val="sl-SI" w:eastAsia="en-GB"/>
        </w:rPr>
        <w:t xml:space="preserve">, ki ga koordinira </w:t>
      </w:r>
      <w:r>
        <w:rPr>
          <w:rFonts w:cs="Arial"/>
          <w:bCs/>
          <w:szCs w:val="20"/>
          <w:lang w:val="sl-SI" w:eastAsia="en-GB"/>
        </w:rPr>
        <w:t>d</w:t>
      </w:r>
      <w:r w:rsidRPr="005771BD">
        <w:rPr>
          <w:rFonts w:cs="Arial"/>
          <w:bCs/>
          <w:szCs w:val="20"/>
          <w:lang w:val="sl-SI" w:eastAsia="en-GB"/>
        </w:rPr>
        <w:t xml:space="preserve">ruštvo Doves. Program deluje od leta 1995 tudi ob podpori Evropske komisije in Organizacije združenih narodov. Prizadeva si za načrtno pospeševanje okoljskega izobraževanja in ozaveščanje mladih, predvsem o pomenu varovanja okolja in zdravja ljudi. Ekošole so v vseh letih delovanja izjemno prispevale k okoljski ozaveščenosti prebivalstva in predvsem mladih, Slovenijo pa mnogi uvrščajo v vrh mednarodnega programa. Tako je bilo v šolskem letu 2010/11 </w:t>
      </w:r>
      <w:r>
        <w:rPr>
          <w:rFonts w:cs="Arial"/>
          <w:bCs/>
          <w:szCs w:val="20"/>
          <w:lang w:val="sl-SI" w:eastAsia="en-GB"/>
        </w:rPr>
        <w:t>prijavljenih</w:t>
      </w:r>
      <w:r w:rsidRPr="005771BD">
        <w:rPr>
          <w:rFonts w:cs="Arial"/>
          <w:bCs/>
          <w:szCs w:val="20"/>
          <w:lang w:val="sl-SI" w:eastAsia="en-GB"/>
        </w:rPr>
        <w:t xml:space="preserve"> 628 ekošol, od katerih jih je bilo 423 nagrajenih z ekozastavo (to pomeni, da so izpeljale zastavljeni okoljski program), med njimi</w:t>
      </w:r>
      <w:r>
        <w:rPr>
          <w:rFonts w:cs="Arial"/>
          <w:bCs/>
          <w:szCs w:val="20"/>
          <w:lang w:val="sl-SI" w:eastAsia="en-GB"/>
        </w:rPr>
        <w:t xml:space="preserve"> je bilo</w:t>
      </w:r>
      <w:r w:rsidRPr="005771BD">
        <w:rPr>
          <w:rFonts w:cs="Arial"/>
          <w:bCs/>
          <w:szCs w:val="20"/>
          <w:lang w:val="sl-SI" w:eastAsia="en-GB"/>
        </w:rPr>
        <w:t xml:space="preserve"> nekaj deset srednjih šol. V šolskem letu 2015/16 je bilo vključenih že 712 ustanov (35 % šol in vrtcev v Sloveniji). V okoljskih projektih ekošol je sodelovalo več kot 132.000 slovenskih otrok in 15.950 vzgojiteljev in učiteljev (ekokoordinatorjev ali vodij projektov).</w:t>
      </w:r>
    </w:p>
    <w:p w:rsidR="00DF4CD9" w:rsidRPr="005771BD" w:rsidRDefault="00DF4CD9" w:rsidP="00DF4CD9">
      <w:pPr>
        <w:spacing w:after="200" w:line="276" w:lineRule="auto"/>
        <w:jc w:val="both"/>
        <w:rPr>
          <w:rFonts w:eastAsia="Cambria" w:cs="Arial"/>
          <w:szCs w:val="20"/>
          <w:lang w:val="sl-SI"/>
        </w:rPr>
      </w:pPr>
      <w:r w:rsidRPr="005771BD">
        <w:rPr>
          <w:rFonts w:eastAsia="Cambria" w:cs="Arial"/>
          <w:szCs w:val="20"/>
          <w:lang w:val="sl-SI"/>
        </w:rPr>
        <w:t xml:space="preserve">V okviru projekta čezmejnega sodelovanja Slovenija – Avstrija </w:t>
      </w:r>
      <w:hyperlink r:id="rId298" w:history="1">
        <w:r w:rsidRPr="005771BD">
          <w:rPr>
            <w:rFonts w:eastAsia="Cambria" w:cs="Arial"/>
            <w:b/>
            <w:szCs w:val="20"/>
            <w:u w:val="single"/>
            <w:lang w:val="sl-SI"/>
          </w:rPr>
          <w:t>»</w:t>
        </w:r>
        <w:r>
          <w:rPr>
            <w:rFonts w:eastAsia="Cambria" w:cs="Arial"/>
            <w:b/>
            <w:szCs w:val="20"/>
            <w:u w:val="single"/>
            <w:lang w:val="sl-SI"/>
          </w:rPr>
          <w:t>h</w:t>
        </w:r>
        <w:r w:rsidRPr="005771BD">
          <w:rPr>
            <w:rFonts w:eastAsia="Cambria" w:cs="Arial"/>
            <w:b/>
            <w:szCs w:val="20"/>
            <w:u w:val="single"/>
            <w:lang w:val="sl-SI"/>
          </w:rPr>
          <w:t>ealth-Care</w:t>
        </w:r>
        <w:r>
          <w:rPr>
            <w:rFonts w:eastAsia="Cambria" w:cs="Arial"/>
            <w:b/>
            <w:szCs w:val="20"/>
            <w:u w:val="single"/>
            <w:lang w:val="sl-SI"/>
          </w:rPr>
          <w:t xml:space="preserve"> –</w:t>
        </w:r>
        <w:r w:rsidRPr="005771BD">
          <w:rPr>
            <w:rFonts w:eastAsia="Cambria" w:cs="Arial"/>
            <w:b/>
            <w:szCs w:val="20"/>
            <w:u w:val="single"/>
            <w:lang w:val="sl-SI"/>
          </w:rPr>
          <w:t xml:space="preserve"> zavedanje o trajnostni prehrani«</w:t>
        </w:r>
      </w:hyperlink>
      <w:r w:rsidRPr="005771BD">
        <w:rPr>
          <w:rFonts w:eastAsia="Cambria" w:cs="Arial"/>
          <w:szCs w:val="20"/>
          <w:lang w:val="sl-SI"/>
        </w:rPr>
        <w:t xml:space="preserve"> so bili leta 2014 izdelani štirje izobraževalni moduli, ki jih lahko pedagogi neposredno ali s prilagoditvami na različnih ravneh vključijo v izobraževalne vsebine. Glavni namen projekta je bil seznaniti zlasti mlajšo populacijo o pomenu in kakovosti ekološko pridelane hrane, ji</w:t>
      </w:r>
      <w:r>
        <w:rPr>
          <w:rFonts w:eastAsia="Cambria" w:cs="Arial"/>
          <w:szCs w:val="20"/>
          <w:lang w:val="sl-SI"/>
        </w:rPr>
        <w:t>h seznaniti s</w:t>
      </w:r>
      <w:r w:rsidRPr="005771BD">
        <w:rPr>
          <w:rFonts w:eastAsia="Cambria" w:cs="Arial"/>
          <w:szCs w:val="20"/>
          <w:lang w:val="sl-SI"/>
        </w:rPr>
        <w:t xml:space="preserve"> korist</w:t>
      </w:r>
      <w:r>
        <w:rPr>
          <w:rFonts w:eastAsia="Cambria" w:cs="Arial"/>
          <w:szCs w:val="20"/>
          <w:lang w:val="sl-SI"/>
        </w:rPr>
        <w:t>mi</w:t>
      </w:r>
      <w:r w:rsidRPr="005771BD">
        <w:rPr>
          <w:rFonts w:eastAsia="Cambria" w:cs="Arial"/>
          <w:szCs w:val="20"/>
          <w:lang w:val="sl-SI"/>
        </w:rPr>
        <w:t xml:space="preserve"> ekološkega kmetijstva tudi z vidika varovanja okolja in jih naučiti o pomenu trajnosti za našo skupno prihodnost ter o tem, kaj in kako lahko </w:t>
      </w:r>
      <w:r>
        <w:rPr>
          <w:rFonts w:eastAsia="Cambria" w:cs="Arial"/>
          <w:szCs w:val="20"/>
          <w:lang w:val="sl-SI"/>
        </w:rPr>
        <w:t xml:space="preserve">k </w:t>
      </w:r>
      <w:r w:rsidRPr="005771BD">
        <w:rPr>
          <w:rFonts w:eastAsia="Cambria" w:cs="Arial"/>
          <w:szCs w:val="20"/>
          <w:lang w:val="sl-SI"/>
        </w:rPr>
        <w:t xml:space="preserve">temu prispeva vsak posameznik. </w:t>
      </w:r>
    </w:p>
    <w:p w:rsidR="00DF4CD9" w:rsidRPr="005771BD" w:rsidRDefault="00DF4CD9" w:rsidP="00DF4CD9">
      <w:pPr>
        <w:spacing w:line="276" w:lineRule="auto"/>
        <w:jc w:val="both"/>
        <w:rPr>
          <w:rFonts w:eastAsia="Cambria" w:cs="Arial"/>
          <w:kern w:val="24"/>
          <w:szCs w:val="20"/>
          <w:lang w:val="sl-SI"/>
        </w:rPr>
      </w:pPr>
      <w:r w:rsidRPr="005771BD">
        <w:rPr>
          <w:rFonts w:eastAsia="Cambria" w:cs="Arial"/>
          <w:kern w:val="24"/>
          <w:szCs w:val="20"/>
          <w:lang w:val="sl-SI"/>
        </w:rPr>
        <w:t xml:space="preserve">Izdelana so bila </w:t>
      </w:r>
      <w:r w:rsidRPr="005771BD">
        <w:rPr>
          <w:rFonts w:eastAsia="Cambria" w:cs="Arial"/>
          <w:b/>
          <w:kern w:val="24"/>
          <w:szCs w:val="20"/>
          <w:lang w:val="sl-SI"/>
        </w:rPr>
        <w:t>didaktična (učna)</w:t>
      </w:r>
      <w:r w:rsidRPr="005771BD">
        <w:rPr>
          <w:rFonts w:eastAsia="Cambria" w:cs="Arial"/>
          <w:kern w:val="24"/>
          <w:szCs w:val="20"/>
          <w:lang w:val="sl-SI"/>
        </w:rPr>
        <w:t xml:space="preserve"> in ozaveščevalna gradiva za posamične ciljne skupine, med katerimi omenjamo:  </w:t>
      </w:r>
    </w:p>
    <w:p w:rsidR="00DF4CD9" w:rsidRPr="005771BD" w:rsidRDefault="00DF4CD9" w:rsidP="00DF4CD9">
      <w:pPr>
        <w:widowControl w:val="0"/>
        <w:numPr>
          <w:ilvl w:val="3"/>
          <w:numId w:val="71"/>
        </w:numPr>
        <w:suppressAutoHyphens/>
        <w:spacing w:before="60" w:line="276" w:lineRule="auto"/>
        <w:ind w:left="284" w:hanging="284"/>
        <w:jc w:val="both"/>
        <w:rPr>
          <w:rFonts w:eastAsia="Cambria" w:cs="Arial"/>
          <w:kern w:val="2"/>
          <w:szCs w:val="20"/>
          <w:lang w:val="sl-SI"/>
        </w:rPr>
      </w:pPr>
      <w:r w:rsidRPr="005771BD">
        <w:rPr>
          <w:rFonts w:eastAsia="Cambria" w:cs="Arial"/>
          <w:szCs w:val="20"/>
          <w:lang w:val="sl-SI"/>
        </w:rPr>
        <w:t xml:space="preserve">projekt Slovenske Karitas (v partnerstvu s Caritas Slovakia) </w:t>
      </w:r>
      <w:r w:rsidRPr="005771BD">
        <w:rPr>
          <w:rFonts w:eastAsia="Cambria" w:cs="Arial"/>
          <w:b/>
          <w:szCs w:val="20"/>
          <w:lang w:val="sl-SI"/>
        </w:rPr>
        <w:t>V smeri podnebne pravičnosti v državah v razvoju</w:t>
      </w:r>
      <w:r w:rsidRPr="005771BD">
        <w:rPr>
          <w:rFonts w:eastAsia="Cambria" w:cs="Arial"/>
          <w:b/>
          <w:bCs/>
          <w:szCs w:val="20"/>
          <w:lang w:val="sl-SI"/>
        </w:rPr>
        <w:t>, s poudarkom na podsaharski Afriki (2010</w:t>
      </w:r>
      <w:r>
        <w:rPr>
          <w:rFonts w:eastAsia="Cambria" w:cs="Arial"/>
          <w:b/>
          <w:bCs/>
          <w:szCs w:val="20"/>
          <w:lang w:val="sl-SI"/>
        </w:rPr>
        <w:t>–</w:t>
      </w:r>
      <w:r w:rsidRPr="005771BD">
        <w:rPr>
          <w:rFonts w:eastAsia="Cambria" w:cs="Arial"/>
          <w:b/>
          <w:bCs/>
          <w:szCs w:val="20"/>
          <w:lang w:val="sl-SI"/>
        </w:rPr>
        <w:t>2012),</w:t>
      </w:r>
    </w:p>
    <w:p w:rsidR="00DF4CD9" w:rsidRPr="005771BD" w:rsidRDefault="00DF4CD9" w:rsidP="00DF4CD9">
      <w:pPr>
        <w:widowControl w:val="0"/>
        <w:numPr>
          <w:ilvl w:val="3"/>
          <w:numId w:val="71"/>
        </w:numPr>
        <w:suppressAutoHyphens/>
        <w:spacing w:before="60" w:line="276" w:lineRule="auto"/>
        <w:ind w:left="284" w:hanging="284"/>
        <w:jc w:val="both"/>
        <w:rPr>
          <w:rFonts w:eastAsia="Cambria" w:cs="Arial"/>
          <w:szCs w:val="20"/>
          <w:lang w:val="sl-SI"/>
        </w:rPr>
      </w:pPr>
      <w:r w:rsidRPr="005771BD">
        <w:rPr>
          <w:rFonts w:eastAsia="Cambria" w:cs="Arial"/>
          <w:b/>
          <w:szCs w:val="20"/>
          <w:lang w:val="sl-SI"/>
        </w:rPr>
        <w:t>koledar prof. Gamsa o podnebnih spremembah</w:t>
      </w:r>
      <w:r w:rsidRPr="005771BD">
        <w:rPr>
          <w:rFonts w:eastAsia="Cambria" w:cs="Arial"/>
          <w:szCs w:val="20"/>
          <w:lang w:val="sl-SI"/>
        </w:rPr>
        <w:t xml:space="preserve"> in druge zgodbe, OŠ Brezovica pri Ljubljani in Slovenski E-forum, 2007,</w:t>
      </w:r>
    </w:p>
    <w:p w:rsidR="00DF4CD9" w:rsidRPr="005771BD" w:rsidRDefault="00DF4CD9" w:rsidP="00DF4CD9">
      <w:pPr>
        <w:widowControl w:val="0"/>
        <w:numPr>
          <w:ilvl w:val="3"/>
          <w:numId w:val="71"/>
        </w:numPr>
        <w:suppressAutoHyphens/>
        <w:spacing w:before="60" w:line="276" w:lineRule="auto"/>
        <w:ind w:left="284" w:hanging="284"/>
        <w:jc w:val="both"/>
        <w:rPr>
          <w:rFonts w:eastAsia="Cambria" w:cs="Arial"/>
          <w:b/>
          <w:szCs w:val="20"/>
          <w:lang w:val="sl-SI"/>
        </w:rPr>
      </w:pPr>
      <w:r w:rsidRPr="005771BD">
        <w:rPr>
          <w:rFonts w:eastAsia="Cambria" w:cs="Arial"/>
          <w:b/>
          <w:szCs w:val="20"/>
          <w:lang w:val="sl-SI"/>
        </w:rPr>
        <w:t>Uskladi interese</w:t>
      </w:r>
      <w:r w:rsidRPr="005771BD">
        <w:rPr>
          <w:rFonts w:eastAsia="Cambria" w:cs="Arial"/>
          <w:szCs w:val="20"/>
          <w:lang w:val="sl-SI"/>
        </w:rPr>
        <w:t xml:space="preserve">. Didaktična naravovarstvena igra, Zavoda RS za varstvo narave, junij 2010 (projekt NATREG), </w:t>
      </w:r>
    </w:p>
    <w:p w:rsidR="00DF4CD9" w:rsidRPr="005771BD" w:rsidRDefault="00DF4CD9" w:rsidP="00DF4CD9">
      <w:pPr>
        <w:widowControl w:val="0"/>
        <w:numPr>
          <w:ilvl w:val="3"/>
          <w:numId w:val="71"/>
        </w:numPr>
        <w:suppressAutoHyphens/>
        <w:spacing w:before="60" w:line="276" w:lineRule="auto"/>
        <w:ind w:left="284" w:hanging="284"/>
        <w:jc w:val="both"/>
        <w:rPr>
          <w:rFonts w:eastAsia="Cambria" w:cs="Arial"/>
          <w:b/>
          <w:szCs w:val="20"/>
          <w:lang w:val="sl-SI"/>
        </w:rPr>
      </w:pPr>
      <w:r w:rsidRPr="005771BD">
        <w:rPr>
          <w:rFonts w:eastAsia="Cambria" w:cs="Arial"/>
          <w:szCs w:val="20"/>
          <w:lang w:val="sl-SI"/>
        </w:rPr>
        <w:t>priročnik za mlade</w:t>
      </w:r>
      <w:r w:rsidRPr="005771BD">
        <w:rPr>
          <w:rFonts w:eastAsia="Cambria" w:cs="Arial"/>
          <w:b/>
          <w:szCs w:val="20"/>
          <w:lang w:val="sl-SI"/>
        </w:rPr>
        <w:t xml:space="preserve"> </w:t>
      </w:r>
      <w:r w:rsidRPr="005771BD">
        <w:rPr>
          <w:rFonts w:eastAsia="Cambria" w:cs="Arial"/>
          <w:szCs w:val="20"/>
          <w:lang w:val="sl-SI"/>
        </w:rPr>
        <w:t>o trajnostnem razvoju</w:t>
      </w:r>
      <w:r w:rsidRPr="005771BD">
        <w:rPr>
          <w:rFonts w:eastAsia="Cambria" w:cs="Arial"/>
          <w:b/>
          <w:szCs w:val="20"/>
          <w:lang w:val="sl-SI"/>
        </w:rPr>
        <w:t xml:space="preserve"> WTF is Sustainable Development</w:t>
      </w:r>
      <w:r w:rsidRPr="005771BD">
        <w:rPr>
          <w:rFonts w:eastAsia="Calibri" w:cs="Arial"/>
          <w:szCs w:val="20"/>
          <w:lang w:val="sl-SI"/>
        </w:rPr>
        <w:t xml:space="preserve"> (No Excuse Slovenia – Mladinska zveza Brez izgovora Slovenija, 2011),</w:t>
      </w:r>
    </w:p>
    <w:p w:rsidR="00DF4CD9" w:rsidRPr="005771BD" w:rsidRDefault="00DF4CD9" w:rsidP="00DF4CD9">
      <w:pPr>
        <w:widowControl w:val="0"/>
        <w:numPr>
          <w:ilvl w:val="3"/>
          <w:numId w:val="71"/>
        </w:numPr>
        <w:suppressAutoHyphens/>
        <w:spacing w:before="60" w:after="200" w:line="276" w:lineRule="auto"/>
        <w:ind w:left="284" w:hanging="284"/>
        <w:jc w:val="both"/>
        <w:rPr>
          <w:rFonts w:eastAsia="Cambria" w:cs="Arial"/>
          <w:szCs w:val="20"/>
          <w:lang w:val="sl-SI"/>
        </w:rPr>
      </w:pPr>
      <w:r w:rsidRPr="005771BD">
        <w:rPr>
          <w:rFonts w:cs="Arial"/>
          <w:bCs/>
          <w:szCs w:val="20"/>
          <w:lang w:val="sl-SI"/>
        </w:rPr>
        <w:t xml:space="preserve">gradiva o </w:t>
      </w:r>
      <w:r w:rsidRPr="005771BD">
        <w:rPr>
          <w:rFonts w:cs="Arial"/>
          <w:b/>
          <w:bCs/>
          <w:szCs w:val="20"/>
          <w:lang w:val="sl-SI"/>
        </w:rPr>
        <w:t>globalnem učenju</w:t>
      </w:r>
      <w:r w:rsidRPr="005771BD">
        <w:rPr>
          <w:rFonts w:cs="Arial"/>
          <w:bCs/>
          <w:szCs w:val="20"/>
          <w:lang w:val="sl-SI"/>
        </w:rPr>
        <w:t xml:space="preserve">, kot sta </w:t>
      </w:r>
      <w:r w:rsidRPr="005771BD">
        <w:rPr>
          <w:rFonts w:eastAsia="Cambria" w:cs="Arial"/>
          <w:szCs w:val="20"/>
          <w:lang w:val="sl-SI"/>
        </w:rPr>
        <w:t>Pri(po)ročnik za soočanje z globalnimi izzivi (</w:t>
      </w:r>
      <w:r>
        <w:rPr>
          <w:rFonts w:eastAsia="Cambria" w:cs="Arial"/>
          <w:szCs w:val="20"/>
          <w:lang w:val="sl-SI"/>
        </w:rPr>
        <w:t>p</w:t>
      </w:r>
      <w:r w:rsidRPr="005771BD">
        <w:rPr>
          <w:rFonts w:eastAsia="Cambria" w:cs="Arial"/>
          <w:szCs w:val="20"/>
          <w:lang w:val="sl-SI"/>
        </w:rPr>
        <w:t xml:space="preserve">ublikacija v okviru projekta TUDI JAZ. Društvo Focus, </w:t>
      </w:r>
      <w:r>
        <w:rPr>
          <w:rFonts w:eastAsia="Cambria" w:cs="Arial"/>
          <w:szCs w:val="20"/>
          <w:lang w:val="sl-SI"/>
        </w:rPr>
        <w:t>d</w:t>
      </w:r>
      <w:r w:rsidRPr="005771BD">
        <w:rPr>
          <w:rFonts w:eastAsia="Cambria" w:cs="Arial"/>
          <w:szCs w:val="20"/>
          <w:lang w:val="sl-SI"/>
        </w:rPr>
        <w:t xml:space="preserve">ruštvo Humanitas, </w:t>
      </w:r>
      <w:r>
        <w:rPr>
          <w:rFonts w:eastAsia="Cambria" w:cs="Arial"/>
          <w:szCs w:val="20"/>
          <w:lang w:val="sl-SI"/>
        </w:rPr>
        <w:t>d</w:t>
      </w:r>
      <w:r w:rsidRPr="005771BD">
        <w:rPr>
          <w:rFonts w:eastAsia="Cambria" w:cs="Arial"/>
          <w:szCs w:val="20"/>
          <w:lang w:val="sl-SI"/>
        </w:rPr>
        <w:t xml:space="preserve">ruštvo Afriški center, Ekvilib inštitut, </w:t>
      </w:r>
      <w:r>
        <w:rPr>
          <w:rFonts w:eastAsia="Cambria" w:cs="Arial"/>
          <w:szCs w:val="20"/>
          <w:lang w:val="sl-SI"/>
        </w:rPr>
        <w:t>s</w:t>
      </w:r>
      <w:r w:rsidRPr="005771BD">
        <w:rPr>
          <w:rFonts w:eastAsia="Cambria" w:cs="Arial"/>
          <w:szCs w:val="20"/>
          <w:lang w:val="sl-SI"/>
        </w:rPr>
        <w:t xml:space="preserve">tudio Poper, 2010) in </w:t>
      </w:r>
      <w:hyperlink r:id="rId299" w:history="1">
        <w:r w:rsidRPr="005771BD">
          <w:rPr>
            <w:rFonts w:eastAsia="Cambria" w:cs="Arial"/>
            <w:szCs w:val="20"/>
            <w:u w:val="single"/>
            <w:lang w:val="sl-SI"/>
          </w:rPr>
          <w:t>Uči se brati svet skozi oči drugega</w:t>
        </w:r>
      </w:hyperlink>
      <w:r w:rsidRPr="005771BD">
        <w:rPr>
          <w:rFonts w:eastAsia="Cambria" w:cs="Arial"/>
          <w:szCs w:val="20"/>
          <w:lang w:val="sl-SI"/>
        </w:rPr>
        <w:t xml:space="preserve"> (prevod priročnika Through Other Eyes avtoric Vanessa Andreotti and Lynn Mario T.</w:t>
      </w:r>
      <w:r>
        <w:rPr>
          <w:rFonts w:eastAsia="Cambria" w:cs="Arial"/>
          <w:szCs w:val="20"/>
          <w:lang w:val="sl-SI"/>
        </w:rPr>
        <w:t xml:space="preserve"> </w:t>
      </w:r>
      <w:r w:rsidRPr="005771BD">
        <w:rPr>
          <w:rFonts w:eastAsia="Cambria" w:cs="Arial"/>
          <w:szCs w:val="20"/>
          <w:lang w:val="sl-SI"/>
        </w:rPr>
        <w:t xml:space="preserve">M. de Souza, HUMANITAS, 2012). </w:t>
      </w:r>
    </w:p>
    <w:p w:rsidR="00DF4CD9" w:rsidRPr="005771BD" w:rsidRDefault="00DF4CD9" w:rsidP="00DF4CD9">
      <w:pPr>
        <w:widowControl w:val="0"/>
        <w:suppressAutoHyphens/>
        <w:spacing w:after="200" w:line="276" w:lineRule="auto"/>
        <w:jc w:val="both"/>
        <w:rPr>
          <w:rFonts w:eastAsia="Arial Unicode MS" w:cs="Arial"/>
          <w:b/>
          <w:kern w:val="2"/>
          <w:szCs w:val="20"/>
          <w:lang w:val="sl-SI" w:eastAsia="sl-SI"/>
        </w:rPr>
      </w:pPr>
      <w:r w:rsidRPr="005771BD">
        <w:rPr>
          <w:rFonts w:eastAsia="Arial Unicode MS" w:cs="Arial"/>
          <w:kern w:val="2"/>
          <w:szCs w:val="20"/>
          <w:lang w:val="sl-SI" w:eastAsia="sl-SI"/>
        </w:rPr>
        <w:t>Dragocenih publikacij in drug</w:t>
      </w:r>
      <w:r>
        <w:rPr>
          <w:rFonts w:eastAsia="Arial Unicode MS" w:cs="Arial"/>
          <w:kern w:val="2"/>
          <w:szCs w:val="20"/>
          <w:lang w:val="sl-SI" w:eastAsia="sl-SI"/>
        </w:rPr>
        <w:t>ega</w:t>
      </w:r>
      <w:r w:rsidRPr="005771BD">
        <w:rPr>
          <w:rFonts w:eastAsia="Arial Unicode MS" w:cs="Arial"/>
          <w:kern w:val="2"/>
          <w:szCs w:val="20"/>
          <w:lang w:val="sl-SI" w:eastAsia="sl-SI"/>
        </w:rPr>
        <w:t xml:space="preserve"> gradiv</w:t>
      </w:r>
      <w:r>
        <w:rPr>
          <w:rFonts w:eastAsia="Arial Unicode MS" w:cs="Arial"/>
          <w:kern w:val="2"/>
          <w:szCs w:val="20"/>
          <w:lang w:val="sl-SI" w:eastAsia="sl-SI"/>
        </w:rPr>
        <w:t>a</w:t>
      </w:r>
      <w:r w:rsidRPr="005771BD">
        <w:rPr>
          <w:rFonts w:eastAsia="Arial Unicode MS" w:cs="Arial"/>
          <w:kern w:val="2"/>
          <w:szCs w:val="20"/>
          <w:lang w:val="sl-SI" w:eastAsia="sl-SI"/>
        </w:rPr>
        <w:t xml:space="preserve"> je še veliko. Med drugim je izšlo več tematskih številk </w:t>
      </w:r>
      <w:r w:rsidRPr="005771BD">
        <w:rPr>
          <w:rFonts w:eastAsia="Arial Unicode MS" w:cs="Arial"/>
          <w:b/>
          <w:kern w:val="2"/>
          <w:szCs w:val="20"/>
          <w:lang w:val="sl-SI" w:eastAsia="sl-SI"/>
        </w:rPr>
        <w:t>revije Didakta</w:t>
      </w:r>
      <w:r w:rsidRPr="005771BD">
        <w:rPr>
          <w:rFonts w:eastAsia="Arial Unicode MS" w:cs="Arial"/>
          <w:kern w:val="2"/>
          <w:szCs w:val="20"/>
          <w:lang w:val="sl-SI" w:eastAsia="sl-SI"/>
        </w:rPr>
        <w:t xml:space="preserve"> o okolju in trajnostnem razvoju, na področju izobraževanja za trajnostno rabo energije je zelo aktivna </w:t>
      </w:r>
      <w:r>
        <w:rPr>
          <w:rFonts w:eastAsia="Arial Unicode MS" w:cs="Arial"/>
          <w:kern w:val="2"/>
          <w:szCs w:val="20"/>
          <w:lang w:val="sl-SI" w:eastAsia="sl-SI"/>
        </w:rPr>
        <w:t>g</w:t>
      </w:r>
      <w:r w:rsidRPr="005771BD">
        <w:rPr>
          <w:rFonts w:eastAsia="Arial Unicode MS" w:cs="Arial"/>
          <w:kern w:val="2"/>
          <w:szCs w:val="20"/>
          <w:lang w:val="sl-SI" w:eastAsia="sl-SI"/>
        </w:rPr>
        <w:t xml:space="preserve">oriška lokalna energetska agencija </w:t>
      </w:r>
      <w:r w:rsidRPr="005771BD">
        <w:rPr>
          <w:rFonts w:eastAsia="Arial Unicode MS" w:cs="Arial"/>
          <w:b/>
          <w:kern w:val="2"/>
          <w:szCs w:val="20"/>
          <w:lang w:val="sl-SI" w:eastAsia="sl-SI"/>
        </w:rPr>
        <w:t>GOLEA.</w:t>
      </w:r>
    </w:p>
    <w:p w:rsidR="00DF4CD9" w:rsidRPr="005771BD" w:rsidRDefault="00DF4CD9" w:rsidP="00DF4CD9">
      <w:pPr>
        <w:widowControl w:val="0"/>
        <w:suppressAutoHyphens/>
        <w:spacing w:after="200" w:line="276" w:lineRule="auto"/>
        <w:jc w:val="both"/>
        <w:rPr>
          <w:rFonts w:eastAsia="Cambria" w:cs="Arial"/>
          <w:bCs/>
          <w:szCs w:val="20"/>
          <w:lang w:val="sl-SI"/>
        </w:rPr>
      </w:pPr>
      <w:r w:rsidRPr="005771BD">
        <w:rPr>
          <w:rFonts w:cs="Arial"/>
          <w:szCs w:val="20"/>
          <w:lang w:val="sl-SI" w:eastAsia="sl-SI"/>
        </w:rPr>
        <w:t xml:space="preserve">V organizaciji </w:t>
      </w:r>
      <w:r>
        <w:rPr>
          <w:rFonts w:cs="Arial"/>
          <w:b/>
          <w:szCs w:val="20"/>
          <w:lang w:val="sl-SI" w:eastAsia="sl-SI"/>
        </w:rPr>
        <w:t>d</w:t>
      </w:r>
      <w:r w:rsidRPr="005771BD">
        <w:rPr>
          <w:rFonts w:cs="Arial"/>
          <w:b/>
          <w:szCs w:val="20"/>
          <w:lang w:val="sl-SI" w:eastAsia="sl-SI"/>
        </w:rPr>
        <w:t xml:space="preserve">ruštva Planet Zemlja </w:t>
      </w:r>
      <w:r w:rsidRPr="005771BD">
        <w:rPr>
          <w:rFonts w:cs="Arial"/>
          <w:szCs w:val="20"/>
          <w:lang w:val="sl-SI" w:eastAsia="sl-SI"/>
        </w:rPr>
        <w:t xml:space="preserve">potekajo aktivnosti </w:t>
      </w:r>
      <w:r>
        <w:rPr>
          <w:rFonts w:cs="Arial"/>
          <w:szCs w:val="20"/>
          <w:lang w:val="sl-SI" w:eastAsia="sl-SI"/>
        </w:rPr>
        <w:t>p</w:t>
      </w:r>
      <w:r w:rsidRPr="005771BD">
        <w:rPr>
          <w:rFonts w:cs="Arial"/>
          <w:szCs w:val="20"/>
          <w:lang w:val="sl-SI" w:eastAsia="sl-SI"/>
        </w:rPr>
        <w:t>lanetu Zemlja prijazna šola</w:t>
      </w:r>
      <w:r>
        <w:rPr>
          <w:rFonts w:cs="Arial"/>
          <w:szCs w:val="20"/>
          <w:lang w:val="sl-SI" w:eastAsia="sl-SI"/>
        </w:rPr>
        <w:t xml:space="preserve"> in </w:t>
      </w:r>
      <w:r w:rsidRPr="005771BD">
        <w:rPr>
          <w:rFonts w:cs="Arial"/>
          <w:szCs w:val="20"/>
          <w:lang w:val="sl-SI" w:eastAsia="sl-SI"/>
        </w:rPr>
        <w:t xml:space="preserve">vrtec, </w:t>
      </w:r>
      <w:r>
        <w:rPr>
          <w:rFonts w:cs="Arial"/>
          <w:szCs w:val="20"/>
          <w:lang w:val="sl-SI" w:eastAsia="sl-SI"/>
        </w:rPr>
        <w:t>p</w:t>
      </w:r>
      <w:r w:rsidRPr="005771BD">
        <w:rPr>
          <w:rFonts w:cs="Arial"/>
          <w:szCs w:val="20"/>
          <w:lang w:val="sl-SI" w:eastAsia="sl-SI"/>
        </w:rPr>
        <w:t xml:space="preserve">lanetu Zemlja prijazna občina. V šolah in širši javnosti sta </w:t>
      </w:r>
      <w:r>
        <w:rPr>
          <w:rFonts w:cs="Arial"/>
          <w:szCs w:val="20"/>
          <w:lang w:val="sl-SI" w:eastAsia="sl-SI"/>
        </w:rPr>
        <w:t>več</w:t>
      </w:r>
      <w:r w:rsidRPr="005771BD">
        <w:rPr>
          <w:rFonts w:cs="Arial"/>
          <w:szCs w:val="20"/>
          <w:lang w:val="sl-SI" w:eastAsia="sl-SI"/>
        </w:rPr>
        <w:t xml:space="preserve"> let z okoljskimi projekti aktivna tudi </w:t>
      </w:r>
      <w:r w:rsidRPr="005771BD">
        <w:rPr>
          <w:rFonts w:eastAsia="Cambria" w:cs="Arial"/>
          <w:b/>
          <w:szCs w:val="20"/>
          <w:lang w:val="sl-SI"/>
        </w:rPr>
        <w:t>Slovenski E-forum</w:t>
      </w:r>
      <w:r w:rsidRPr="005771BD">
        <w:rPr>
          <w:rFonts w:eastAsia="Cambria" w:cs="Arial"/>
          <w:szCs w:val="20"/>
          <w:lang w:val="sl-SI"/>
        </w:rPr>
        <w:t xml:space="preserve"> (projekti FEEDU + </w:t>
      </w:r>
      <w:r>
        <w:rPr>
          <w:rFonts w:eastAsia="Cambria" w:cs="Arial"/>
          <w:szCs w:val="20"/>
          <w:lang w:val="sl-SI"/>
        </w:rPr>
        <w:t>e</w:t>
      </w:r>
      <w:r w:rsidRPr="005771BD">
        <w:rPr>
          <w:rFonts w:eastAsia="Cambria" w:cs="Arial"/>
          <w:szCs w:val="20"/>
          <w:lang w:val="sl-SI"/>
        </w:rPr>
        <w:t>nergetski detektivi, Energy Path, IUSES, AGENTI</w:t>
      </w:r>
      <w:r>
        <w:rPr>
          <w:rFonts w:eastAsia="Cambria" w:cs="Arial"/>
          <w:szCs w:val="20"/>
          <w:lang w:val="sl-SI"/>
        </w:rPr>
        <w:t xml:space="preserve"> itd.</w:t>
      </w:r>
      <w:r w:rsidRPr="005771BD">
        <w:rPr>
          <w:rFonts w:eastAsia="Cambria" w:cs="Arial"/>
          <w:szCs w:val="20"/>
          <w:lang w:val="sl-SI"/>
        </w:rPr>
        <w:t xml:space="preserve">) in </w:t>
      </w:r>
      <w:r w:rsidRPr="005771BD">
        <w:rPr>
          <w:rFonts w:eastAsia="Cambria" w:cs="Arial"/>
          <w:b/>
          <w:szCs w:val="20"/>
          <w:lang w:val="sl-SI"/>
        </w:rPr>
        <w:t>Focus, društvo za sonarav</w:t>
      </w:r>
      <w:r>
        <w:rPr>
          <w:rFonts w:eastAsia="Cambria" w:cs="Arial"/>
          <w:b/>
          <w:szCs w:val="20"/>
          <w:lang w:val="sl-SI"/>
        </w:rPr>
        <w:t>en</w:t>
      </w:r>
      <w:r w:rsidRPr="005771BD">
        <w:rPr>
          <w:rFonts w:eastAsia="Cambria" w:cs="Arial"/>
          <w:b/>
          <w:szCs w:val="20"/>
          <w:lang w:val="sl-SI"/>
        </w:rPr>
        <w:t xml:space="preserve"> razvoj</w:t>
      </w:r>
      <w:r w:rsidRPr="005771BD">
        <w:rPr>
          <w:rFonts w:eastAsia="Cambria" w:cs="Arial"/>
          <w:szCs w:val="20"/>
          <w:lang w:val="sl-SI"/>
        </w:rPr>
        <w:t xml:space="preserve">. Slednje med drugim izvaja projekte o podnebnih spremembah in trajnostni mobilnosti, med njimi </w:t>
      </w:r>
      <w:r>
        <w:rPr>
          <w:rFonts w:eastAsia="Cambria" w:cs="Arial"/>
          <w:szCs w:val="20"/>
          <w:lang w:val="sl-SI"/>
        </w:rPr>
        <w:t>j</w:t>
      </w:r>
      <w:r w:rsidRPr="005771BD">
        <w:rPr>
          <w:rFonts w:eastAsia="Cambria" w:cs="Arial"/>
          <w:szCs w:val="20"/>
          <w:lang w:val="sl-SI"/>
        </w:rPr>
        <w:t xml:space="preserve">avni prevoz je kul!, </w:t>
      </w:r>
      <w:r>
        <w:rPr>
          <w:rFonts w:eastAsia="Cambria" w:cs="Arial"/>
          <w:bCs/>
          <w:szCs w:val="20"/>
          <w:lang w:val="sl-SI"/>
        </w:rPr>
        <w:t>d</w:t>
      </w:r>
      <w:r w:rsidRPr="005771BD">
        <w:rPr>
          <w:rFonts w:eastAsia="Cambria" w:cs="Arial"/>
          <w:bCs/>
          <w:szCs w:val="20"/>
          <w:lang w:val="sl-SI"/>
        </w:rPr>
        <w:t>obimo</w:t>
      </w:r>
      <w:r w:rsidRPr="005771BD">
        <w:rPr>
          <w:rFonts w:eastAsia="Cambria" w:cs="Arial"/>
          <w:szCs w:val="20"/>
          <w:lang w:val="sl-SI"/>
        </w:rPr>
        <w:t> </w:t>
      </w:r>
      <w:r w:rsidRPr="005771BD">
        <w:rPr>
          <w:rFonts w:eastAsia="Cambria" w:cs="Arial"/>
          <w:bCs/>
          <w:szCs w:val="20"/>
          <w:lang w:val="sl-SI"/>
        </w:rPr>
        <w:t>se</w:t>
      </w:r>
      <w:r w:rsidRPr="005771BD">
        <w:rPr>
          <w:rFonts w:eastAsia="Cambria" w:cs="Arial"/>
          <w:szCs w:val="20"/>
          <w:lang w:val="sl-SI"/>
        </w:rPr>
        <w:t> </w:t>
      </w:r>
      <w:r w:rsidRPr="005771BD">
        <w:rPr>
          <w:rFonts w:eastAsia="Cambria" w:cs="Arial"/>
          <w:bCs/>
          <w:szCs w:val="20"/>
          <w:lang w:val="sl-SI"/>
        </w:rPr>
        <w:t>na</w:t>
      </w:r>
      <w:r w:rsidRPr="005771BD">
        <w:rPr>
          <w:rFonts w:eastAsia="Cambria" w:cs="Arial"/>
          <w:szCs w:val="20"/>
          <w:lang w:val="sl-SI"/>
        </w:rPr>
        <w:t> </w:t>
      </w:r>
      <w:r w:rsidRPr="005771BD">
        <w:rPr>
          <w:rFonts w:eastAsia="Cambria" w:cs="Arial"/>
          <w:bCs/>
          <w:szCs w:val="20"/>
          <w:lang w:val="sl-SI"/>
        </w:rPr>
        <w:t xml:space="preserve">postaji in </w:t>
      </w:r>
      <w:r>
        <w:rPr>
          <w:rFonts w:eastAsia="Cambria" w:cs="Arial"/>
          <w:szCs w:val="20"/>
          <w:lang w:val="sl-SI"/>
        </w:rPr>
        <w:t>m</w:t>
      </w:r>
      <w:r w:rsidRPr="005771BD">
        <w:rPr>
          <w:rFonts w:eastAsia="Cambria" w:cs="Arial"/>
          <w:szCs w:val="20"/>
          <w:lang w:val="sl-SI"/>
        </w:rPr>
        <w:t>obilizacija za javni potniški promet, katerega cilj je bil vzpostaviti platformo med ponudniki prevozov, občinami, civilno družbo in odločevalci na državn</w:t>
      </w:r>
      <w:r>
        <w:rPr>
          <w:rFonts w:eastAsia="Cambria" w:cs="Arial"/>
          <w:szCs w:val="20"/>
          <w:lang w:val="sl-SI"/>
        </w:rPr>
        <w:t>i ravni</w:t>
      </w:r>
      <w:r w:rsidRPr="005771BD">
        <w:rPr>
          <w:rFonts w:eastAsia="Cambria" w:cs="Arial"/>
          <w:szCs w:val="20"/>
          <w:lang w:val="sl-SI"/>
        </w:rPr>
        <w:t xml:space="preserve">.  </w:t>
      </w:r>
    </w:p>
    <w:p w:rsidR="00DF4CD9" w:rsidRPr="005771BD" w:rsidRDefault="00DF4CD9" w:rsidP="00DF4CD9">
      <w:pPr>
        <w:spacing w:after="200" w:line="276" w:lineRule="auto"/>
        <w:jc w:val="both"/>
        <w:rPr>
          <w:rFonts w:eastAsia="Cambria" w:cs="Arial"/>
          <w:szCs w:val="20"/>
          <w:lang w:val="sl-SI"/>
        </w:rPr>
      </w:pPr>
      <w:r w:rsidRPr="005771BD">
        <w:rPr>
          <w:rFonts w:eastAsia="Cambria" w:cs="Arial"/>
          <w:b/>
          <w:bCs/>
          <w:szCs w:val="20"/>
          <w:lang w:val="sl-SI"/>
        </w:rPr>
        <w:t>V evropskem projektu ACHIEVE</w:t>
      </w:r>
      <w:r w:rsidRPr="005771BD">
        <w:rPr>
          <w:rFonts w:eastAsia="Cambria" w:cs="Arial"/>
          <w:bCs/>
          <w:szCs w:val="20"/>
          <w:lang w:val="sl-SI"/>
        </w:rPr>
        <w:t xml:space="preserve"> je Focus, društvo za sonaraven razvoj kot partner iz Slovenije iskalo </w:t>
      </w:r>
      <w:r w:rsidRPr="005771BD">
        <w:rPr>
          <w:rFonts w:eastAsia="Cambria" w:cs="Arial"/>
          <w:szCs w:val="20"/>
          <w:lang w:val="sl-SI"/>
        </w:rPr>
        <w:t xml:space="preserve">praktične in strukturne rešitve, ki bodo pomagale ljudem v EU zmanjšati tveganje energetske revščine. Projekt je vključeval tudi enotedenski program usposabljanja za energetske svetovalce (izbrane so bile predvsem brezposelne osebe) in </w:t>
      </w:r>
      <w:r>
        <w:rPr>
          <w:rFonts w:eastAsia="Cambria" w:cs="Arial"/>
          <w:szCs w:val="20"/>
          <w:lang w:val="sl-SI"/>
        </w:rPr>
        <w:t xml:space="preserve">njihove </w:t>
      </w:r>
      <w:r w:rsidRPr="005771BD">
        <w:rPr>
          <w:rFonts w:eastAsia="Cambria" w:cs="Arial"/>
          <w:szCs w:val="20"/>
          <w:lang w:val="sl-SI"/>
        </w:rPr>
        <w:t xml:space="preserve">obiske v gospodinjstvih z visokim tveganjem revščine. Aktivnosti so se nadgrajevale v okviru drugih projektov (npr. REACH) in postala del redne dejavnosti energetskih svetovalcev (EN-SVET).  </w:t>
      </w:r>
    </w:p>
    <w:p w:rsidR="00DF4CD9" w:rsidRPr="005771BD" w:rsidRDefault="00DF4CD9" w:rsidP="00DF4CD9">
      <w:pPr>
        <w:spacing w:line="276" w:lineRule="auto"/>
        <w:jc w:val="both"/>
        <w:rPr>
          <w:rFonts w:eastAsia="Cambria" w:cs="Arial"/>
          <w:szCs w:val="20"/>
          <w:lang w:val="sl-SI"/>
        </w:rPr>
      </w:pPr>
      <w:r w:rsidRPr="005771BD">
        <w:rPr>
          <w:rFonts w:eastAsia="Cambria" w:cs="Arial"/>
          <w:b/>
          <w:szCs w:val="20"/>
          <w:lang w:val="sl-SI"/>
        </w:rPr>
        <w:t xml:space="preserve">Umanotera, </w:t>
      </w:r>
      <w:r>
        <w:rPr>
          <w:rFonts w:eastAsia="Cambria" w:cs="Arial"/>
          <w:b/>
          <w:szCs w:val="20"/>
          <w:lang w:val="sl-SI"/>
        </w:rPr>
        <w:t>s</w:t>
      </w:r>
      <w:r w:rsidRPr="005771BD">
        <w:rPr>
          <w:rFonts w:eastAsia="Cambria" w:cs="Arial"/>
          <w:b/>
          <w:szCs w:val="20"/>
          <w:lang w:val="sl-SI"/>
        </w:rPr>
        <w:t>lovenska fundacija za trajnostni razvoj</w:t>
      </w:r>
      <w:r w:rsidRPr="005771BD">
        <w:rPr>
          <w:rFonts w:eastAsia="Cambria" w:cs="Arial"/>
          <w:szCs w:val="20"/>
          <w:lang w:val="sl-SI"/>
        </w:rPr>
        <w:t xml:space="preserve"> je v letih 2013</w:t>
      </w:r>
      <w:r>
        <w:rPr>
          <w:rFonts w:eastAsia="Cambria" w:cs="Arial"/>
          <w:szCs w:val="20"/>
          <w:lang w:val="sl-SI"/>
        </w:rPr>
        <w:t xml:space="preserve"> in </w:t>
      </w:r>
      <w:r w:rsidRPr="005771BD">
        <w:rPr>
          <w:rFonts w:eastAsia="Cambria" w:cs="Arial"/>
          <w:szCs w:val="20"/>
          <w:lang w:val="sl-SI"/>
        </w:rPr>
        <w:t xml:space="preserve">2014 izvajala projekt </w:t>
      </w:r>
      <w:r>
        <w:rPr>
          <w:rFonts w:eastAsia="Cambria" w:cs="Arial"/>
          <w:b/>
          <w:szCs w:val="20"/>
          <w:lang w:val="sl-SI"/>
        </w:rPr>
        <w:t>s</w:t>
      </w:r>
      <w:r w:rsidRPr="005771BD">
        <w:rPr>
          <w:rFonts w:eastAsia="Cambria" w:cs="Arial"/>
          <w:b/>
          <w:szCs w:val="20"/>
          <w:lang w:val="sl-SI"/>
        </w:rPr>
        <w:t xml:space="preserve">podbujamo zelena delovna mesta </w:t>
      </w:r>
      <w:r w:rsidRPr="005771BD">
        <w:rPr>
          <w:rFonts w:eastAsia="Cambria" w:cs="Arial"/>
          <w:szCs w:val="20"/>
          <w:lang w:val="sl-SI"/>
        </w:rPr>
        <w:t xml:space="preserve">kot akcijo v okviru partnerstva med Evropsko komisijo, Vlado RS in Evropskim parlamentom na področju </w:t>
      </w:r>
      <w:r>
        <w:rPr>
          <w:rFonts w:eastAsia="Cambria" w:cs="Arial"/>
          <w:szCs w:val="20"/>
          <w:lang w:val="sl-SI"/>
        </w:rPr>
        <w:t>razširjanja</w:t>
      </w:r>
      <w:r w:rsidRPr="005771BD">
        <w:rPr>
          <w:rFonts w:eastAsia="Cambria" w:cs="Arial"/>
          <w:szCs w:val="20"/>
          <w:lang w:val="sl-SI"/>
        </w:rPr>
        <w:t xml:space="preserve"> evropskih vsebin. Namen projekta je bil:</w:t>
      </w:r>
    </w:p>
    <w:p w:rsidR="00DF4CD9" w:rsidRPr="005771BD" w:rsidRDefault="00DF4CD9" w:rsidP="00DF4CD9">
      <w:pPr>
        <w:numPr>
          <w:ilvl w:val="3"/>
          <w:numId w:val="36"/>
        </w:numPr>
        <w:spacing w:before="60" w:line="276" w:lineRule="auto"/>
        <w:ind w:left="284" w:hanging="284"/>
        <w:jc w:val="both"/>
        <w:rPr>
          <w:rFonts w:eastAsia="Cambria" w:cs="Arial"/>
          <w:szCs w:val="20"/>
          <w:lang w:val="sl-SI"/>
        </w:rPr>
      </w:pPr>
      <w:r w:rsidRPr="005771BD">
        <w:rPr>
          <w:rFonts w:eastAsia="Cambria" w:cs="Arial"/>
          <w:szCs w:val="20"/>
          <w:lang w:val="sl-SI"/>
        </w:rPr>
        <w:t xml:space="preserve">izboljšati razumevanje in poznavanje zelenih delovnih mest ter </w:t>
      </w:r>
      <w:r>
        <w:rPr>
          <w:rFonts w:eastAsia="Cambria" w:cs="Arial"/>
          <w:szCs w:val="20"/>
          <w:lang w:val="sl-SI"/>
        </w:rPr>
        <w:t>povečati</w:t>
      </w:r>
      <w:r w:rsidRPr="005771BD">
        <w:rPr>
          <w:rFonts w:eastAsia="Cambria" w:cs="Arial"/>
          <w:szCs w:val="20"/>
          <w:lang w:val="sl-SI"/>
        </w:rPr>
        <w:t xml:space="preserve"> o</w:t>
      </w:r>
      <w:r>
        <w:rPr>
          <w:rFonts w:eastAsia="Cambria" w:cs="Arial"/>
          <w:szCs w:val="20"/>
          <w:lang w:val="sl-SI"/>
        </w:rPr>
        <w:t>za</w:t>
      </w:r>
      <w:r w:rsidRPr="005771BD">
        <w:rPr>
          <w:rFonts w:eastAsia="Cambria" w:cs="Arial"/>
          <w:szCs w:val="20"/>
          <w:lang w:val="sl-SI"/>
        </w:rPr>
        <w:t>veščenost o tem, kaj sploh so zelena delovna mesta in kakšne razvojne priložnosti prinašajo;</w:t>
      </w:r>
    </w:p>
    <w:p w:rsidR="00DF4CD9" w:rsidRPr="005771BD" w:rsidRDefault="00DF4CD9" w:rsidP="00DF4CD9">
      <w:pPr>
        <w:numPr>
          <w:ilvl w:val="3"/>
          <w:numId w:val="36"/>
        </w:numPr>
        <w:spacing w:before="60" w:line="276" w:lineRule="auto"/>
        <w:ind w:left="284" w:hanging="284"/>
        <w:jc w:val="both"/>
        <w:rPr>
          <w:rFonts w:eastAsia="Cambria" w:cs="Arial"/>
          <w:szCs w:val="20"/>
          <w:lang w:val="sl-SI"/>
        </w:rPr>
      </w:pPr>
      <w:r w:rsidRPr="005771BD">
        <w:rPr>
          <w:rFonts w:eastAsia="Cambria" w:cs="Arial"/>
          <w:szCs w:val="20"/>
          <w:lang w:val="sl-SI"/>
        </w:rPr>
        <w:t>celostno pr</w:t>
      </w:r>
      <w:r>
        <w:rPr>
          <w:rFonts w:eastAsia="Cambria" w:cs="Arial"/>
          <w:szCs w:val="20"/>
          <w:lang w:val="sl-SI"/>
        </w:rPr>
        <w:t>ikazati</w:t>
      </w:r>
      <w:r w:rsidRPr="005771BD">
        <w:rPr>
          <w:rFonts w:eastAsia="Cambria" w:cs="Arial"/>
          <w:szCs w:val="20"/>
          <w:lang w:val="sl-SI"/>
        </w:rPr>
        <w:t xml:space="preserve"> problematiko zelenih delovnih mest v povezavi z zelenim gospodarstvom;</w:t>
      </w:r>
    </w:p>
    <w:p w:rsidR="00DF4CD9" w:rsidRPr="005771BD" w:rsidRDefault="00DF4CD9" w:rsidP="00DF4CD9">
      <w:pPr>
        <w:numPr>
          <w:ilvl w:val="3"/>
          <w:numId w:val="36"/>
        </w:numPr>
        <w:spacing w:before="60" w:line="276" w:lineRule="auto"/>
        <w:ind w:left="284" w:hanging="284"/>
        <w:jc w:val="both"/>
        <w:rPr>
          <w:rFonts w:eastAsia="Cambria" w:cs="Arial"/>
          <w:szCs w:val="20"/>
          <w:lang w:val="sl-SI"/>
        </w:rPr>
      </w:pPr>
      <w:r w:rsidRPr="005771BD">
        <w:rPr>
          <w:rFonts w:eastAsia="Cambria" w:cs="Arial"/>
          <w:szCs w:val="20"/>
          <w:lang w:val="sl-SI"/>
        </w:rPr>
        <w:t xml:space="preserve">spodbuditi povezovanje različnih akterjev na področju zelenih delovnih mest s ciljem </w:t>
      </w:r>
      <w:r>
        <w:rPr>
          <w:rFonts w:eastAsia="Cambria" w:cs="Arial"/>
          <w:szCs w:val="20"/>
          <w:lang w:val="sl-SI"/>
        </w:rPr>
        <w:t>vzpostavljanja razmer</w:t>
      </w:r>
      <w:r w:rsidRPr="005771BD">
        <w:rPr>
          <w:rFonts w:eastAsia="Cambria" w:cs="Arial"/>
          <w:szCs w:val="20"/>
          <w:lang w:val="sl-SI"/>
        </w:rPr>
        <w:t xml:space="preserve"> za ustvarjanje zelenih delovnih mest.</w:t>
      </w:r>
    </w:p>
    <w:bookmarkEnd w:id="51"/>
    <w:p w:rsidR="00DF4CD9" w:rsidRPr="005771BD" w:rsidRDefault="00DF4CD9" w:rsidP="00DF4CD9">
      <w:pPr>
        <w:spacing w:before="120" w:after="120" w:line="276" w:lineRule="auto"/>
        <w:jc w:val="both"/>
        <w:rPr>
          <w:rFonts w:cs="Arial"/>
          <w:szCs w:val="20"/>
          <w:lang w:val="sl-SI" w:eastAsia="sl-SI"/>
        </w:rPr>
      </w:pPr>
      <w:r w:rsidRPr="005771BD">
        <w:rPr>
          <w:rFonts w:cs="Arial"/>
          <w:szCs w:val="20"/>
          <w:lang w:val="sl-SI" w:eastAsia="sl-SI"/>
        </w:rPr>
        <w:t xml:space="preserve">Na področju podnebnih sprememb je več projektov in akcij potekalo </w:t>
      </w:r>
      <w:r>
        <w:rPr>
          <w:rFonts w:cs="Arial"/>
          <w:szCs w:val="20"/>
          <w:lang w:val="sl-SI" w:eastAsia="sl-SI"/>
        </w:rPr>
        <w:t>s</w:t>
      </w:r>
      <w:r w:rsidRPr="005771BD">
        <w:rPr>
          <w:rFonts w:cs="Arial"/>
          <w:szCs w:val="20"/>
          <w:lang w:val="sl-SI" w:eastAsia="sl-SI"/>
        </w:rPr>
        <w:t xml:space="preserve"> sloganom</w:t>
      </w:r>
      <w:r w:rsidRPr="005771BD">
        <w:rPr>
          <w:rFonts w:cs="Arial"/>
          <w:b/>
          <w:szCs w:val="20"/>
          <w:lang w:val="sl-SI" w:eastAsia="sl-SI"/>
        </w:rPr>
        <w:t xml:space="preserve"> »Slovenija znižuje CO</w:t>
      </w:r>
      <w:r w:rsidRPr="005771BD">
        <w:rPr>
          <w:rFonts w:cs="Arial"/>
          <w:b/>
          <w:szCs w:val="20"/>
          <w:vertAlign w:val="subscript"/>
          <w:lang w:val="sl-SI" w:eastAsia="sl-SI"/>
        </w:rPr>
        <w:t>2«</w:t>
      </w:r>
      <w:r w:rsidRPr="005771BD">
        <w:rPr>
          <w:rFonts w:cs="Arial"/>
          <w:szCs w:val="20"/>
          <w:lang w:val="sl-SI" w:eastAsia="sl-SI"/>
        </w:rPr>
        <w:t xml:space="preserve">: </w:t>
      </w:r>
    </w:p>
    <w:p w:rsidR="00DF4CD9" w:rsidRPr="005771BD" w:rsidRDefault="00DF4CD9" w:rsidP="00DF4CD9">
      <w:pPr>
        <w:pStyle w:val="Odstavekseznama"/>
        <w:numPr>
          <w:ilvl w:val="0"/>
          <w:numId w:val="78"/>
        </w:numPr>
        <w:spacing w:before="60" w:line="276" w:lineRule="auto"/>
        <w:ind w:left="284" w:hanging="284"/>
        <w:contextualSpacing w:val="0"/>
        <w:jc w:val="both"/>
        <w:rPr>
          <w:rFonts w:cs="Arial"/>
          <w:szCs w:val="20"/>
          <w:lang w:val="sl-SI" w:eastAsia="sl-SI"/>
        </w:rPr>
      </w:pPr>
      <w:r w:rsidRPr="005771BD">
        <w:rPr>
          <w:rFonts w:cs="Arial"/>
          <w:szCs w:val="20"/>
          <w:lang w:val="sl-SI" w:eastAsia="sl-SI"/>
        </w:rPr>
        <w:t>od maja 2010 do januarja 2011 je</w:t>
      </w:r>
      <w:r>
        <w:rPr>
          <w:rFonts w:cs="Arial"/>
          <w:szCs w:val="20"/>
          <w:lang w:val="sl-SI" w:eastAsia="sl-SI"/>
        </w:rPr>
        <w:t xml:space="preserve"> bilo</w:t>
      </w:r>
      <w:r w:rsidRPr="005771BD">
        <w:rPr>
          <w:rFonts w:cs="Arial"/>
          <w:szCs w:val="20"/>
          <w:lang w:val="sl-SI" w:eastAsia="sl-SI"/>
        </w:rPr>
        <w:t xml:space="preserve"> v okviru projekta </w:t>
      </w:r>
      <w:r w:rsidRPr="005771BD">
        <w:rPr>
          <w:rFonts w:cs="Arial"/>
          <w:b/>
          <w:szCs w:val="20"/>
          <w:lang w:val="sl-SI" w:eastAsia="sl-SI"/>
        </w:rPr>
        <w:t>»Slovenija znižuje CO2: podnebni posveti«</w:t>
      </w:r>
      <w:r w:rsidRPr="005771BD">
        <w:rPr>
          <w:rFonts w:cs="Arial"/>
          <w:szCs w:val="20"/>
          <w:lang w:val="sl-SI" w:eastAsia="sl-SI"/>
        </w:rPr>
        <w:t xml:space="preserve"> </w:t>
      </w:r>
      <w:r>
        <w:rPr>
          <w:rFonts w:cs="Arial"/>
          <w:szCs w:val="20"/>
          <w:lang w:val="sl-SI" w:eastAsia="sl-SI"/>
        </w:rPr>
        <w:t xml:space="preserve">izvedenih </w:t>
      </w:r>
      <w:r w:rsidRPr="005771BD">
        <w:rPr>
          <w:rFonts w:cs="Arial"/>
          <w:szCs w:val="20"/>
          <w:lang w:val="sl-SI" w:eastAsia="sl-SI"/>
        </w:rPr>
        <w:t xml:space="preserve">šest podnebnih posvetov (www.slovenija-co2). Posveti so bili ena izmed akcij v okviru partnerstva med Evropsko komisijo in Vlado RS pri </w:t>
      </w:r>
      <w:r>
        <w:rPr>
          <w:rFonts w:cs="Arial"/>
          <w:szCs w:val="20"/>
          <w:lang w:val="sl-SI" w:eastAsia="sl-SI"/>
        </w:rPr>
        <w:t>razširjanju</w:t>
      </w:r>
      <w:r w:rsidRPr="005771BD">
        <w:rPr>
          <w:rFonts w:cs="Arial"/>
          <w:szCs w:val="20"/>
          <w:lang w:val="sl-SI" w:eastAsia="sl-SI"/>
        </w:rPr>
        <w:t xml:space="preserve"> evropskih vsebin, namenjeni so bili razpravam o izzivih in usmeritvah za izvajanje podnebno-energetskih zavez. Na tej podlagi so bila oblikovana priporočila odločevalcem</w:t>
      </w:r>
      <w:r>
        <w:rPr>
          <w:rFonts w:cs="Arial"/>
          <w:szCs w:val="20"/>
          <w:lang w:val="sl-SI" w:eastAsia="sl-SI"/>
        </w:rPr>
        <w:t>;</w:t>
      </w:r>
    </w:p>
    <w:p w:rsidR="00DF4CD9" w:rsidRPr="005771BD" w:rsidRDefault="00DF4CD9" w:rsidP="00DF4CD9">
      <w:pPr>
        <w:numPr>
          <w:ilvl w:val="0"/>
          <w:numId w:val="29"/>
        </w:numPr>
        <w:spacing w:before="60" w:line="276" w:lineRule="auto"/>
        <w:ind w:left="284" w:hanging="284"/>
        <w:jc w:val="both"/>
        <w:rPr>
          <w:rFonts w:eastAsia="Cambria" w:cs="Arial"/>
          <w:iCs/>
          <w:szCs w:val="20"/>
          <w:lang w:val="sl-SI"/>
        </w:rPr>
      </w:pPr>
      <w:r w:rsidRPr="005771BD">
        <w:rPr>
          <w:rFonts w:eastAsia="Cambria" w:cs="Arial"/>
          <w:iCs/>
          <w:szCs w:val="20"/>
          <w:lang w:val="sl-SI"/>
        </w:rPr>
        <w:t xml:space="preserve">dva projekta </w:t>
      </w:r>
      <w:r w:rsidRPr="005771BD">
        <w:rPr>
          <w:rFonts w:eastAsia="Cambria" w:cs="Arial"/>
          <w:b/>
          <w:iCs/>
          <w:szCs w:val="20"/>
          <w:lang w:val="sl-SI"/>
        </w:rPr>
        <w:t>»Slovenija znižuje CO2: dobre prakse«</w:t>
      </w:r>
      <w:r w:rsidRPr="005771BD">
        <w:rPr>
          <w:rFonts w:eastAsia="Cambria" w:cs="Arial"/>
          <w:iCs/>
          <w:szCs w:val="20"/>
          <w:lang w:val="sl-SI"/>
        </w:rPr>
        <w:t xml:space="preserve"> sta potekala v okviru partnerstva med Evropsko komisijo, Vlado Republike Slovenije  in Evropskim parlamentom pri </w:t>
      </w:r>
      <w:r>
        <w:rPr>
          <w:rFonts w:eastAsia="Cambria" w:cs="Arial"/>
          <w:iCs/>
          <w:szCs w:val="20"/>
          <w:lang w:val="sl-SI"/>
        </w:rPr>
        <w:t>razširjanju</w:t>
      </w:r>
      <w:r w:rsidRPr="005771BD">
        <w:rPr>
          <w:rFonts w:eastAsia="Cambria" w:cs="Arial"/>
          <w:iCs/>
          <w:szCs w:val="20"/>
          <w:lang w:val="sl-SI"/>
        </w:rPr>
        <w:t xml:space="preserve"> evropskih vsebin, izvajala ga je Umanotera, </w:t>
      </w:r>
      <w:r>
        <w:rPr>
          <w:rFonts w:eastAsia="Cambria" w:cs="Arial"/>
          <w:iCs/>
          <w:szCs w:val="20"/>
          <w:lang w:val="sl-SI"/>
        </w:rPr>
        <w:t>s</w:t>
      </w:r>
      <w:r w:rsidRPr="005771BD">
        <w:rPr>
          <w:rFonts w:eastAsia="Cambria" w:cs="Arial"/>
          <w:iCs/>
          <w:szCs w:val="20"/>
          <w:lang w:val="sl-SI"/>
        </w:rPr>
        <w:t>lovenska fundacija za trajnostni razvoj</w:t>
      </w:r>
      <w:r>
        <w:rPr>
          <w:rFonts w:eastAsia="Cambria" w:cs="Arial"/>
          <w:iCs/>
          <w:szCs w:val="20"/>
          <w:lang w:val="sl-SI"/>
        </w:rPr>
        <w:t>;</w:t>
      </w:r>
    </w:p>
    <w:p w:rsidR="00DF4CD9" w:rsidRPr="005771BD" w:rsidRDefault="00DF4CD9" w:rsidP="00DF4CD9">
      <w:pPr>
        <w:numPr>
          <w:ilvl w:val="0"/>
          <w:numId w:val="29"/>
        </w:numPr>
        <w:spacing w:before="60" w:line="276" w:lineRule="auto"/>
        <w:ind w:left="284" w:hanging="284"/>
        <w:jc w:val="both"/>
        <w:rPr>
          <w:rFonts w:eastAsia="Cambria" w:cs="Arial"/>
          <w:szCs w:val="20"/>
          <w:lang w:val="sl-SI"/>
        </w:rPr>
      </w:pPr>
      <w:r w:rsidRPr="005771BD">
        <w:rPr>
          <w:rFonts w:eastAsia="Cambria" w:cs="Arial"/>
          <w:szCs w:val="20"/>
          <w:lang w:val="sl-SI"/>
        </w:rPr>
        <w:t>v okviru projekta je bilo javnosti v</w:t>
      </w:r>
      <w:r>
        <w:rPr>
          <w:rFonts w:eastAsia="Cambria" w:cs="Arial"/>
          <w:szCs w:val="20"/>
          <w:lang w:val="sl-SI"/>
        </w:rPr>
        <w:t xml:space="preserve"> </w:t>
      </w:r>
      <w:hyperlink w:history="1">
        <w:r w:rsidRPr="002D6F61">
          <w:rPr>
            <w:rStyle w:val="Hiperpovezava"/>
            <w:rFonts w:eastAsia="Cambria" w:cs="Arial"/>
            <w:szCs w:val="20"/>
            <w:lang w:val="sl-SI"/>
          </w:rPr>
          <w:t>katalogu 2012</w:t>
        </w:r>
      </w:hyperlink>
      <w:r w:rsidRPr="005771BD">
        <w:rPr>
          <w:rFonts w:eastAsia="Cambria" w:cs="Arial"/>
          <w:szCs w:val="20"/>
          <w:u w:val="single"/>
          <w:lang w:val="sl-SI"/>
        </w:rPr>
        <w:t xml:space="preserve"> in </w:t>
      </w:r>
      <w:r>
        <w:rPr>
          <w:rFonts w:eastAsia="Cambria" w:cs="Arial"/>
          <w:szCs w:val="20"/>
          <w:u w:val="single"/>
          <w:lang w:val="sl-SI"/>
        </w:rPr>
        <w:t>k</w:t>
      </w:r>
      <w:r w:rsidRPr="005771BD">
        <w:rPr>
          <w:rFonts w:eastAsia="Cambria" w:cs="Arial"/>
          <w:szCs w:val="20"/>
          <w:u w:val="single"/>
          <w:lang w:val="sl-SI"/>
        </w:rPr>
        <w:t>atalogu 2013</w:t>
      </w:r>
      <w:r w:rsidRPr="005771BD">
        <w:rPr>
          <w:rFonts w:eastAsia="Cambria" w:cs="Arial"/>
          <w:szCs w:val="20"/>
          <w:lang w:val="sl-SI"/>
        </w:rPr>
        <w:t xml:space="preserve"> na spletni strani www.slovenija-co2.si in v </w:t>
      </w:r>
      <w:hyperlink r:id="rId300" w:tgtFrame="_blank" w:history="1">
        <w:r w:rsidRPr="005771BD">
          <w:rPr>
            <w:rFonts w:eastAsia="Cambria" w:cs="Arial"/>
            <w:szCs w:val="20"/>
            <w:u w:val="single"/>
            <w:lang w:val="sl-SI"/>
          </w:rPr>
          <w:t>kratkih animiranih filmih</w:t>
        </w:r>
      </w:hyperlink>
      <w:r w:rsidRPr="005771BD">
        <w:rPr>
          <w:rFonts w:eastAsia="Cambria" w:cs="Arial"/>
          <w:szCs w:val="20"/>
          <w:u w:val="single"/>
          <w:lang w:val="sl-SI"/>
        </w:rPr>
        <w:t xml:space="preserve"> </w:t>
      </w:r>
      <w:r w:rsidRPr="005771BD">
        <w:rPr>
          <w:rFonts w:eastAsia="Cambria" w:cs="Arial"/>
          <w:szCs w:val="20"/>
          <w:lang w:val="sl-SI"/>
        </w:rPr>
        <w:t xml:space="preserve">predstavljenih več slovenskih in tujih dobrih praks z naslednjih prednostnih področij: (1) energetska učinkovitost, obnovljivi viri energije </w:t>
      </w:r>
      <w:r>
        <w:rPr>
          <w:rFonts w:eastAsia="Cambria" w:cs="Arial"/>
          <w:szCs w:val="20"/>
          <w:lang w:val="sl-SI"/>
        </w:rPr>
        <w:t>in</w:t>
      </w:r>
      <w:r w:rsidRPr="005771BD">
        <w:rPr>
          <w:rFonts w:eastAsia="Cambria" w:cs="Arial"/>
          <w:szCs w:val="20"/>
          <w:lang w:val="sl-SI"/>
        </w:rPr>
        <w:t xml:space="preserve"> energetska prenova stavb, (2) trajnostna mobilnost, (3) trajnostno gospodarjenje z gozdovi, predelava lesa v obrti in industriji, les kot gradbeni material in oskrba z lesnimi gorivi, (4) ekološko kmetovanje, oskrbne mreže s sonaravno pridelano hrano, (5) trajnostni razvoj podeželja, (6) trajnostna proizvodnja in potrošnja, (7) prilagajanje na podnebne spremembe. Dobre prakse so bile predstavljene na delavnicah, </w:t>
      </w:r>
      <w:r>
        <w:rPr>
          <w:rFonts w:eastAsia="Cambria" w:cs="Arial"/>
          <w:szCs w:val="20"/>
          <w:lang w:val="sl-SI"/>
        </w:rPr>
        <w:t xml:space="preserve">z </w:t>
      </w:r>
      <w:r w:rsidRPr="005771BD">
        <w:rPr>
          <w:rFonts w:eastAsia="Cambria" w:cs="Arial"/>
          <w:szCs w:val="20"/>
          <w:lang w:val="sl-SI"/>
        </w:rPr>
        <w:t xml:space="preserve">ogledi v živo in </w:t>
      </w:r>
      <w:r>
        <w:rPr>
          <w:rFonts w:eastAsia="Cambria" w:cs="Arial"/>
          <w:szCs w:val="20"/>
          <w:lang w:val="sl-SI"/>
        </w:rPr>
        <w:t xml:space="preserve">na </w:t>
      </w:r>
      <w:r w:rsidRPr="005771BD">
        <w:rPr>
          <w:rFonts w:eastAsia="Cambria" w:cs="Arial"/>
          <w:szCs w:val="20"/>
          <w:lang w:val="sl-SI"/>
        </w:rPr>
        <w:t xml:space="preserve">spletnih straneh </w:t>
      </w:r>
      <w:hyperlink r:id="rId301" w:history="1">
        <w:r w:rsidRPr="005771BD">
          <w:rPr>
            <w:rFonts w:eastAsia="Cambria" w:cs="Arial"/>
            <w:szCs w:val="20"/>
            <w:u w:val="single"/>
            <w:lang w:val="sl-SI"/>
          </w:rPr>
          <w:t>www.slovenija-co2.si</w:t>
        </w:r>
      </w:hyperlink>
      <w:r w:rsidRPr="005771BD">
        <w:rPr>
          <w:rFonts w:eastAsia="Cambria" w:cs="Arial"/>
          <w:szCs w:val="20"/>
          <w:u w:val="single"/>
          <w:lang w:val="sl-SI"/>
        </w:rPr>
        <w:t xml:space="preserve">. Izdelana so bila tudi priporočila </w:t>
      </w:r>
      <w:r w:rsidRPr="005771BD">
        <w:rPr>
          <w:rFonts w:eastAsia="Cambria" w:cs="Arial"/>
          <w:szCs w:val="20"/>
          <w:lang w:val="sl-SI"/>
        </w:rPr>
        <w:t>odločevalcem za nadaljnje širjenje in uporabo dobrih praks</w:t>
      </w:r>
      <w:r>
        <w:rPr>
          <w:rFonts w:eastAsia="Cambria" w:cs="Arial"/>
          <w:szCs w:val="20"/>
          <w:lang w:val="sl-SI"/>
        </w:rPr>
        <w:t>;</w:t>
      </w:r>
    </w:p>
    <w:p w:rsidR="00DF4CD9" w:rsidRPr="005771BD" w:rsidRDefault="00DF4CD9" w:rsidP="00DF4CD9">
      <w:pPr>
        <w:numPr>
          <w:ilvl w:val="0"/>
          <w:numId w:val="29"/>
        </w:numPr>
        <w:spacing w:before="60" w:line="276" w:lineRule="auto"/>
        <w:ind w:left="284" w:hanging="284"/>
        <w:jc w:val="both"/>
        <w:rPr>
          <w:rFonts w:eastAsia="Cambria" w:cs="Arial"/>
          <w:iCs/>
          <w:szCs w:val="20"/>
          <w:lang w:val="sl-SI"/>
        </w:rPr>
      </w:pPr>
      <w:r>
        <w:rPr>
          <w:rFonts w:eastAsia="Cambria" w:cs="Arial"/>
          <w:szCs w:val="20"/>
          <w:lang w:val="sl-SI"/>
        </w:rPr>
        <w:t>t</w:t>
      </w:r>
      <w:r w:rsidRPr="005771BD">
        <w:rPr>
          <w:rFonts w:eastAsia="Cambria" w:cs="Arial"/>
          <w:szCs w:val="20"/>
          <w:lang w:val="sl-SI"/>
        </w:rPr>
        <w:t xml:space="preserve">retji projekt </w:t>
      </w:r>
      <w:r w:rsidRPr="005771BD">
        <w:rPr>
          <w:rFonts w:eastAsia="Cambria" w:cs="Arial"/>
          <w:b/>
          <w:iCs/>
          <w:szCs w:val="20"/>
          <w:lang w:val="sl-SI"/>
        </w:rPr>
        <w:t xml:space="preserve">»Slovenija znižuje CO2: dobre prakse« </w:t>
      </w:r>
      <w:r w:rsidRPr="005771BD">
        <w:rPr>
          <w:rFonts w:eastAsia="Cambria" w:cs="Arial"/>
          <w:iCs/>
          <w:szCs w:val="20"/>
          <w:lang w:val="sl-SI"/>
        </w:rPr>
        <w:t xml:space="preserve">je v obdobju </w:t>
      </w:r>
      <w:r w:rsidRPr="005771BD">
        <w:rPr>
          <w:rFonts w:eastAsia="Cambria" w:cs="Arial"/>
          <w:bCs/>
          <w:iCs/>
          <w:szCs w:val="20"/>
          <w:lang w:val="sl-SI"/>
        </w:rPr>
        <w:t>avgust 2015</w:t>
      </w:r>
      <w:r>
        <w:rPr>
          <w:rFonts w:eastAsia="Cambria" w:cs="Arial"/>
          <w:bCs/>
          <w:iCs/>
          <w:szCs w:val="20"/>
          <w:lang w:val="sl-SI"/>
        </w:rPr>
        <w:t>–</w:t>
      </w:r>
      <w:r w:rsidRPr="005771BD">
        <w:rPr>
          <w:rFonts w:eastAsia="Cambria" w:cs="Arial"/>
          <w:bCs/>
          <w:iCs/>
          <w:szCs w:val="20"/>
          <w:lang w:val="sl-SI"/>
        </w:rPr>
        <w:t xml:space="preserve">avgust 2016 </w:t>
      </w:r>
      <w:r w:rsidRPr="005771BD">
        <w:rPr>
          <w:rFonts w:eastAsia="Cambria" w:cs="Arial"/>
          <w:iCs/>
          <w:szCs w:val="20"/>
          <w:lang w:val="sl-SI"/>
        </w:rPr>
        <w:t xml:space="preserve">financiralo MOP iz sredstev </w:t>
      </w:r>
      <w:r>
        <w:rPr>
          <w:rFonts w:eastAsia="Cambria" w:cs="Arial"/>
          <w:iCs/>
          <w:szCs w:val="20"/>
          <w:lang w:val="sl-SI"/>
        </w:rPr>
        <w:t>s</w:t>
      </w:r>
      <w:r w:rsidRPr="005771BD">
        <w:rPr>
          <w:rFonts w:eastAsia="Cambria" w:cs="Arial"/>
          <w:iCs/>
          <w:szCs w:val="20"/>
          <w:lang w:val="sl-SI"/>
        </w:rPr>
        <w:t xml:space="preserve">klada za podnebne spremembe. Strokovna projektna skupina je izbrala 23 dobrih praks </w:t>
      </w:r>
      <w:r>
        <w:rPr>
          <w:rFonts w:eastAsia="Cambria" w:cs="Arial"/>
          <w:iCs/>
          <w:szCs w:val="20"/>
          <w:lang w:val="sl-SI"/>
        </w:rPr>
        <w:t>s</w:t>
      </w:r>
      <w:r w:rsidRPr="005771BD">
        <w:rPr>
          <w:rFonts w:eastAsia="Cambria" w:cs="Arial"/>
          <w:iCs/>
          <w:szCs w:val="20"/>
          <w:lang w:val="sl-SI"/>
        </w:rPr>
        <w:t xml:space="preserve"> sedmih prednostnih področij, podobno kot v prvih dveh projektih, </w:t>
      </w:r>
      <w:r>
        <w:rPr>
          <w:rFonts w:eastAsia="Cambria" w:cs="Arial"/>
          <w:iCs/>
          <w:szCs w:val="20"/>
          <w:lang w:val="sl-SI"/>
        </w:rPr>
        <w:t>pri čemer</w:t>
      </w:r>
      <w:r w:rsidRPr="005771BD">
        <w:rPr>
          <w:rFonts w:eastAsia="Cambria" w:cs="Arial"/>
          <w:iCs/>
          <w:szCs w:val="20"/>
          <w:lang w:val="sl-SI"/>
        </w:rPr>
        <w:t xml:space="preserve"> so bile izbrane le praktične rešitve iz Slovenije. Tudi tokrat so </w:t>
      </w:r>
      <w:r>
        <w:rPr>
          <w:rFonts w:eastAsia="Cambria" w:cs="Arial"/>
          <w:iCs/>
          <w:szCs w:val="20"/>
          <w:lang w:val="sl-SI"/>
        </w:rPr>
        <w:t>merila izbire</w:t>
      </w:r>
      <w:r w:rsidRPr="005771BD">
        <w:rPr>
          <w:rFonts w:eastAsia="Cambria" w:cs="Arial"/>
          <w:iCs/>
          <w:szCs w:val="20"/>
          <w:lang w:val="sl-SI"/>
        </w:rPr>
        <w:t xml:space="preserve"> vključeval</w:t>
      </w:r>
      <w:r>
        <w:rPr>
          <w:rFonts w:eastAsia="Cambria" w:cs="Arial"/>
          <w:iCs/>
          <w:szCs w:val="20"/>
          <w:lang w:val="sl-SI"/>
        </w:rPr>
        <w:t>a</w:t>
      </w:r>
      <w:r w:rsidRPr="005771BD">
        <w:rPr>
          <w:rFonts w:eastAsia="Cambria" w:cs="Arial"/>
          <w:iCs/>
          <w:szCs w:val="20"/>
          <w:lang w:val="sl-SI"/>
        </w:rPr>
        <w:t xml:space="preserve"> prispevke </w:t>
      </w:r>
      <w:r>
        <w:rPr>
          <w:rFonts w:eastAsia="Cambria" w:cs="Arial"/>
          <w:bCs/>
          <w:iCs/>
          <w:szCs w:val="20"/>
          <w:lang w:val="sl-SI"/>
        </w:rPr>
        <w:t>za</w:t>
      </w:r>
      <w:r w:rsidRPr="005771BD">
        <w:rPr>
          <w:rFonts w:eastAsia="Cambria" w:cs="Arial"/>
          <w:bCs/>
          <w:iCs/>
          <w:szCs w:val="20"/>
          <w:lang w:val="sl-SI"/>
        </w:rPr>
        <w:t xml:space="preserve"> blaženj</w:t>
      </w:r>
      <w:r>
        <w:rPr>
          <w:rFonts w:eastAsia="Cambria" w:cs="Arial"/>
          <w:bCs/>
          <w:iCs/>
          <w:szCs w:val="20"/>
          <w:lang w:val="sl-SI"/>
        </w:rPr>
        <w:t>e</w:t>
      </w:r>
      <w:r w:rsidRPr="005771BD">
        <w:rPr>
          <w:rFonts w:eastAsia="Cambria" w:cs="Arial"/>
          <w:bCs/>
          <w:iCs/>
          <w:szCs w:val="20"/>
          <w:lang w:val="sl-SI"/>
        </w:rPr>
        <w:t xml:space="preserve"> učinkov podnebnih sprememb in prilagajanj</w:t>
      </w:r>
      <w:r>
        <w:rPr>
          <w:rFonts w:eastAsia="Cambria" w:cs="Arial"/>
          <w:bCs/>
          <w:iCs/>
          <w:szCs w:val="20"/>
          <w:lang w:val="sl-SI"/>
        </w:rPr>
        <w:t>e</w:t>
      </w:r>
      <w:r w:rsidRPr="005771BD">
        <w:rPr>
          <w:rFonts w:eastAsia="Cambria" w:cs="Arial"/>
          <w:bCs/>
          <w:iCs/>
          <w:szCs w:val="20"/>
          <w:lang w:val="sl-SI"/>
        </w:rPr>
        <w:t xml:space="preserve"> nanje </w:t>
      </w:r>
      <w:r>
        <w:rPr>
          <w:rFonts w:eastAsia="Cambria" w:cs="Arial"/>
          <w:bCs/>
          <w:iCs/>
          <w:szCs w:val="20"/>
          <w:lang w:val="sl-SI"/>
        </w:rPr>
        <w:t>ter</w:t>
      </w:r>
      <w:r w:rsidRPr="005771BD">
        <w:rPr>
          <w:rFonts w:eastAsia="Cambria" w:cs="Arial"/>
          <w:bCs/>
          <w:iCs/>
          <w:szCs w:val="20"/>
          <w:lang w:val="sl-SI"/>
        </w:rPr>
        <w:t xml:space="preserve"> uveljavit</w:t>
      </w:r>
      <w:r>
        <w:rPr>
          <w:rFonts w:eastAsia="Cambria" w:cs="Arial"/>
          <w:bCs/>
          <w:iCs/>
          <w:szCs w:val="20"/>
          <w:lang w:val="sl-SI"/>
        </w:rPr>
        <w:t>ev</w:t>
      </w:r>
      <w:r w:rsidRPr="005771BD">
        <w:rPr>
          <w:rFonts w:eastAsia="Cambria" w:cs="Arial"/>
          <w:bCs/>
          <w:iCs/>
          <w:szCs w:val="20"/>
          <w:lang w:val="sl-SI"/>
        </w:rPr>
        <w:t xml:space="preserve"> načel trajnostnega </w:t>
      </w:r>
      <w:r w:rsidRPr="005771BD">
        <w:rPr>
          <w:rFonts w:eastAsia="Cambria" w:cs="Arial"/>
          <w:iCs/>
          <w:szCs w:val="20"/>
          <w:lang w:val="sl-SI"/>
        </w:rPr>
        <w:t>razvoja, hkrati pa tudi izkazan</w:t>
      </w:r>
      <w:r>
        <w:rPr>
          <w:rFonts w:eastAsia="Cambria" w:cs="Arial"/>
          <w:iCs/>
          <w:szCs w:val="20"/>
          <w:lang w:val="sl-SI"/>
        </w:rPr>
        <w:t>e možnosti</w:t>
      </w:r>
      <w:r w:rsidRPr="005771BD">
        <w:rPr>
          <w:rFonts w:eastAsia="Cambria" w:cs="Arial"/>
          <w:iCs/>
          <w:szCs w:val="20"/>
          <w:lang w:val="sl-SI"/>
        </w:rPr>
        <w:t xml:space="preserve"> za prispevanje h gospodarski konkurenčnosti in zaposlovanju. Podrobnejše predstavitve dobrih praks s slikovnim in video materialom so bile dvakrat mesečno objavljane na spletu in družabnih omrežjih. </w:t>
      </w:r>
      <w:r w:rsidRPr="005771BD">
        <w:rPr>
          <w:rFonts w:eastAsia="Cambria" w:cs="Arial"/>
          <w:bCs/>
          <w:iCs/>
          <w:szCs w:val="20"/>
          <w:lang w:val="sl-SI"/>
        </w:rPr>
        <w:t>Dobre prakse so bile umeščene na Googl</w:t>
      </w:r>
      <w:r>
        <w:rPr>
          <w:rFonts w:eastAsia="Cambria" w:cs="Arial"/>
          <w:bCs/>
          <w:iCs/>
          <w:szCs w:val="20"/>
          <w:lang w:val="sl-SI"/>
        </w:rPr>
        <w:t>ov</w:t>
      </w:r>
      <w:r w:rsidRPr="005771BD">
        <w:rPr>
          <w:rFonts w:eastAsia="Cambria" w:cs="Arial"/>
          <w:bCs/>
          <w:iCs/>
          <w:szCs w:val="20"/>
          <w:lang w:val="sl-SI"/>
        </w:rPr>
        <w:t xml:space="preserve"> zemljevid, skupaj s praksami, zbranimi v prejšnjih letih (skupaj 63 dobrih praks). Pripravljena sta bila </w:t>
      </w:r>
      <w:hyperlink r:id="rId302" w:tgtFrame="_blank" w:history="1">
        <w:r>
          <w:rPr>
            <w:rFonts w:eastAsia="Cambria" w:cs="Arial"/>
            <w:bCs/>
            <w:iCs/>
            <w:szCs w:val="20"/>
            <w:u w:val="single"/>
            <w:lang w:val="sl-SI"/>
          </w:rPr>
          <w:t>k</w:t>
        </w:r>
        <w:r w:rsidRPr="005771BD">
          <w:rPr>
            <w:rFonts w:eastAsia="Cambria" w:cs="Arial"/>
            <w:bCs/>
            <w:iCs/>
            <w:szCs w:val="20"/>
            <w:u w:val="single"/>
            <w:lang w:val="sl-SI"/>
          </w:rPr>
          <w:t>atalog dobrih praks zniževanja izpustov CO2</w:t>
        </w:r>
      </w:hyperlink>
      <w:r w:rsidRPr="005771BD">
        <w:rPr>
          <w:rFonts w:eastAsia="Cambria" w:cs="Arial"/>
          <w:bCs/>
          <w:iCs/>
          <w:szCs w:val="20"/>
          <w:lang w:val="sl-SI"/>
        </w:rPr>
        <w:t xml:space="preserve"> in </w:t>
      </w:r>
      <w:hyperlink r:id="rId303" w:history="1">
        <w:r w:rsidRPr="005771BD">
          <w:rPr>
            <w:rFonts w:eastAsia="Cambria" w:cs="Arial"/>
            <w:bCs/>
            <w:iCs/>
            <w:szCs w:val="20"/>
            <w:u w:val="single"/>
            <w:lang w:val="sl-SI"/>
          </w:rPr>
          <w:t>kompilacijski video</w:t>
        </w:r>
      </w:hyperlink>
      <w:r w:rsidRPr="005771BD">
        <w:rPr>
          <w:rFonts w:eastAsia="Cambria" w:cs="Arial"/>
          <w:bCs/>
          <w:iCs/>
          <w:szCs w:val="20"/>
          <w:lang w:val="sl-SI"/>
        </w:rPr>
        <w:t xml:space="preserve"> s predstavitvijo 20 dobrih praks, izbranih v preteklih letih. </w:t>
      </w:r>
    </w:p>
    <w:p w:rsidR="00DF4CD9" w:rsidRPr="005771BD" w:rsidRDefault="00DF4CD9" w:rsidP="00DF4CD9">
      <w:pPr>
        <w:numPr>
          <w:ilvl w:val="0"/>
          <w:numId w:val="29"/>
        </w:numPr>
        <w:spacing w:before="60" w:after="200" w:line="276" w:lineRule="auto"/>
        <w:ind w:left="284" w:hanging="284"/>
        <w:jc w:val="both"/>
        <w:rPr>
          <w:rFonts w:eastAsia="Cambria" w:cs="Arial"/>
          <w:iCs/>
          <w:szCs w:val="20"/>
          <w:lang w:val="sl-SI"/>
        </w:rPr>
      </w:pPr>
      <w:r w:rsidRPr="005771BD">
        <w:rPr>
          <w:rFonts w:eastAsia="Cambria" w:cs="Arial"/>
          <w:iCs/>
          <w:szCs w:val="20"/>
          <w:lang w:val="sl-SI"/>
        </w:rPr>
        <w:t xml:space="preserve">Projekte »Slovenija znižuje CO2: dobre prakse« je izvajala Umanotera, </w:t>
      </w:r>
      <w:r>
        <w:rPr>
          <w:rFonts w:eastAsia="Cambria" w:cs="Arial"/>
          <w:iCs/>
          <w:szCs w:val="20"/>
          <w:lang w:val="sl-SI"/>
        </w:rPr>
        <w:t>s</w:t>
      </w:r>
      <w:r w:rsidRPr="005771BD">
        <w:rPr>
          <w:rFonts w:eastAsia="Cambria" w:cs="Arial"/>
          <w:iCs/>
          <w:szCs w:val="20"/>
          <w:lang w:val="sl-SI"/>
        </w:rPr>
        <w:t xml:space="preserve">lovenska fundacija za trajnostni razvoj. </w:t>
      </w:r>
    </w:p>
    <w:p w:rsidR="00DF4CD9" w:rsidRPr="005771BD" w:rsidRDefault="00DF4CD9" w:rsidP="00DF4CD9">
      <w:pPr>
        <w:spacing w:after="200" w:line="276" w:lineRule="auto"/>
        <w:jc w:val="both"/>
        <w:rPr>
          <w:rFonts w:eastAsiaTheme="minorHAnsi" w:cs="Arial"/>
          <w:szCs w:val="20"/>
          <w:lang w:val="sl-SI"/>
        </w:rPr>
      </w:pPr>
      <w:r w:rsidRPr="005771BD">
        <w:rPr>
          <w:rFonts w:eastAsia="Cambria" w:cs="Arial"/>
          <w:bCs/>
          <w:szCs w:val="20"/>
          <w:lang w:val="sl-SI"/>
        </w:rPr>
        <w:t xml:space="preserve">V letu 2010 je Umanotera, </w:t>
      </w:r>
      <w:r>
        <w:rPr>
          <w:rFonts w:eastAsia="Cambria" w:cs="Arial"/>
          <w:bCs/>
          <w:szCs w:val="20"/>
          <w:lang w:val="sl-SI"/>
        </w:rPr>
        <w:t>s</w:t>
      </w:r>
      <w:r w:rsidRPr="005771BD">
        <w:rPr>
          <w:rFonts w:eastAsia="Cambria" w:cs="Arial"/>
          <w:bCs/>
          <w:szCs w:val="20"/>
          <w:lang w:val="sl-SI"/>
        </w:rPr>
        <w:t xml:space="preserve">lovenska fundacija za trajnostni razvoj ob podpori več financerjev pripravila </w:t>
      </w:r>
      <w:r w:rsidRPr="005771BD">
        <w:rPr>
          <w:rFonts w:eastAsia="Cambria" w:cs="Arial"/>
          <w:szCs w:val="20"/>
          <w:lang w:val="sl-SI"/>
        </w:rPr>
        <w:t xml:space="preserve">razstavo o mogočih posledicah podnebnih sprememb </w:t>
      </w:r>
      <w:hyperlink r:id="rId304" w:history="1">
        <w:r w:rsidRPr="005771BD">
          <w:rPr>
            <w:rFonts w:eastAsia="Cambria" w:cs="Arial"/>
            <w:b/>
            <w:szCs w:val="20"/>
            <w:u w:val="single"/>
            <w:lang w:val="sl-SI"/>
          </w:rPr>
          <w:t>»</w:t>
        </w:r>
        <w:r>
          <w:rPr>
            <w:rFonts w:eastAsia="Cambria" w:cs="Arial"/>
            <w:b/>
            <w:szCs w:val="20"/>
            <w:u w:val="single"/>
            <w:lang w:val="sl-SI"/>
          </w:rPr>
          <w:t>r</w:t>
        </w:r>
        <w:r w:rsidRPr="005771BD">
          <w:rPr>
            <w:rFonts w:eastAsia="Cambria" w:cs="Arial"/>
            <w:b/>
            <w:szCs w:val="20"/>
            <w:u w:val="single"/>
            <w:lang w:val="sl-SI"/>
          </w:rPr>
          <w:t>azstava SLOVENIJA, 50+«</w:t>
        </w:r>
      </w:hyperlink>
      <w:r w:rsidRPr="005771BD">
        <w:rPr>
          <w:rFonts w:eastAsia="Cambria" w:cs="Arial"/>
          <w:szCs w:val="20"/>
          <w:lang w:val="sl-SI"/>
        </w:rPr>
        <w:t xml:space="preserve">, ki je gostovala v </w:t>
      </w:r>
      <w:r>
        <w:rPr>
          <w:rFonts w:eastAsia="Cambria" w:cs="Arial"/>
          <w:szCs w:val="20"/>
          <w:lang w:val="sl-SI"/>
        </w:rPr>
        <w:t xml:space="preserve">Mercatorjevih </w:t>
      </w:r>
      <w:r w:rsidRPr="005771BD">
        <w:rPr>
          <w:rFonts w:eastAsia="Cambria" w:cs="Arial"/>
          <w:szCs w:val="20"/>
          <w:lang w:val="sl-SI"/>
        </w:rPr>
        <w:t>marketih</w:t>
      </w:r>
      <w:r>
        <w:rPr>
          <w:rFonts w:eastAsia="Cambria" w:cs="Arial"/>
          <w:szCs w:val="20"/>
          <w:lang w:val="sl-SI"/>
        </w:rPr>
        <w:t xml:space="preserve"> v</w:t>
      </w:r>
      <w:r w:rsidRPr="005771BD">
        <w:rPr>
          <w:rFonts w:eastAsia="Cambria" w:cs="Arial"/>
          <w:szCs w:val="20"/>
          <w:lang w:val="sl-SI"/>
        </w:rPr>
        <w:t xml:space="preserve"> različnih slovenskih mest</w:t>
      </w:r>
      <w:r>
        <w:rPr>
          <w:rFonts w:eastAsia="Cambria" w:cs="Arial"/>
          <w:szCs w:val="20"/>
          <w:lang w:val="sl-SI"/>
        </w:rPr>
        <w:t>ih</w:t>
      </w:r>
      <w:r w:rsidRPr="005771BD">
        <w:rPr>
          <w:rFonts w:eastAsia="Cambria" w:cs="Arial"/>
          <w:szCs w:val="20"/>
          <w:lang w:val="sl-SI"/>
        </w:rPr>
        <w:t xml:space="preserve">. Slike, ki prepričljivo prikazujejo stanje nekaj značilnih lokacij Slovenije in prizore iz življenja ljudi v </w:t>
      </w:r>
      <w:r>
        <w:rPr>
          <w:rFonts w:eastAsia="Cambria" w:cs="Arial"/>
          <w:szCs w:val="20"/>
          <w:lang w:val="sl-SI"/>
        </w:rPr>
        <w:t>drugi</w:t>
      </w:r>
      <w:r w:rsidRPr="005771BD">
        <w:rPr>
          <w:rFonts w:eastAsia="Cambria" w:cs="Arial"/>
          <w:szCs w:val="20"/>
          <w:lang w:val="sl-SI"/>
        </w:rPr>
        <w:t xml:space="preserve"> polovici tega stoletja ob neukrepanju v zvezi s podnebnimi spremembami, so dopolnjene z jasnimi razlagami in spodbudami za ukrepanje: spremeniti navade, prisiliti politike k ukrepanju, navdušiti druge. Pri pripravi razstave je sodelovalo več strokovnjakov, izhajali pa so iz napovedi, </w:t>
      </w:r>
      <w:r>
        <w:rPr>
          <w:rFonts w:eastAsia="Cambria" w:cs="Arial"/>
          <w:szCs w:val="20"/>
          <w:lang w:val="sl-SI"/>
        </w:rPr>
        <w:t>da bo v</w:t>
      </w:r>
      <w:r w:rsidRPr="005771BD">
        <w:rPr>
          <w:rFonts w:eastAsia="Cambria" w:cs="Arial"/>
          <w:szCs w:val="20"/>
          <w:lang w:val="sl-SI"/>
        </w:rPr>
        <w:t xml:space="preserve"> Sloveniji</w:t>
      </w:r>
      <w:r>
        <w:rPr>
          <w:rFonts w:eastAsia="Cambria" w:cs="Arial"/>
          <w:szCs w:val="20"/>
          <w:lang w:val="sl-SI"/>
        </w:rPr>
        <w:t xml:space="preserve"> povprečna temperatura naraščala</w:t>
      </w:r>
      <w:r w:rsidRPr="005771BD">
        <w:rPr>
          <w:rFonts w:eastAsia="Cambria" w:cs="Arial"/>
          <w:szCs w:val="20"/>
          <w:lang w:val="sl-SI"/>
        </w:rPr>
        <w:t xml:space="preserve"> hitreje od svetovnega povprečja. </w:t>
      </w:r>
    </w:p>
    <w:p w:rsidR="00DF4CD9" w:rsidRPr="007B7F58" w:rsidRDefault="00DF4CD9" w:rsidP="00DF4CD9">
      <w:pPr>
        <w:spacing w:after="200" w:line="276" w:lineRule="auto"/>
        <w:jc w:val="both"/>
        <w:rPr>
          <w:rFonts w:eastAsia="Cambria" w:cs="Arial"/>
          <w:szCs w:val="20"/>
          <w:lang w:val="sl-SI"/>
        </w:rPr>
      </w:pPr>
      <w:r w:rsidRPr="005771BD">
        <w:rPr>
          <w:rFonts w:eastAsia="Calibri" w:cs="Arial"/>
          <w:szCs w:val="20"/>
          <w:lang w:val="sl-SI"/>
        </w:rPr>
        <w:t xml:space="preserve">Neprofitno društvo </w:t>
      </w:r>
      <w:r w:rsidRPr="005771BD">
        <w:rPr>
          <w:rFonts w:eastAsia="Calibri" w:cs="Arial"/>
          <w:b/>
          <w:szCs w:val="20"/>
          <w:lang w:val="sl-SI"/>
        </w:rPr>
        <w:t>Ekologi brez meja</w:t>
      </w:r>
      <w:r w:rsidRPr="005771BD">
        <w:rPr>
          <w:rFonts w:eastAsia="Calibri" w:cs="Arial"/>
          <w:szCs w:val="20"/>
          <w:lang w:val="sl-SI"/>
        </w:rPr>
        <w:t xml:space="preserve"> je v letu 2010 izvedlo največji okoljevarstveni projekt v zgodovini države »</w:t>
      </w:r>
      <w:hyperlink r:id="rId305" w:history="1">
        <w:r>
          <w:rPr>
            <w:rFonts w:eastAsia="Calibri" w:cs="Arial"/>
            <w:b/>
            <w:szCs w:val="20"/>
            <w:u w:val="single"/>
            <w:lang w:val="sl-SI"/>
          </w:rPr>
          <w:t>o</w:t>
        </w:r>
        <w:r w:rsidRPr="005771BD">
          <w:rPr>
            <w:rFonts w:eastAsia="Calibri" w:cs="Arial"/>
            <w:b/>
            <w:szCs w:val="20"/>
            <w:u w:val="single"/>
            <w:lang w:val="sl-SI"/>
          </w:rPr>
          <w:t>čistimo Slovenijo v enem dnevu!</w:t>
        </w:r>
      </w:hyperlink>
      <w:r w:rsidRPr="005771BD">
        <w:rPr>
          <w:rFonts w:eastAsia="Calibri" w:cs="Arial"/>
          <w:szCs w:val="20"/>
          <w:lang w:val="sl-SI"/>
        </w:rPr>
        <w:t xml:space="preserve">«, za kar </w:t>
      </w:r>
      <w:r>
        <w:rPr>
          <w:rFonts w:eastAsia="Calibri" w:cs="Arial"/>
          <w:szCs w:val="20"/>
          <w:lang w:val="sl-SI"/>
        </w:rPr>
        <w:t>jih je</w:t>
      </w:r>
      <w:r w:rsidRPr="005771BD">
        <w:rPr>
          <w:rFonts w:eastAsia="Calibri" w:cs="Arial"/>
          <w:szCs w:val="20"/>
          <w:lang w:val="sl-SI"/>
        </w:rPr>
        <w:t xml:space="preserve"> med drugim odlikova</w:t>
      </w:r>
      <w:r>
        <w:rPr>
          <w:rFonts w:eastAsia="Calibri" w:cs="Arial"/>
          <w:szCs w:val="20"/>
          <w:lang w:val="sl-SI"/>
        </w:rPr>
        <w:t>l</w:t>
      </w:r>
      <w:r w:rsidRPr="005771BD">
        <w:rPr>
          <w:rFonts w:eastAsia="Calibri" w:cs="Arial"/>
          <w:szCs w:val="20"/>
          <w:lang w:val="sl-SI"/>
        </w:rPr>
        <w:t xml:space="preserve"> z redom za zasluge predsednik države. V tej vseslovenski akciji je sodelovalo 270.000 prostovoljcev (več kot 13</w:t>
      </w:r>
      <w:r>
        <w:rPr>
          <w:rFonts w:eastAsia="Calibri" w:cs="Arial"/>
          <w:szCs w:val="20"/>
          <w:lang w:val="sl-SI"/>
        </w:rPr>
        <w:t xml:space="preserve"> </w:t>
      </w:r>
      <w:r w:rsidRPr="005771BD">
        <w:rPr>
          <w:rFonts w:eastAsia="Calibri" w:cs="Arial"/>
          <w:szCs w:val="20"/>
          <w:lang w:val="sl-SI"/>
        </w:rPr>
        <w:t xml:space="preserve">% populacije, ki so bili med seboj regionalno povezani ter so tesno sodelovali z občinami, komunalnimi in drugimi javnimi podjetji, različnimi društvi in ustanovami, ki so pripomogla k organizaciji akcije in popisovanju divjih odlagališč). V okviru akcije je nastal prvi vseslovenski register divjih odlagališč. Akcija je imela izjemen pomen tudi </w:t>
      </w:r>
      <w:r>
        <w:rPr>
          <w:rFonts w:eastAsia="Calibri" w:cs="Arial"/>
          <w:szCs w:val="20"/>
          <w:lang w:val="sl-SI"/>
        </w:rPr>
        <w:t>glede</w:t>
      </w:r>
      <w:r w:rsidRPr="005771BD">
        <w:rPr>
          <w:rFonts w:eastAsia="Calibri" w:cs="Arial"/>
          <w:szCs w:val="20"/>
          <w:lang w:val="sl-SI"/>
        </w:rPr>
        <w:t xml:space="preserve"> ozaveščanja in vzgoje za trajnostnega potrošnika. V letu 2012 je bila ponovljena s še boljšimi rezultati kot del projekta </w:t>
      </w:r>
      <w:hyperlink r:id="rId306" w:tgtFrame="_blank" w:history="1">
        <w:r w:rsidRPr="007B7F58">
          <w:rPr>
            <w:rFonts w:eastAsia="Cambria" w:cs="Arial"/>
            <w:szCs w:val="20"/>
            <w:u w:val="single"/>
            <w:lang w:val="sl-SI"/>
          </w:rPr>
          <w:t>World Cleanup 2012</w:t>
        </w:r>
      </w:hyperlink>
      <w:r w:rsidRPr="007B7F58">
        <w:rPr>
          <w:rFonts w:eastAsia="Cambria" w:cs="Arial"/>
          <w:szCs w:val="20"/>
          <w:lang w:val="sl-SI"/>
        </w:rPr>
        <w:t>.</w:t>
      </w:r>
    </w:p>
    <w:p w:rsidR="00DF4CD9" w:rsidRPr="007B7F58" w:rsidRDefault="00DF4CD9" w:rsidP="00DF4CD9">
      <w:pPr>
        <w:spacing w:after="200" w:line="276" w:lineRule="auto"/>
        <w:jc w:val="both"/>
        <w:rPr>
          <w:rFonts w:eastAsia="Cambria" w:cs="Arial"/>
          <w:szCs w:val="20"/>
          <w:lang w:val="sl-SI"/>
        </w:rPr>
      </w:pPr>
      <w:r w:rsidRPr="005771BD">
        <w:rPr>
          <w:rFonts w:eastAsia="Cambria" w:cs="Arial"/>
          <w:szCs w:val="20"/>
          <w:lang w:val="sl-SI"/>
        </w:rPr>
        <w:t xml:space="preserve">Umanotera, </w:t>
      </w:r>
      <w:r>
        <w:rPr>
          <w:rFonts w:eastAsia="Cambria" w:cs="Arial"/>
          <w:szCs w:val="20"/>
          <w:lang w:val="sl-SI"/>
        </w:rPr>
        <w:t>s</w:t>
      </w:r>
      <w:r w:rsidRPr="005771BD">
        <w:rPr>
          <w:rFonts w:eastAsia="Cambria" w:cs="Arial"/>
          <w:szCs w:val="20"/>
          <w:lang w:val="sl-SI"/>
        </w:rPr>
        <w:t xml:space="preserve">lovenska fundacija za trajnostni razvoj je bila slovenski partner v projektu </w:t>
      </w:r>
      <w:r>
        <w:rPr>
          <w:rFonts w:eastAsia="Cambria" w:cs="Arial"/>
          <w:b/>
          <w:szCs w:val="20"/>
          <w:lang w:val="sl-SI"/>
        </w:rPr>
        <w:t>e</w:t>
      </w:r>
      <w:r w:rsidRPr="005771BD">
        <w:rPr>
          <w:rFonts w:eastAsia="Cambria" w:cs="Arial"/>
          <w:b/>
          <w:szCs w:val="20"/>
          <w:lang w:val="sl-SI"/>
        </w:rPr>
        <w:t>vropska zelena pisarna</w:t>
      </w:r>
      <w:r w:rsidRPr="005771BD">
        <w:rPr>
          <w:rFonts w:eastAsia="Cambria" w:cs="Arial"/>
          <w:szCs w:val="20"/>
          <w:lang w:val="sl-SI"/>
        </w:rPr>
        <w:t xml:space="preserve"> (</w:t>
      </w:r>
      <w:r w:rsidRPr="005771BD">
        <w:rPr>
          <w:rFonts w:eastAsia="Cambria" w:cs="Arial"/>
          <w:b/>
          <w:szCs w:val="20"/>
          <w:lang w:val="sl-SI"/>
        </w:rPr>
        <w:t>EGO</w:t>
      </w:r>
      <w:r w:rsidRPr="005771BD">
        <w:rPr>
          <w:rFonts w:eastAsia="Cambria" w:cs="Arial"/>
          <w:szCs w:val="20"/>
          <w:lang w:val="sl-SI"/>
        </w:rPr>
        <w:t xml:space="preserve"> – European Green Office), ki prispeva k preoblikovanju pisarn v podjetjih v okolju in človeku prijazne ter spodbuja razvoj spretnosti in znanja pri zaposlenih. V projektu so partnerji iz šestih držav oblikovali različna orodja za usposabljanje v podjetjih in organizacijah: spletno stran (</w:t>
      </w:r>
      <w:hyperlink r:id="rId307" w:history="1">
        <w:r w:rsidRPr="005771BD">
          <w:rPr>
            <w:rFonts w:eastAsia="Cambria" w:cs="Arial"/>
            <w:szCs w:val="20"/>
            <w:u w:val="single"/>
            <w:lang w:val="sl-SI"/>
          </w:rPr>
          <w:t>http://www.eugreenoffice.eu/si</w:t>
        </w:r>
      </w:hyperlink>
      <w:r w:rsidRPr="005771BD">
        <w:rPr>
          <w:rFonts w:eastAsia="Cambria" w:cs="Arial"/>
          <w:szCs w:val="20"/>
          <w:lang w:val="sl-SI"/>
        </w:rPr>
        <w:t xml:space="preserve">) in na njej dostopne </w:t>
      </w:r>
      <w:r>
        <w:rPr>
          <w:rFonts w:eastAsia="Cambria" w:cs="Arial"/>
          <w:szCs w:val="20"/>
          <w:lang w:val="sl-SI"/>
        </w:rPr>
        <w:t>p</w:t>
      </w:r>
      <w:r w:rsidRPr="005771BD">
        <w:rPr>
          <w:rFonts w:eastAsia="Cambria" w:cs="Arial"/>
          <w:szCs w:val="20"/>
          <w:lang w:val="sl-SI"/>
        </w:rPr>
        <w:t xml:space="preserve">riročnik za </w:t>
      </w:r>
      <w:r>
        <w:rPr>
          <w:rFonts w:eastAsia="Cambria" w:cs="Arial"/>
          <w:szCs w:val="20"/>
          <w:lang w:val="sl-SI"/>
        </w:rPr>
        <w:t>z</w:t>
      </w:r>
      <w:r w:rsidRPr="005771BD">
        <w:rPr>
          <w:rFonts w:eastAsia="Cambria" w:cs="Arial"/>
          <w:szCs w:val="20"/>
          <w:lang w:val="sl-SI"/>
        </w:rPr>
        <w:t xml:space="preserve">eleno pisarno, </w:t>
      </w:r>
      <w:r>
        <w:rPr>
          <w:rFonts w:eastAsia="Cambria" w:cs="Arial"/>
          <w:szCs w:val="20"/>
          <w:lang w:val="sl-SI"/>
        </w:rPr>
        <w:t>k</w:t>
      </w:r>
      <w:r w:rsidRPr="005771BD">
        <w:rPr>
          <w:rFonts w:eastAsia="Cambria" w:cs="Arial"/>
          <w:szCs w:val="20"/>
          <w:lang w:val="sl-SI"/>
        </w:rPr>
        <w:t xml:space="preserve">alkulator ekološkega odtisa, </w:t>
      </w:r>
      <w:r>
        <w:rPr>
          <w:rFonts w:eastAsia="Cambria" w:cs="Arial"/>
          <w:szCs w:val="20"/>
          <w:lang w:val="sl-SI"/>
        </w:rPr>
        <w:t>v</w:t>
      </w:r>
      <w:r w:rsidRPr="005771BD">
        <w:rPr>
          <w:rFonts w:eastAsia="Cambria" w:cs="Arial"/>
          <w:szCs w:val="20"/>
          <w:lang w:val="sl-SI"/>
        </w:rPr>
        <w:t xml:space="preserve">irtualno pisarno in </w:t>
      </w:r>
      <w:r>
        <w:rPr>
          <w:rFonts w:eastAsia="Cambria" w:cs="Arial"/>
          <w:szCs w:val="20"/>
          <w:lang w:val="sl-SI"/>
        </w:rPr>
        <w:t>k</w:t>
      </w:r>
      <w:r w:rsidRPr="005771BD">
        <w:rPr>
          <w:rFonts w:eastAsia="Cambria" w:cs="Arial"/>
          <w:szCs w:val="20"/>
          <w:lang w:val="sl-SI"/>
        </w:rPr>
        <w:t xml:space="preserve">ontrolni seznam za </w:t>
      </w:r>
      <w:r>
        <w:rPr>
          <w:rFonts w:eastAsia="Cambria" w:cs="Arial"/>
          <w:szCs w:val="20"/>
          <w:lang w:val="sl-SI"/>
        </w:rPr>
        <w:t>z</w:t>
      </w:r>
      <w:r w:rsidRPr="005771BD">
        <w:rPr>
          <w:rFonts w:eastAsia="Cambria" w:cs="Arial"/>
          <w:szCs w:val="20"/>
          <w:lang w:val="sl-SI"/>
        </w:rPr>
        <w:t xml:space="preserve">eleno pisarno. Vsa orodja so prevedena v slovenski jezik. </w:t>
      </w:r>
      <w:r>
        <w:rPr>
          <w:rFonts w:eastAsia="Cambria" w:cs="Arial"/>
          <w:szCs w:val="20"/>
          <w:lang w:val="sl-SI"/>
        </w:rPr>
        <w:t>Ta</w:t>
      </w:r>
      <w:r w:rsidRPr="005771BD">
        <w:rPr>
          <w:rFonts w:eastAsia="Cambria" w:cs="Arial"/>
          <w:szCs w:val="20"/>
          <w:lang w:val="sl-SI"/>
        </w:rPr>
        <w:t xml:space="preserve"> fundacija je v okviru projekta </w:t>
      </w:r>
      <w:r>
        <w:rPr>
          <w:rFonts w:eastAsia="Cambria" w:cs="Arial"/>
          <w:b/>
          <w:szCs w:val="20"/>
          <w:lang w:val="sl-SI"/>
        </w:rPr>
        <w:t>č</w:t>
      </w:r>
      <w:r w:rsidRPr="005771BD">
        <w:rPr>
          <w:rFonts w:eastAsia="Cambria" w:cs="Arial"/>
          <w:b/>
          <w:szCs w:val="20"/>
          <w:lang w:val="sl-SI"/>
        </w:rPr>
        <w:t>ista zmaga</w:t>
      </w:r>
      <w:r w:rsidRPr="005771BD">
        <w:rPr>
          <w:rFonts w:eastAsia="Cambria" w:cs="Arial"/>
          <w:szCs w:val="20"/>
          <w:lang w:val="sl-SI"/>
        </w:rPr>
        <w:t xml:space="preserve"> (</w:t>
      </w:r>
      <w:hyperlink r:id="rId308" w:history="1">
        <w:r w:rsidRPr="007B7F58">
          <w:rPr>
            <w:rFonts w:eastAsia="Cambria" w:cs="Arial"/>
            <w:szCs w:val="20"/>
            <w:u w:val="single"/>
            <w:lang w:val="sl-SI"/>
          </w:rPr>
          <w:t>http://www.cistazmaga.si/</w:t>
        </w:r>
      </w:hyperlink>
      <w:r w:rsidRPr="007B7F58">
        <w:rPr>
          <w:rFonts w:eastAsia="Cambria" w:cs="Arial"/>
          <w:szCs w:val="20"/>
          <w:lang w:val="sl-SI"/>
        </w:rPr>
        <w:t xml:space="preserve">) objavila </w:t>
      </w:r>
      <w:r w:rsidRPr="005771BD">
        <w:rPr>
          <w:rFonts w:eastAsia="Cambria" w:cs="Arial"/>
          <w:b/>
          <w:bCs/>
          <w:szCs w:val="20"/>
          <w:lang w:val="sl-SI"/>
        </w:rPr>
        <w:t xml:space="preserve">prvi slovenski priročnik </w:t>
      </w:r>
      <w:r>
        <w:rPr>
          <w:rFonts w:eastAsia="Cambria" w:cs="Arial"/>
          <w:b/>
          <w:bCs/>
          <w:szCs w:val="20"/>
          <w:lang w:val="sl-SI"/>
        </w:rPr>
        <w:t>z merili</w:t>
      </w:r>
      <w:r w:rsidRPr="005771BD">
        <w:rPr>
          <w:rFonts w:eastAsia="Cambria" w:cs="Arial"/>
          <w:b/>
          <w:bCs/>
          <w:szCs w:val="20"/>
          <w:lang w:val="sl-SI"/>
        </w:rPr>
        <w:t xml:space="preserve"> za organizacijo trajnostnih športnih dogodkov</w:t>
      </w:r>
      <w:r w:rsidRPr="005771BD">
        <w:rPr>
          <w:rFonts w:eastAsia="Cambria" w:cs="Arial"/>
          <w:szCs w:val="20"/>
          <w:lang w:val="sl-SI"/>
        </w:rPr>
        <w:t xml:space="preserve">. Poleg tega so pripravili </w:t>
      </w:r>
      <w:r>
        <w:rPr>
          <w:rFonts w:eastAsia="Cambria" w:cs="Arial"/>
          <w:b/>
          <w:bCs/>
          <w:szCs w:val="20"/>
          <w:lang w:val="sl-SI"/>
        </w:rPr>
        <w:t>merila</w:t>
      </w:r>
      <w:r w:rsidRPr="005771BD">
        <w:rPr>
          <w:rFonts w:eastAsia="Cambria" w:cs="Arial"/>
          <w:b/>
          <w:bCs/>
          <w:szCs w:val="20"/>
          <w:lang w:val="sl-SI"/>
        </w:rPr>
        <w:t xml:space="preserve"> za trajnostne športne dogodke kot samostojno orodje</w:t>
      </w:r>
      <w:r w:rsidRPr="005771BD">
        <w:rPr>
          <w:rFonts w:eastAsia="Cambria" w:cs="Arial"/>
          <w:szCs w:val="20"/>
          <w:lang w:val="sl-SI"/>
        </w:rPr>
        <w:t>, ki so namenjen</w:t>
      </w:r>
      <w:r>
        <w:rPr>
          <w:rFonts w:eastAsia="Cambria" w:cs="Arial"/>
          <w:szCs w:val="20"/>
          <w:lang w:val="sl-SI"/>
        </w:rPr>
        <w:t>a</w:t>
      </w:r>
      <w:r w:rsidRPr="005771BD">
        <w:rPr>
          <w:rFonts w:eastAsia="Cambria" w:cs="Arial"/>
          <w:szCs w:val="20"/>
          <w:lang w:val="sl-SI"/>
        </w:rPr>
        <w:t xml:space="preserve"> ocenjevanju športnih dogodkov glede na trajnostne</w:t>
      </w:r>
      <w:r>
        <w:rPr>
          <w:rFonts w:eastAsia="Cambria" w:cs="Arial"/>
          <w:szCs w:val="20"/>
          <w:lang w:val="sl-SI"/>
        </w:rPr>
        <w:t xml:space="preserve"> značilnosti</w:t>
      </w:r>
      <w:r w:rsidRPr="005771BD">
        <w:rPr>
          <w:rFonts w:eastAsia="Cambria" w:cs="Arial"/>
          <w:szCs w:val="20"/>
          <w:lang w:val="sl-SI"/>
        </w:rPr>
        <w:t xml:space="preserve"> in se jih uporabi kot vir idej pri načrtovanju ali kot samoevalvacijsko orodje. </w:t>
      </w:r>
      <w:r w:rsidRPr="005771BD">
        <w:rPr>
          <w:rFonts w:eastAsia="Cambria" w:cs="Arial"/>
          <w:b/>
          <w:bCs/>
          <w:szCs w:val="20"/>
          <w:lang w:val="sl-SI"/>
        </w:rPr>
        <w:t>Namen projekta</w:t>
      </w:r>
      <w:r w:rsidRPr="005771BD">
        <w:rPr>
          <w:rFonts w:eastAsia="Cambria" w:cs="Arial"/>
          <w:szCs w:val="20"/>
          <w:lang w:val="sl-SI"/>
        </w:rPr>
        <w:t xml:space="preserve"> </w:t>
      </w:r>
      <w:r>
        <w:rPr>
          <w:rFonts w:eastAsia="Cambria" w:cs="Arial"/>
          <w:szCs w:val="20"/>
          <w:lang w:val="sl-SI"/>
        </w:rPr>
        <w:t>č</w:t>
      </w:r>
      <w:r w:rsidRPr="005771BD">
        <w:rPr>
          <w:rFonts w:eastAsia="Cambria" w:cs="Arial"/>
          <w:szCs w:val="20"/>
          <w:lang w:val="sl-SI"/>
        </w:rPr>
        <w:t xml:space="preserve">ista zmaga </w:t>
      </w:r>
      <w:r>
        <w:rPr>
          <w:rFonts w:eastAsia="Cambria" w:cs="Arial"/>
          <w:szCs w:val="20"/>
          <w:lang w:val="sl-SI"/>
        </w:rPr>
        <w:t>– t</w:t>
      </w:r>
      <w:r w:rsidRPr="005771BD">
        <w:rPr>
          <w:rFonts w:eastAsia="Cambria" w:cs="Arial"/>
          <w:szCs w:val="20"/>
          <w:lang w:val="sl-SI"/>
        </w:rPr>
        <w:t>rajnostni športni dogodki je prek športnih dogodkov doseči spremembe v ravnanju oziroma delovanju njihovih deležnikov (posameznikov in organizacij) in tako prispevati k trajnostne</w:t>
      </w:r>
      <w:r>
        <w:rPr>
          <w:rFonts w:eastAsia="Cambria" w:cs="Arial"/>
          <w:szCs w:val="20"/>
          <w:lang w:val="sl-SI"/>
        </w:rPr>
        <w:t>mu</w:t>
      </w:r>
      <w:r w:rsidRPr="005771BD">
        <w:rPr>
          <w:rFonts w:eastAsia="Cambria" w:cs="Arial"/>
          <w:szCs w:val="20"/>
          <w:lang w:val="sl-SI"/>
        </w:rPr>
        <w:t xml:space="preserve"> razvoj</w:t>
      </w:r>
      <w:r>
        <w:rPr>
          <w:rFonts w:eastAsia="Cambria" w:cs="Arial"/>
          <w:szCs w:val="20"/>
          <w:lang w:val="sl-SI"/>
        </w:rPr>
        <w:t>u</w:t>
      </w:r>
      <w:r w:rsidRPr="005771BD">
        <w:rPr>
          <w:rFonts w:eastAsia="Cambria" w:cs="Arial"/>
          <w:szCs w:val="20"/>
          <w:lang w:val="sl-SI"/>
        </w:rPr>
        <w:t>.</w:t>
      </w:r>
    </w:p>
    <w:p w:rsidR="00DF4CD9" w:rsidRPr="005771BD" w:rsidRDefault="00DF4CD9" w:rsidP="00DF4CD9">
      <w:pPr>
        <w:spacing w:after="240" w:line="276" w:lineRule="auto"/>
        <w:jc w:val="both"/>
        <w:rPr>
          <w:rFonts w:eastAsiaTheme="majorEastAsia" w:cs="Arial"/>
          <w:bCs/>
          <w:iCs/>
          <w:szCs w:val="20"/>
          <w:lang w:val="sl-SI" w:eastAsia="de-DE"/>
        </w:rPr>
      </w:pPr>
      <w:r w:rsidRPr="005771BD">
        <w:rPr>
          <w:rFonts w:eastAsiaTheme="majorEastAsia" w:cs="Arial"/>
          <w:bCs/>
          <w:iCs/>
          <w:szCs w:val="20"/>
          <w:lang w:val="sl-SI" w:eastAsia="de-DE"/>
        </w:rPr>
        <w:t xml:space="preserve">V zadnjih letih so seminarje z okoljskimi vsebinami v soorganizaciji MOP organizirali </w:t>
      </w:r>
      <w:r w:rsidRPr="005771BD">
        <w:rPr>
          <w:rFonts w:eastAsiaTheme="majorEastAsia" w:cs="Arial"/>
          <w:b/>
          <w:bCs/>
          <w:iCs/>
          <w:szCs w:val="20"/>
          <w:lang w:val="sl-SI" w:eastAsia="de-DE"/>
        </w:rPr>
        <w:t>Zveza ekoloških gibanj Slovenije (ZEG), Znanstveno-raziskovalno središče Bistra iz Ptuja (ZRS Bistra) in Zbornica komunalnega gospodarstva GZS</w:t>
      </w:r>
      <w:r w:rsidRPr="005771BD">
        <w:rPr>
          <w:rFonts w:eastAsiaTheme="majorEastAsia" w:cs="Arial"/>
          <w:bCs/>
          <w:iCs/>
          <w:szCs w:val="20"/>
          <w:lang w:val="sl-SI" w:eastAsia="de-DE"/>
        </w:rPr>
        <w:t xml:space="preserve"> (seminarja v letu 2013 in 2014). Obravnavane vsebine so bile:  Slovenija brez odpadkov (2012), </w:t>
      </w:r>
      <w:r>
        <w:rPr>
          <w:rFonts w:eastAsiaTheme="majorEastAsia" w:cs="Arial"/>
          <w:bCs/>
          <w:iCs/>
          <w:szCs w:val="20"/>
          <w:lang w:val="sl-SI" w:eastAsia="de-DE"/>
        </w:rPr>
        <w:t>c</w:t>
      </w:r>
      <w:r w:rsidRPr="005771BD">
        <w:rPr>
          <w:rFonts w:eastAsiaTheme="majorEastAsia" w:cs="Arial"/>
          <w:bCs/>
          <w:iCs/>
          <w:szCs w:val="20"/>
          <w:lang w:val="sl-SI" w:eastAsia="de-DE"/>
        </w:rPr>
        <w:t>elovito ravnanje z odpadki (2013), Gospodarno in odgovorno (2014), Kakšen zrak dihamo – kakovost zraka v Sloveniji (2015) in »Kako do nič odpadkov v Sloveniji« (2015).</w:t>
      </w:r>
    </w:p>
    <w:p w:rsidR="00DF4CD9" w:rsidRPr="005771BD" w:rsidRDefault="00DF4CD9" w:rsidP="00DF4CD9">
      <w:pPr>
        <w:spacing w:line="276" w:lineRule="auto"/>
        <w:jc w:val="both"/>
        <w:rPr>
          <w:rFonts w:eastAsiaTheme="majorEastAsia" w:cs="Arial"/>
          <w:b/>
          <w:bCs/>
          <w:iCs/>
          <w:szCs w:val="20"/>
          <w:u w:val="single"/>
          <w:lang w:val="sl-SI" w:eastAsia="de-DE"/>
        </w:rPr>
      </w:pPr>
    </w:p>
    <w:p w:rsidR="00DF4CD9" w:rsidRPr="005771BD" w:rsidRDefault="00DF4CD9" w:rsidP="00DF4CD9">
      <w:pPr>
        <w:spacing w:after="200" w:line="276" w:lineRule="auto"/>
        <w:jc w:val="both"/>
        <w:rPr>
          <w:rFonts w:eastAsiaTheme="majorEastAsia" w:cs="Arial"/>
          <w:b/>
          <w:bCs/>
          <w:iCs/>
          <w:szCs w:val="20"/>
          <w:u w:val="single"/>
          <w:lang w:val="sl-SI" w:eastAsia="de-DE"/>
        </w:rPr>
      </w:pPr>
      <w:r>
        <w:rPr>
          <w:rFonts w:eastAsiaTheme="majorEastAsia" w:cs="Arial"/>
          <w:b/>
          <w:bCs/>
          <w:iCs/>
          <w:szCs w:val="20"/>
          <w:u w:val="single"/>
          <w:lang w:val="sl-SI" w:eastAsia="de-DE"/>
        </w:rPr>
        <w:t>1</w:t>
      </w:r>
      <w:r w:rsidR="001A509D">
        <w:rPr>
          <w:rFonts w:eastAsiaTheme="majorEastAsia" w:cs="Arial"/>
          <w:b/>
          <w:bCs/>
          <w:iCs/>
          <w:szCs w:val="20"/>
          <w:u w:val="single"/>
          <w:lang w:val="sl-SI" w:eastAsia="de-DE"/>
        </w:rPr>
        <w:t>5</w:t>
      </w:r>
      <w:r>
        <w:rPr>
          <w:rFonts w:eastAsiaTheme="majorEastAsia" w:cs="Arial"/>
          <w:b/>
          <w:bCs/>
          <w:iCs/>
          <w:szCs w:val="20"/>
          <w:u w:val="single"/>
          <w:lang w:val="sl-SI" w:eastAsia="de-DE"/>
        </w:rPr>
        <w:t>.</w:t>
      </w:r>
      <w:r w:rsidRPr="005771BD">
        <w:rPr>
          <w:rFonts w:eastAsiaTheme="majorEastAsia" w:cs="Arial"/>
          <w:b/>
          <w:bCs/>
          <w:iCs/>
          <w:szCs w:val="20"/>
          <w:u w:val="single"/>
          <w:lang w:val="sl-SI" w:eastAsia="de-DE"/>
        </w:rPr>
        <w:t xml:space="preserve">6 Pomen delovanja nevladnih organizacij za varstvo okolja in ohranjanje narave  </w:t>
      </w:r>
    </w:p>
    <w:p w:rsidR="00DF4CD9" w:rsidRPr="005771BD" w:rsidRDefault="00DF4CD9" w:rsidP="00DF4CD9">
      <w:pPr>
        <w:spacing w:after="200" w:line="276" w:lineRule="auto"/>
        <w:jc w:val="both"/>
        <w:rPr>
          <w:rFonts w:eastAsiaTheme="majorEastAsia" w:cs="Arial"/>
          <w:bCs/>
          <w:iCs/>
          <w:szCs w:val="20"/>
          <w:lang w:val="sl-SI" w:eastAsia="de-DE"/>
        </w:rPr>
      </w:pPr>
      <w:r w:rsidRPr="005771BD">
        <w:rPr>
          <w:rFonts w:eastAsiaTheme="majorEastAsia" w:cs="Arial"/>
          <w:bCs/>
          <w:iCs/>
          <w:szCs w:val="20"/>
          <w:lang w:val="sl-SI" w:eastAsia="de-DE"/>
        </w:rPr>
        <w:t xml:space="preserve">Nevladne organizacije (NVO) in organizirana civilna družba ključno prispevajo k razvoju in uresničevanju demokracije in človekovih pravic. Z vključevanjem velikega števila posameznikov </w:t>
      </w:r>
      <w:r>
        <w:rPr>
          <w:rFonts w:eastAsiaTheme="majorEastAsia" w:cs="Arial"/>
          <w:bCs/>
          <w:iCs/>
          <w:szCs w:val="20"/>
          <w:lang w:val="sl-SI" w:eastAsia="de-DE"/>
        </w:rPr>
        <w:t>so</w:t>
      </w:r>
      <w:r w:rsidRPr="005771BD">
        <w:rPr>
          <w:rFonts w:eastAsiaTheme="majorEastAsia" w:cs="Arial"/>
          <w:bCs/>
          <w:iCs/>
          <w:szCs w:val="20"/>
          <w:lang w:val="sl-SI" w:eastAsia="de-DE"/>
        </w:rPr>
        <w:t xml:space="preserve"> pomemben sestavni del </w:t>
      </w:r>
      <w:r>
        <w:rPr>
          <w:rFonts w:eastAsiaTheme="majorEastAsia" w:cs="Arial"/>
          <w:bCs/>
          <w:iCs/>
          <w:szCs w:val="20"/>
          <w:lang w:val="sl-SI" w:eastAsia="de-DE"/>
        </w:rPr>
        <w:t>sodelovanja</w:t>
      </w:r>
      <w:r w:rsidRPr="005771BD">
        <w:rPr>
          <w:rFonts w:eastAsiaTheme="majorEastAsia" w:cs="Arial"/>
          <w:bCs/>
          <w:iCs/>
          <w:szCs w:val="20"/>
          <w:lang w:val="sl-SI" w:eastAsia="de-DE"/>
        </w:rPr>
        <w:t xml:space="preserve"> v odprti demokratični družbi. V procesu odločanja lahko bistveno prispevajo s svojim znanjem in neodvisno strokovnostjo, kar je vlade na vseh ravneh – od lokalne, regionalne do nacionalne – kot tudi mednarodne institucije spodbudilo, da pri oblikovanju in izvajanju politik </w:t>
      </w:r>
      <w:r>
        <w:rPr>
          <w:rFonts w:eastAsiaTheme="majorEastAsia" w:cs="Arial"/>
          <w:bCs/>
          <w:iCs/>
          <w:szCs w:val="20"/>
          <w:lang w:val="sl-SI" w:eastAsia="de-DE"/>
        </w:rPr>
        <w:t>upoštevajo</w:t>
      </w:r>
      <w:r w:rsidRPr="005771BD">
        <w:rPr>
          <w:rFonts w:eastAsiaTheme="majorEastAsia" w:cs="Arial"/>
          <w:bCs/>
          <w:iCs/>
          <w:szCs w:val="20"/>
          <w:lang w:val="sl-SI" w:eastAsia="de-DE"/>
        </w:rPr>
        <w:t xml:space="preserve"> </w:t>
      </w:r>
      <w:r>
        <w:rPr>
          <w:rFonts w:eastAsiaTheme="majorEastAsia" w:cs="Arial"/>
          <w:bCs/>
          <w:iCs/>
          <w:szCs w:val="20"/>
          <w:lang w:val="sl-SI" w:eastAsia="de-DE"/>
        </w:rPr>
        <w:t>ustrezne</w:t>
      </w:r>
      <w:r w:rsidRPr="005771BD">
        <w:rPr>
          <w:rFonts w:eastAsiaTheme="majorEastAsia" w:cs="Arial"/>
          <w:bCs/>
          <w:iCs/>
          <w:szCs w:val="20"/>
          <w:lang w:val="sl-SI" w:eastAsia="de-DE"/>
        </w:rPr>
        <w:t xml:space="preserve"> izkušnje in kompetence NVO. </w:t>
      </w:r>
    </w:p>
    <w:p w:rsidR="00DF4CD9" w:rsidRPr="005771BD" w:rsidRDefault="00DF4CD9" w:rsidP="00DF4CD9">
      <w:pPr>
        <w:spacing w:after="200" w:line="276" w:lineRule="auto"/>
        <w:jc w:val="both"/>
        <w:rPr>
          <w:rFonts w:eastAsiaTheme="majorEastAsia" w:cs="Arial"/>
          <w:bCs/>
          <w:iCs/>
          <w:szCs w:val="20"/>
          <w:lang w:val="sl-SI" w:eastAsia="de-DE"/>
        </w:rPr>
      </w:pPr>
      <w:r w:rsidRPr="005771BD">
        <w:rPr>
          <w:rFonts w:eastAsiaTheme="majorEastAsia" w:cs="Arial"/>
          <w:bCs/>
          <w:iCs/>
          <w:szCs w:val="20"/>
          <w:lang w:val="sl-SI" w:eastAsia="de-DE"/>
        </w:rPr>
        <w:t xml:space="preserve">Pomembno vlogo pri ozaveščanju in obveščanju javnosti imajo nevladne organizacije, ki delujejo na področju varstva okolja in ohranjanja narave. </w:t>
      </w:r>
      <w:r>
        <w:rPr>
          <w:rFonts w:eastAsiaTheme="majorEastAsia" w:cs="Arial"/>
          <w:bCs/>
          <w:iCs/>
          <w:szCs w:val="20"/>
          <w:lang w:val="sl-SI" w:eastAsia="de-DE"/>
        </w:rPr>
        <w:t xml:space="preserve">V javnem interesu deluje </w:t>
      </w:r>
      <w:r w:rsidRPr="005771BD">
        <w:rPr>
          <w:rFonts w:eastAsiaTheme="majorEastAsia" w:cs="Arial"/>
          <w:bCs/>
          <w:iCs/>
          <w:szCs w:val="20"/>
          <w:lang w:val="sl-SI" w:eastAsia="de-DE"/>
        </w:rPr>
        <w:t>na področju varstva okolja</w:t>
      </w:r>
      <w:r>
        <w:rPr>
          <w:rFonts w:eastAsiaTheme="majorEastAsia" w:cs="Arial"/>
          <w:bCs/>
          <w:iCs/>
          <w:szCs w:val="20"/>
          <w:lang w:val="sl-SI" w:eastAsia="de-DE"/>
        </w:rPr>
        <w:t xml:space="preserve"> 27</w:t>
      </w:r>
      <w:r w:rsidRPr="005771BD">
        <w:rPr>
          <w:rFonts w:eastAsiaTheme="majorEastAsia" w:cs="Arial"/>
          <w:bCs/>
          <w:iCs/>
          <w:szCs w:val="20"/>
          <w:lang w:val="sl-SI" w:eastAsia="de-DE"/>
        </w:rPr>
        <w:t xml:space="preserve"> nevladnih organizacij</w:t>
      </w:r>
      <w:r>
        <w:rPr>
          <w:rFonts w:eastAsiaTheme="majorEastAsia" w:cs="Arial"/>
          <w:bCs/>
          <w:iCs/>
          <w:szCs w:val="20"/>
          <w:lang w:val="sl-SI" w:eastAsia="de-DE"/>
        </w:rPr>
        <w:t xml:space="preserve">, </w:t>
      </w:r>
      <w:r w:rsidRPr="005771BD">
        <w:rPr>
          <w:rFonts w:eastAsiaTheme="majorEastAsia" w:cs="Arial"/>
          <w:bCs/>
          <w:iCs/>
          <w:szCs w:val="20"/>
          <w:lang w:val="sl-SI" w:eastAsia="de-DE"/>
        </w:rPr>
        <w:t>36</w:t>
      </w:r>
      <w:r>
        <w:rPr>
          <w:rFonts w:eastAsiaTheme="majorEastAsia" w:cs="Arial"/>
          <w:bCs/>
          <w:iCs/>
          <w:szCs w:val="20"/>
          <w:lang w:val="sl-SI" w:eastAsia="de-DE"/>
        </w:rPr>
        <w:t xml:space="preserve"> pa je</w:t>
      </w:r>
      <w:r w:rsidRPr="005771BD">
        <w:rPr>
          <w:rFonts w:eastAsiaTheme="majorEastAsia" w:cs="Arial"/>
          <w:bCs/>
          <w:iCs/>
          <w:szCs w:val="20"/>
          <w:lang w:val="sl-SI" w:eastAsia="de-DE"/>
        </w:rPr>
        <w:t xml:space="preserve"> društ</w:t>
      </w:r>
      <w:r>
        <w:rPr>
          <w:rFonts w:eastAsiaTheme="majorEastAsia" w:cs="Arial"/>
          <w:bCs/>
          <w:iCs/>
          <w:szCs w:val="20"/>
          <w:lang w:val="sl-SI" w:eastAsia="de-DE"/>
        </w:rPr>
        <w:t>ev</w:t>
      </w:r>
      <w:r w:rsidRPr="005771BD">
        <w:rPr>
          <w:rFonts w:eastAsiaTheme="majorEastAsia" w:cs="Arial"/>
          <w:bCs/>
          <w:iCs/>
          <w:szCs w:val="20"/>
          <w:lang w:val="sl-SI" w:eastAsia="de-DE"/>
        </w:rPr>
        <w:t>, ki deluje</w:t>
      </w:r>
      <w:r>
        <w:rPr>
          <w:rFonts w:eastAsiaTheme="majorEastAsia" w:cs="Arial"/>
          <w:bCs/>
          <w:iCs/>
          <w:szCs w:val="20"/>
          <w:lang w:val="sl-SI" w:eastAsia="de-DE"/>
        </w:rPr>
        <w:t>jo</w:t>
      </w:r>
      <w:r w:rsidRPr="005771BD">
        <w:rPr>
          <w:rFonts w:eastAsiaTheme="majorEastAsia" w:cs="Arial"/>
          <w:bCs/>
          <w:iCs/>
          <w:szCs w:val="20"/>
          <w:lang w:val="sl-SI" w:eastAsia="de-DE"/>
        </w:rPr>
        <w:t xml:space="preserve"> v javnem intere</w:t>
      </w:r>
      <w:r>
        <w:rPr>
          <w:rFonts w:eastAsiaTheme="majorEastAsia" w:cs="Arial"/>
          <w:bCs/>
          <w:iCs/>
          <w:szCs w:val="20"/>
          <w:lang w:val="sl-SI" w:eastAsia="de-DE"/>
        </w:rPr>
        <w:t>s</w:t>
      </w:r>
      <w:r w:rsidRPr="005771BD">
        <w:rPr>
          <w:rFonts w:eastAsiaTheme="majorEastAsia" w:cs="Arial"/>
          <w:bCs/>
          <w:iCs/>
          <w:szCs w:val="20"/>
          <w:lang w:val="sl-SI" w:eastAsia="de-DE"/>
        </w:rPr>
        <w:t xml:space="preserve">u na področju ohranjanja narave. </w:t>
      </w:r>
    </w:p>
    <w:p w:rsidR="00DF4CD9" w:rsidRPr="005771BD" w:rsidRDefault="00DF4CD9" w:rsidP="00DF4CD9">
      <w:pPr>
        <w:spacing w:after="200" w:line="276" w:lineRule="auto"/>
        <w:jc w:val="both"/>
        <w:rPr>
          <w:rFonts w:eastAsiaTheme="majorEastAsia" w:cs="Arial"/>
          <w:bCs/>
          <w:iCs/>
          <w:szCs w:val="20"/>
          <w:lang w:val="sl-SI" w:eastAsia="de-DE"/>
        </w:rPr>
      </w:pPr>
      <w:r w:rsidRPr="005771BD">
        <w:rPr>
          <w:rFonts w:eastAsiaTheme="majorEastAsia" w:cs="Arial"/>
          <w:bCs/>
          <w:iCs/>
          <w:szCs w:val="20"/>
          <w:lang w:val="sl-SI" w:eastAsia="de-DE"/>
        </w:rPr>
        <w:t>Na področju okolja so NVO pomemben akter sodelovanja, saj gre za interesno povezane posameznike, ki se zavedajo svoje družbene odgovornosti. Uveljavljajo načela varstva okolja in narave ter trajnostnega razvoja na vseh ravneh političnega odločanja in delovanja. Najpomembnejše področje delovanja okoljskih in naravovarstvenih nevladnih organizacij je nedvomno vplivanje na oblikovanje politike in zakonodaje v Sloveniji</w:t>
      </w:r>
      <w:r>
        <w:rPr>
          <w:rFonts w:eastAsiaTheme="majorEastAsia" w:cs="Arial"/>
          <w:bCs/>
          <w:iCs/>
          <w:szCs w:val="20"/>
          <w:lang w:val="sl-SI" w:eastAsia="de-DE"/>
        </w:rPr>
        <w:t xml:space="preserve"> in</w:t>
      </w:r>
      <w:r w:rsidRPr="005771BD">
        <w:rPr>
          <w:rFonts w:eastAsiaTheme="majorEastAsia" w:cs="Arial"/>
          <w:bCs/>
          <w:iCs/>
          <w:szCs w:val="20"/>
          <w:lang w:val="sl-SI" w:eastAsia="de-DE"/>
        </w:rPr>
        <w:t xml:space="preserve"> na ravni Evropske skupnosti, </w:t>
      </w:r>
      <w:r>
        <w:rPr>
          <w:rFonts w:eastAsiaTheme="majorEastAsia" w:cs="Arial"/>
          <w:bCs/>
          <w:iCs/>
          <w:szCs w:val="20"/>
          <w:lang w:val="sl-SI" w:eastAsia="de-DE"/>
        </w:rPr>
        <w:t>ter</w:t>
      </w:r>
      <w:r w:rsidRPr="005771BD">
        <w:rPr>
          <w:rFonts w:eastAsiaTheme="majorEastAsia" w:cs="Arial"/>
          <w:bCs/>
          <w:iCs/>
          <w:szCs w:val="20"/>
          <w:lang w:val="sl-SI" w:eastAsia="de-DE"/>
        </w:rPr>
        <w:t xml:space="preserve"> ozaveščanje javnosti na področju okolja in trajnostnega razvoja (o </w:t>
      </w:r>
      <w:r>
        <w:rPr>
          <w:rFonts w:eastAsiaTheme="majorEastAsia" w:cs="Arial"/>
          <w:bCs/>
          <w:iCs/>
          <w:szCs w:val="20"/>
          <w:lang w:val="sl-SI" w:eastAsia="de-DE"/>
        </w:rPr>
        <w:t>čemer</w:t>
      </w:r>
      <w:r w:rsidRPr="005771BD">
        <w:rPr>
          <w:rFonts w:eastAsiaTheme="majorEastAsia" w:cs="Arial"/>
          <w:bCs/>
          <w:iCs/>
          <w:szCs w:val="20"/>
          <w:lang w:val="sl-SI" w:eastAsia="de-DE"/>
        </w:rPr>
        <w:t xml:space="preserve"> poročajo predhodna poglavja). Ministrstvo za okolje in prostor si že v</w:t>
      </w:r>
      <w:r>
        <w:rPr>
          <w:rFonts w:eastAsiaTheme="majorEastAsia" w:cs="Arial"/>
          <w:bCs/>
          <w:iCs/>
          <w:szCs w:val="20"/>
          <w:lang w:val="sl-SI" w:eastAsia="de-DE"/>
        </w:rPr>
        <w:t>eč</w:t>
      </w:r>
      <w:r w:rsidRPr="005771BD">
        <w:rPr>
          <w:rFonts w:eastAsiaTheme="majorEastAsia" w:cs="Arial"/>
          <w:bCs/>
          <w:iCs/>
          <w:szCs w:val="20"/>
          <w:lang w:val="sl-SI" w:eastAsia="de-DE"/>
        </w:rPr>
        <w:t xml:space="preserve"> let prizadeva za krepitev dialoga s tem pomembnim delom civilne družbe. </w:t>
      </w:r>
    </w:p>
    <w:p w:rsidR="00DF4CD9" w:rsidRPr="005771BD" w:rsidRDefault="00DF4CD9" w:rsidP="00DF4CD9">
      <w:pPr>
        <w:spacing w:after="200" w:line="276" w:lineRule="auto"/>
        <w:jc w:val="both"/>
        <w:rPr>
          <w:rFonts w:eastAsiaTheme="majorEastAsia" w:cs="Arial"/>
          <w:bCs/>
          <w:iCs/>
          <w:szCs w:val="20"/>
          <w:lang w:val="sl-SI" w:eastAsia="de-DE"/>
        </w:rPr>
      </w:pPr>
      <w:r w:rsidRPr="005771BD">
        <w:rPr>
          <w:rFonts w:eastAsiaTheme="majorEastAsia" w:cs="Arial"/>
          <w:bCs/>
          <w:iCs/>
          <w:szCs w:val="20"/>
          <w:lang w:val="sl-SI" w:eastAsia="de-DE"/>
        </w:rPr>
        <w:t>Focus</w:t>
      </w:r>
      <w:r>
        <w:rPr>
          <w:rFonts w:eastAsiaTheme="majorEastAsia" w:cs="Arial"/>
          <w:bCs/>
          <w:iCs/>
          <w:szCs w:val="20"/>
          <w:lang w:val="sl-SI" w:eastAsia="de-DE"/>
        </w:rPr>
        <w:t xml:space="preserve">, </w:t>
      </w:r>
      <w:r w:rsidRPr="005771BD">
        <w:rPr>
          <w:rFonts w:eastAsiaTheme="majorEastAsia" w:cs="Arial"/>
          <w:bCs/>
          <w:iCs/>
          <w:szCs w:val="20"/>
          <w:lang w:val="sl-SI" w:eastAsia="de-DE"/>
        </w:rPr>
        <w:t xml:space="preserve">društvo za sonaraven razvoj, Umanotera, Slovenska fundacija za trajnostni razvoj, CIPRA Slovenija, </w:t>
      </w:r>
      <w:r>
        <w:rPr>
          <w:rFonts w:eastAsiaTheme="majorEastAsia" w:cs="Arial"/>
          <w:bCs/>
          <w:iCs/>
          <w:szCs w:val="20"/>
          <w:lang w:val="sl-SI" w:eastAsia="de-DE"/>
        </w:rPr>
        <w:t>D</w:t>
      </w:r>
      <w:r w:rsidRPr="005771BD">
        <w:rPr>
          <w:rFonts w:eastAsiaTheme="majorEastAsia" w:cs="Arial"/>
          <w:bCs/>
          <w:iCs/>
          <w:szCs w:val="20"/>
          <w:lang w:val="sl-SI" w:eastAsia="de-DE"/>
        </w:rPr>
        <w:t>ruštvo za varstvo Alp, Slovenski E-forum in Inštitut za trajnostni razvoj so leta 2007 s finančno po</w:t>
      </w:r>
      <w:r>
        <w:rPr>
          <w:rFonts w:eastAsiaTheme="majorEastAsia" w:cs="Arial"/>
          <w:bCs/>
          <w:iCs/>
          <w:szCs w:val="20"/>
          <w:lang w:val="sl-SI" w:eastAsia="de-DE"/>
        </w:rPr>
        <w:t>dporo</w:t>
      </w:r>
      <w:r w:rsidRPr="005771BD">
        <w:rPr>
          <w:rFonts w:eastAsiaTheme="majorEastAsia" w:cs="Arial"/>
          <w:bCs/>
          <w:iCs/>
          <w:szCs w:val="20"/>
          <w:lang w:val="sl-SI" w:eastAsia="de-DE"/>
        </w:rPr>
        <w:t xml:space="preserve"> MOP vzpostavile </w:t>
      </w:r>
      <w:r>
        <w:rPr>
          <w:rFonts w:eastAsiaTheme="majorEastAsia" w:cs="Arial"/>
          <w:bCs/>
          <w:iCs/>
          <w:szCs w:val="20"/>
          <w:lang w:val="sl-SI" w:eastAsia="de-DE"/>
        </w:rPr>
        <w:t>o</w:t>
      </w:r>
      <w:r w:rsidRPr="005771BD">
        <w:rPr>
          <w:rFonts w:eastAsiaTheme="majorEastAsia" w:cs="Arial"/>
          <w:bCs/>
          <w:iCs/>
          <w:szCs w:val="20"/>
          <w:lang w:val="sl-SI" w:eastAsia="de-DE"/>
        </w:rPr>
        <w:t xml:space="preserve">koljski center kot okvir za delovanje okoljskih nevladnih organizacij. Okoljski center je postal osrednja točka za povezovanje zainteresirane javnosti, širši javnosti pa omogoča dostop do informacij in publikacij o varstvu okolja ter trajnostnem razvoju. Hkrati pa z boljšo organiziranostjo in sodelovanjem okoljskih nevladnih organizacij </w:t>
      </w:r>
      <w:r>
        <w:rPr>
          <w:rFonts w:eastAsiaTheme="majorEastAsia" w:cs="Arial"/>
          <w:bCs/>
          <w:iCs/>
          <w:szCs w:val="20"/>
          <w:lang w:val="sl-SI" w:eastAsia="de-DE"/>
        </w:rPr>
        <w:t>o</w:t>
      </w:r>
      <w:r w:rsidRPr="005771BD">
        <w:rPr>
          <w:rFonts w:eastAsiaTheme="majorEastAsia" w:cs="Arial"/>
          <w:bCs/>
          <w:iCs/>
          <w:szCs w:val="20"/>
          <w:lang w:val="sl-SI" w:eastAsia="de-DE"/>
        </w:rPr>
        <w:t>koljski center povečuje njihov pomen v procesih odločanja. Okoljski center nudi tudi osnovno infrastrukturo in pomoč še neuveljavljenim oziroma novo nastalim okoljskim nevladnim organizacijam in civilnim iniciativam.</w:t>
      </w:r>
    </w:p>
    <w:p w:rsidR="00DF4CD9" w:rsidRPr="005771BD" w:rsidRDefault="00DF4CD9" w:rsidP="00DF4CD9">
      <w:pPr>
        <w:spacing w:after="200" w:line="276" w:lineRule="auto"/>
        <w:jc w:val="both"/>
        <w:rPr>
          <w:rFonts w:eastAsiaTheme="majorEastAsia" w:cs="Arial"/>
          <w:bCs/>
          <w:iCs/>
          <w:szCs w:val="20"/>
          <w:lang w:val="sl-SI" w:eastAsia="de-DE"/>
        </w:rPr>
      </w:pPr>
      <w:r w:rsidRPr="005771BD">
        <w:rPr>
          <w:rFonts w:eastAsiaTheme="majorEastAsia" w:cs="Arial"/>
          <w:bCs/>
          <w:iCs/>
          <w:szCs w:val="20"/>
          <w:lang w:val="sl-SI" w:eastAsia="de-DE"/>
        </w:rPr>
        <w:t xml:space="preserve">Sodelovanje med vlado in NVO je začrtano v </w:t>
      </w:r>
      <w:r>
        <w:rPr>
          <w:rFonts w:eastAsiaTheme="majorEastAsia" w:cs="Arial"/>
          <w:bCs/>
          <w:iCs/>
          <w:szCs w:val="20"/>
          <w:lang w:val="sl-SI" w:eastAsia="de-DE"/>
        </w:rPr>
        <w:t>s</w:t>
      </w:r>
      <w:r w:rsidRPr="005771BD">
        <w:rPr>
          <w:rFonts w:eastAsiaTheme="majorEastAsia" w:cs="Arial"/>
          <w:bCs/>
          <w:iCs/>
          <w:szCs w:val="20"/>
          <w:lang w:val="sl-SI" w:eastAsia="de-DE"/>
        </w:rPr>
        <w:t xml:space="preserve">trategiji sodelovanja vlade z nevladnimi organizacijami, v kateri je </w:t>
      </w:r>
      <w:r>
        <w:rPr>
          <w:rFonts w:eastAsiaTheme="majorEastAsia" w:cs="Arial"/>
          <w:bCs/>
          <w:iCs/>
          <w:szCs w:val="20"/>
          <w:lang w:val="sl-SI" w:eastAsia="de-DE"/>
        </w:rPr>
        <w:t>poudarjen</w:t>
      </w:r>
      <w:r w:rsidRPr="005771BD">
        <w:rPr>
          <w:rFonts w:eastAsiaTheme="majorEastAsia" w:cs="Arial"/>
          <w:bCs/>
          <w:iCs/>
          <w:szCs w:val="20"/>
          <w:lang w:val="sl-SI" w:eastAsia="de-DE"/>
        </w:rPr>
        <w:t xml:space="preserve"> pomen NVO, vzpostavlja pa tudi trajno podlago za reševanje problemov, ki nastajajo pri njihovem delu in razvoju. Pomembno je omeniti, da so imele NVO svoje predstavnike v </w:t>
      </w:r>
      <w:r>
        <w:rPr>
          <w:rFonts w:eastAsiaTheme="majorEastAsia" w:cs="Arial"/>
          <w:bCs/>
          <w:iCs/>
          <w:szCs w:val="20"/>
          <w:lang w:val="sl-SI" w:eastAsia="de-DE"/>
        </w:rPr>
        <w:t>s</w:t>
      </w:r>
      <w:r w:rsidRPr="005771BD">
        <w:rPr>
          <w:rFonts w:eastAsiaTheme="majorEastAsia" w:cs="Arial"/>
          <w:bCs/>
          <w:iCs/>
          <w:szCs w:val="20"/>
          <w:lang w:val="sl-SI" w:eastAsia="de-DE"/>
        </w:rPr>
        <w:t xml:space="preserve">lovenskem </w:t>
      </w:r>
      <w:r>
        <w:rPr>
          <w:rFonts w:eastAsiaTheme="majorEastAsia" w:cs="Arial"/>
          <w:bCs/>
          <w:iCs/>
          <w:szCs w:val="20"/>
          <w:lang w:val="sl-SI" w:eastAsia="de-DE"/>
        </w:rPr>
        <w:t>odboru</w:t>
      </w:r>
      <w:r w:rsidRPr="005771BD">
        <w:rPr>
          <w:rFonts w:eastAsiaTheme="majorEastAsia" w:cs="Arial"/>
          <w:bCs/>
          <w:iCs/>
          <w:szCs w:val="20"/>
          <w:lang w:val="sl-SI" w:eastAsia="de-DE"/>
        </w:rPr>
        <w:t xml:space="preserve"> za</w:t>
      </w:r>
      <w:r>
        <w:rPr>
          <w:rFonts w:eastAsiaTheme="majorEastAsia" w:cs="Arial"/>
          <w:bCs/>
          <w:iCs/>
          <w:szCs w:val="20"/>
          <w:lang w:val="sl-SI" w:eastAsia="de-DE"/>
        </w:rPr>
        <w:t xml:space="preserve"> podnebne</w:t>
      </w:r>
      <w:r w:rsidRPr="005771BD">
        <w:rPr>
          <w:rFonts w:eastAsiaTheme="majorEastAsia" w:cs="Arial"/>
          <w:bCs/>
          <w:iCs/>
          <w:szCs w:val="20"/>
          <w:lang w:val="sl-SI" w:eastAsia="de-DE"/>
        </w:rPr>
        <w:t xml:space="preserve"> spremembe, </w:t>
      </w:r>
      <w:r>
        <w:rPr>
          <w:rFonts w:eastAsiaTheme="majorEastAsia" w:cs="Arial"/>
          <w:bCs/>
          <w:iCs/>
          <w:szCs w:val="20"/>
          <w:lang w:val="sl-SI" w:eastAsia="de-DE"/>
        </w:rPr>
        <w:t>v p</w:t>
      </w:r>
      <w:r w:rsidRPr="005771BD">
        <w:rPr>
          <w:rFonts w:eastAsiaTheme="majorEastAsia" w:cs="Arial"/>
          <w:bCs/>
          <w:iCs/>
          <w:szCs w:val="20"/>
          <w:lang w:val="sl-SI" w:eastAsia="de-DE"/>
        </w:rPr>
        <w:t>rojektnem usmerjevalnem odboru "</w:t>
      </w:r>
      <w:r>
        <w:rPr>
          <w:rFonts w:eastAsiaTheme="majorEastAsia" w:cs="Arial"/>
          <w:bCs/>
          <w:iCs/>
          <w:szCs w:val="20"/>
          <w:lang w:val="sl-SI" w:eastAsia="de-DE"/>
        </w:rPr>
        <w:t>o</w:t>
      </w:r>
      <w:r w:rsidRPr="005771BD">
        <w:rPr>
          <w:rFonts w:eastAsiaTheme="majorEastAsia" w:cs="Arial"/>
          <w:bCs/>
          <w:iCs/>
          <w:szCs w:val="20"/>
          <w:lang w:val="sl-SI" w:eastAsia="de-DE"/>
        </w:rPr>
        <w:t xml:space="preserve">dstranjevanje ovir za povečano izrabo biomase kot energetskega vira", </w:t>
      </w:r>
      <w:r>
        <w:rPr>
          <w:rFonts w:eastAsiaTheme="majorEastAsia" w:cs="Arial"/>
          <w:bCs/>
          <w:iCs/>
          <w:szCs w:val="20"/>
          <w:lang w:val="sl-SI" w:eastAsia="de-DE"/>
        </w:rPr>
        <w:t>v s</w:t>
      </w:r>
      <w:r w:rsidRPr="005771BD">
        <w:rPr>
          <w:rFonts w:eastAsiaTheme="majorEastAsia" w:cs="Arial"/>
          <w:bCs/>
          <w:iCs/>
          <w:szCs w:val="20"/>
          <w:lang w:val="sl-SI" w:eastAsia="de-DE"/>
        </w:rPr>
        <w:t xml:space="preserve">vetu za trajnosti razvoj, </w:t>
      </w:r>
      <w:r>
        <w:rPr>
          <w:rFonts w:eastAsiaTheme="majorEastAsia" w:cs="Arial"/>
          <w:bCs/>
          <w:iCs/>
          <w:szCs w:val="20"/>
          <w:lang w:val="sl-SI" w:eastAsia="de-DE"/>
        </w:rPr>
        <w:t>zdaj</w:t>
      </w:r>
      <w:r w:rsidRPr="005771BD">
        <w:rPr>
          <w:rFonts w:eastAsiaTheme="majorEastAsia" w:cs="Arial"/>
          <w:bCs/>
          <w:iCs/>
          <w:szCs w:val="20"/>
          <w:lang w:val="sl-SI" w:eastAsia="de-DE"/>
        </w:rPr>
        <w:t xml:space="preserve"> pa so aktivne v </w:t>
      </w:r>
      <w:r>
        <w:rPr>
          <w:rFonts w:eastAsiaTheme="majorEastAsia" w:cs="Arial"/>
          <w:bCs/>
          <w:iCs/>
          <w:szCs w:val="20"/>
          <w:lang w:val="sl-SI" w:eastAsia="de-DE"/>
        </w:rPr>
        <w:t>s</w:t>
      </w:r>
      <w:r w:rsidRPr="005771BD">
        <w:rPr>
          <w:rFonts w:eastAsiaTheme="majorEastAsia" w:cs="Arial"/>
          <w:bCs/>
          <w:iCs/>
          <w:szCs w:val="20"/>
          <w:lang w:val="sl-SI" w:eastAsia="de-DE"/>
        </w:rPr>
        <w:t>vetu za trajnostni razvoj in varstvo okolja. Poleg tega je predstavnik NVO v</w:t>
      </w:r>
      <w:r>
        <w:rPr>
          <w:rFonts w:eastAsiaTheme="majorEastAsia" w:cs="Arial"/>
          <w:bCs/>
          <w:iCs/>
          <w:szCs w:val="20"/>
          <w:lang w:val="sl-SI" w:eastAsia="de-DE"/>
        </w:rPr>
        <w:t>eč</w:t>
      </w:r>
      <w:r w:rsidRPr="005771BD">
        <w:rPr>
          <w:rFonts w:eastAsiaTheme="majorEastAsia" w:cs="Arial"/>
          <w:bCs/>
          <w:iCs/>
          <w:szCs w:val="20"/>
          <w:lang w:val="sl-SI" w:eastAsia="de-DE"/>
        </w:rPr>
        <w:t xml:space="preserve"> let sodeloval kot član državne delegacije na mednarodnih pogajanjih </w:t>
      </w:r>
      <w:r>
        <w:rPr>
          <w:rFonts w:eastAsiaTheme="majorEastAsia" w:cs="Arial"/>
          <w:bCs/>
          <w:iCs/>
          <w:szCs w:val="20"/>
          <w:lang w:val="sl-SI" w:eastAsia="de-DE"/>
        </w:rPr>
        <w:t>glede</w:t>
      </w:r>
      <w:r w:rsidRPr="005771BD">
        <w:rPr>
          <w:rFonts w:eastAsiaTheme="majorEastAsia" w:cs="Arial"/>
          <w:bCs/>
          <w:iCs/>
          <w:szCs w:val="20"/>
          <w:lang w:val="sl-SI" w:eastAsia="de-DE"/>
        </w:rPr>
        <w:t xml:space="preserve"> podnebnih sprememb.  </w:t>
      </w:r>
    </w:p>
    <w:p w:rsidR="00DF4CD9" w:rsidRPr="005771BD" w:rsidRDefault="00DF4CD9" w:rsidP="00DF4CD9">
      <w:pPr>
        <w:spacing w:after="200" w:line="276" w:lineRule="auto"/>
        <w:jc w:val="both"/>
        <w:rPr>
          <w:rFonts w:eastAsiaTheme="majorEastAsia" w:cs="Arial"/>
          <w:bCs/>
          <w:iCs/>
          <w:szCs w:val="20"/>
          <w:lang w:val="sl-SI" w:eastAsia="de-DE"/>
        </w:rPr>
      </w:pPr>
      <w:r w:rsidRPr="005771BD">
        <w:rPr>
          <w:rFonts w:eastAsiaTheme="majorEastAsia" w:cs="Arial"/>
          <w:bCs/>
          <w:iCs/>
          <w:szCs w:val="20"/>
          <w:lang w:val="sl-SI" w:eastAsia="de-DE"/>
        </w:rPr>
        <w:t xml:space="preserve">Pomemben instrument za podporo nevladnemu sektorju se financira iz sredstev </w:t>
      </w:r>
      <w:r>
        <w:rPr>
          <w:rFonts w:eastAsiaTheme="majorEastAsia" w:cs="Arial"/>
          <w:bCs/>
          <w:iCs/>
          <w:szCs w:val="20"/>
          <w:lang w:val="sl-SI" w:eastAsia="de-DE"/>
        </w:rPr>
        <w:t>e</w:t>
      </w:r>
      <w:r w:rsidRPr="005771BD">
        <w:rPr>
          <w:rFonts w:eastAsiaTheme="majorEastAsia" w:cs="Arial"/>
          <w:bCs/>
          <w:iCs/>
          <w:szCs w:val="20"/>
          <w:lang w:val="sl-SI" w:eastAsia="de-DE"/>
        </w:rPr>
        <w:t xml:space="preserve">vropskega socialnega sklada. Sredstva </w:t>
      </w:r>
      <w:r>
        <w:rPr>
          <w:rFonts w:eastAsiaTheme="majorEastAsia" w:cs="Arial"/>
          <w:bCs/>
          <w:iCs/>
          <w:szCs w:val="20"/>
          <w:lang w:val="sl-SI" w:eastAsia="de-DE"/>
        </w:rPr>
        <w:t xml:space="preserve">iz </w:t>
      </w:r>
      <w:r w:rsidRPr="005771BD">
        <w:rPr>
          <w:rFonts w:eastAsiaTheme="majorEastAsia" w:cs="Arial"/>
          <w:bCs/>
          <w:iCs/>
          <w:szCs w:val="20"/>
          <w:lang w:val="sl-SI" w:eastAsia="de-DE"/>
        </w:rPr>
        <w:t xml:space="preserve">tega sklada so bila porabljena za krepitev zmogljivosti NVO za zagovorništvo, organizacijski razvoj NVO in izvajanje javnih storitev, da bi se krepila njihova sposobnost za sodelovanje pri pripravi in izvajanju javnih politik. </w:t>
      </w:r>
    </w:p>
    <w:p w:rsidR="00DF4CD9" w:rsidRPr="005771BD" w:rsidRDefault="00DF4CD9" w:rsidP="00DF4CD9">
      <w:pPr>
        <w:spacing w:after="200" w:line="276" w:lineRule="auto"/>
        <w:jc w:val="both"/>
        <w:rPr>
          <w:rFonts w:eastAsiaTheme="majorEastAsia" w:cs="Arial"/>
          <w:bCs/>
          <w:iCs/>
          <w:szCs w:val="20"/>
          <w:lang w:val="sl-SI" w:eastAsia="de-DE"/>
        </w:rPr>
      </w:pPr>
      <w:r w:rsidRPr="005771BD">
        <w:rPr>
          <w:rFonts w:eastAsiaTheme="majorEastAsia" w:cs="Arial"/>
          <w:bCs/>
          <w:iCs/>
          <w:szCs w:val="20"/>
          <w:lang w:val="sl-SI" w:eastAsia="de-DE"/>
        </w:rPr>
        <w:t xml:space="preserve">Slovenska platforma civilne družbe za trajnostni razvoj je </w:t>
      </w:r>
      <w:hyperlink r:id="rId309" w:tgtFrame="_blank" w:history="1">
        <w:r w:rsidRPr="005771BD">
          <w:rPr>
            <w:rFonts w:eastAsiaTheme="majorEastAsia" w:cs="Arial"/>
            <w:bCs/>
            <w:iCs/>
            <w:szCs w:val="20"/>
            <w:u w:val="single"/>
            <w:lang w:val="sl-SI" w:eastAsia="de-DE"/>
          </w:rPr>
          <w:t>Plan B za Slovenijo – mreža nevladnih organizacij za trajnostni razvoj</w:t>
        </w:r>
      </w:hyperlink>
      <w:r w:rsidRPr="005771BD">
        <w:rPr>
          <w:rFonts w:eastAsiaTheme="majorEastAsia" w:cs="Arial"/>
          <w:bCs/>
          <w:iCs/>
          <w:szCs w:val="20"/>
          <w:lang w:val="sl-SI" w:eastAsia="de-DE"/>
        </w:rPr>
        <w:t xml:space="preserve"> (ustanovljena leta 2007), katere cilj je podpreti dolgoročno trajnostno delovanje okoljskih NVO in okrepiti njihovo usposobljenost s spodbujanjem njihove aktivne vloge v demokratičnih procesih oblikovanja politik in spremljanja izvajanj</w:t>
      </w:r>
      <w:r>
        <w:rPr>
          <w:rFonts w:eastAsiaTheme="majorEastAsia" w:cs="Arial"/>
          <w:bCs/>
          <w:iCs/>
          <w:szCs w:val="20"/>
          <w:lang w:val="sl-SI" w:eastAsia="de-DE"/>
        </w:rPr>
        <w:t>a</w:t>
      </w:r>
      <w:r w:rsidRPr="005771BD">
        <w:rPr>
          <w:rFonts w:eastAsiaTheme="majorEastAsia" w:cs="Arial"/>
          <w:bCs/>
          <w:iCs/>
          <w:szCs w:val="20"/>
          <w:lang w:val="sl-SI" w:eastAsia="de-DE"/>
        </w:rPr>
        <w:t xml:space="preserve"> politik, pa tudi s spodbujanjem njihovega sodelovanja in partnerstva. Cilj te mreže </w:t>
      </w:r>
      <w:r>
        <w:rPr>
          <w:rFonts w:eastAsiaTheme="majorEastAsia" w:cs="Arial"/>
          <w:bCs/>
          <w:iCs/>
          <w:szCs w:val="20"/>
          <w:lang w:val="sl-SI" w:eastAsia="de-DE"/>
        </w:rPr>
        <w:t>sta</w:t>
      </w:r>
      <w:r w:rsidRPr="005771BD">
        <w:rPr>
          <w:rFonts w:eastAsiaTheme="majorEastAsia" w:cs="Arial"/>
          <w:bCs/>
          <w:iCs/>
          <w:szCs w:val="20"/>
          <w:lang w:val="sl-SI" w:eastAsia="de-DE"/>
        </w:rPr>
        <w:t xml:space="preserve"> tudi </w:t>
      </w:r>
      <w:r>
        <w:rPr>
          <w:rFonts w:eastAsiaTheme="majorEastAsia" w:cs="Arial"/>
          <w:bCs/>
          <w:iCs/>
          <w:szCs w:val="20"/>
          <w:lang w:val="sl-SI" w:eastAsia="de-DE"/>
        </w:rPr>
        <w:t>večja</w:t>
      </w:r>
      <w:r w:rsidRPr="005771BD">
        <w:rPr>
          <w:rFonts w:eastAsiaTheme="majorEastAsia" w:cs="Arial"/>
          <w:bCs/>
          <w:iCs/>
          <w:szCs w:val="20"/>
          <w:lang w:val="sl-SI" w:eastAsia="de-DE"/>
        </w:rPr>
        <w:t xml:space="preserve"> ozaveščenost državljanov in njihovo aktivno vključevanje v okoljsko naravnane javne zadeve. Partnerji projekta Plan B za Slovenijo so bili v obdobju 2012</w:t>
      </w:r>
      <w:r>
        <w:rPr>
          <w:rFonts w:eastAsiaTheme="majorEastAsia" w:cs="Arial"/>
          <w:bCs/>
          <w:iCs/>
          <w:szCs w:val="20"/>
          <w:lang w:val="sl-SI" w:eastAsia="de-DE"/>
        </w:rPr>
        <w:t>–</w:t>
      </w:r>
      <w:r w:rsidRPr="005771BD">
        <w:rPr>
          <w:rFonts w:eastAsiaTheme="majorEastAsia" w:cs="Arial"/>
          <w:bCs/>
          <w:iCs/>
          <w:szCs w:val="20"/>
          <w:lang w:val="sl-SI" w:eastAsia="de-DE"/>
        </w:rPr>
        <w:t xml:space="preserve">2014 poleg Umanotere, Slovenske fundacije za trajnostni razvoj, ki mrežo vodi, še Cipra Slovenija, </w:t>
      </w:r>
      <w:r>
        <w:rPr>
          <w:rFonts w:eastAsiaTheme="majorEastAsia" w:cs="Arial"/>
          <w:bCs/>
          <w:iCs/>
          <w:szCs w:val="20"/>
          <w:lang w:val="sl-SI" w:eastAsia="de-DE"/>
        </w:rPr>
        <w:t>d</w:t>
      </w:r>
      <w:r w:rsidRPr="005771BD">
        <w:rPr>
          <w:rFonts w:eastAsiaTheme="majorEastAsia" w:cs="Arial"/>
          <w:bCs/>
          <w:iCs/>
          <w:szCs w:val="20"/>
          <w:lang w:val="sl-SI" w:eastAsia="de-DE"/>
        </w:rPr>
        <w:t>ruštvo Ekologi brez meja, Focus</w:t>
      </w:r>
      <w:r>
        <w:rPr>
          <w:rFonts w:eastAsiaTheme="majorEastAsia" w:cs="Arial"/>
          <w:bCs/>
          <w:iCs/>
          <w:szCs w:val="20"/>
          <w:lang w:val="sl-SI" w:eastAsia="de-DE"/>
        </w:rPr>
        <w:t>,</w:t>
      </w:r>
      <w:r w:rsidRPr="005771BD">
        <w:rPr>
          <w:rFonts w:eastAsiaTheme="majorEastAsia" w:cs="Arial"/>
          <w:bCs/>
          <w:iCs/>
          <w:szCs w:val="20"/>
          <w:lang w:val="sl-SI" w:eastAsia="de-DE"/>
        </w:rPr>
        <w:t xml:space="preserve"> društvo za sonaraven razvoj, Inštitut za trajnostni razvoj (ITR) in Pravno</w:t>
      </w:r>
      <w:r>
        <w:rPr>
          <w:rFonts w:eastAsiaTheme="majorEastAsia" w:cs="Arial"/>
          <w:bCs/>
          <w:iCs/>
          <w:szCs w:val="20"/>
          <w:lang w:val="sl-SI" w:eastAsia="de-DE"/>
        </w:rPr>
        <w:t>-</w:t>
      </w:r>
      <w:r w:rsidRPr="005771BD">
        <w:rPr>
          <w:rFonts w:eastAsiaTheme="majorEastAsia" w:cs="Arial"/>
          <w:bCs/>
          <w:iCs/>
          <w:szCs w:val="20"/>
          <w:lang w:val="sl-SI" w:eastAsia="de-DE"/>
        </w:rPr>
        <w:t xml:space="preserve">informacijski center nevladnih organizacij </w:t>
      </w:r>
      <w:r>
        <w:rPr>
          <w:rFonts w:eastAsiaTheme="majorEastAsia" w:cs="Arial"/>
          <w:bCs/>
          <w:iCs/>
          <w:szCs w:val="20"/>
          <w:lang w:val="sl-SI" w:eastAsia="de-DE"/>
        </w:rPr>
        <w:t>–</w:t>
      </w:r>
      <w:r w:rsidRPr="005771BD">
        <w:rPr>
          <w:rFonts w:eastAsiaTheme="majorEastAsia" w:cs="Arial"/>
          <w:bCs/>
          <w:iCs/>
          <w:szCs w:val="20"/>
          <w:lang w:val="sl-SI" w:eastAsia="de-DE"/>
        </w:rPr>
        <w:t xml:space="preserve"> PIC. Mreža Plana B za Slovenijo </w:t>
      </w:r>
      <w:r>
        <w:rPr>
          <w:rFonts w:eastAsiaTheme="majorEastAsia" w:cs="Arial"/>
          <w:bCs/>
          <w:iCs/>
          <w:szCs w:val="20"/>
          <w:lang w:val="sl-SI" w:eastAsia="de-DE"/>
        </w:rPr>
        <w:t>ima</w:t>
      </w:r>
      <w:r w:rsidRPr="005771BD">
        <w:rPr>
          <w:rFonts w:eastAsiaTheme="majorEastAsia" w:cs="Arial"/>
          <w:bCs/>
          <w:iCs/>
          <w:szCs w:val="20"/>
          <w:lang w:val="sl-SI" w:eastAsia="de-DE"/>
        </w:rPr>
        <w:t xml:space="preserve"> 34 članic</w:t>
      </w:r>
      <w:r>
        <w:rPr>
          <w:rFonts w:eastAsiaTheme="majorEastAsia" w:cs="Arial"/>
          <w:bCs/>
          <w:iCs/>
          <w:szCs w:val="20"/>
          <w:lang w:val="sl-SI" w:eastAsia="de-DE"/>
        </w:rPr>
        <w:t xml:space="preserve"> in je</w:t>
      </w:r>
      <w:r w:rsidRPr="005771BD">
        <w:rPr>
          <w:rFonts w:eastAsiaTheme="majorEastAsia" w:cs="Arial"/>
          <w:bCs/>
          <w:iCs/>
          <w:szCs w:val="20"/>
          <w:lang w:val="sl-SI" w:eastAsia="de-DE"/>
        </w:rPr>
        <w:t xml:space="preserve"> odprta za vse zainteresirane nevladne organizacije, ki delujejo na področju varovanja okolja in trajnostnega razvoja. </w:t>
      </w:r>
    </w:p>
    <w:p w:rsidR="00DF4CD9" w:rsidRPr="005771BD" w:rsidRDefault="00DF4CD9" w:rsidP="00DF4CD9">
      <w:pPr>
        <w:spacing w:line="276" w:lineRule="auto"/>
        <w:jc w:val="both"/>
        <w:rPr>
          <w:rFonts w:eastAsiaTheme="majorEastAsia" w:cs="Arial"/>
          <w:b/>
          <w:bCs/>
          <w:iCs/>
          <w:szCs w:val="20"/>
          <w:lang w:val="sl-SI" w:eastAsia="de-DE"/>
        </w:rPr>
      </w:pPr>
    </w:p>
    <w:p w:rsidR="00DF4CD9" w:rsidRDefault="00DF4CD9" w:rsidP="00DF4CD9">
      <w:pPr>
        <w:spacing w:after="200" w:line="276" w:lineRule="auto"/>
        <w:jc w:val="both"/>
        <w:rPr>
          <w:rFonts w:eastAsiaTheme="majorEastAsia" w:cs="Arial"/>
          <w:b/>
          <w:bCs/>
          <w:iCs/>
          <w:szCs w:val="20"/>
          <w:u w:val="single"/>
          <w:lang w:val="sl-SI" w:eastAsia="de-DE"/>
        </w:rPr>
      </w:pPr>
      <w:r w:rsidRPr="005771BD">
        <w:rPr>
          <w:rFonts w:eastAsiaTheme="majorEastAsia" w:cs="Arial"/>
          <w:b/>
          <w:bCs/>
          <w:iCs/>
          <w:szCs w:val="20"/>
          <w:u w:val="single"/>
          <w:lang w:val="sl-SI" w:eastAsia="de-DE"/>
        </w:rPr>
        <w:t>1</w:t>
      </w:r>
      <w:r w:rsidR="001A509D">
        <w:rPr>
          <w:rFonts w:eastAsiaTheme="majorEastAsia" w:cs="Arial"/>
          <w:b/>
          <w:bCs/>
          <w:iCs/>
          <w:szCs w:val="20"/>
          <w:u w:val="single"/>
          <w:lang w:val="sl-SI" w:eastAsia="de-DE"/>
        </w:rPr>
        <w:t>5</w:t>
      </w:r>
      <w:r w:rsidRPr="005771BD">
        <w:rPr>
          <w:rFonts w:eastAsiaTheme="majorEastAsia" w:cs="Arial"/>
          <w:b/>
          <w:bCs/>
          <w:iCs/>
          <w:szCs w:val="20"/>
          <w:u w:val="single"/>
          <w:lang w:val="sl-SI" w:eastAsia="de-DE"/>
        </w:rPr>
        <w:t xml:space="preserve">.7 Javnomnenjske raziskave – kazalec uspešnosti obveščanja in ozaveščanja </w:t>
      </w:r>
    </w:p>
    <w:p w:rsidR="00DF4CD9" w:rsidRDefault="00DF4CD9" w:rsidP="00DF4CD9">
      <w:pPr>
        <w:keepNext/>
        <w:keepLines/>
        <w:spacing w:after="200" w:line="276" w:lineRule="auto"/>
        <w:jc w:val="both"/>
        <w:outlineLvl w:val="0"/>
        <w:rPr>
          <w:rFonts w:eastAsia="Cambria" w:cs="Arial"/>
          <w:bCs/>
          <w:szCs w:val="20"/>
          <w:lang w:val="sl-SI"/>
        </w:rPr>
      </w:pPr>
      <w:r w:rsidRPr="005771BD">
        <w:rPr>
          <w:rFonts w:eastAsia="Cambria" w:cs="Arial"/>
          <w:bCs/>
          <w:szCs w:val="20"/>
          <w:lang w:val="sl-SI"/>
        </w:rPr>
        <w:t xml:space="preserve">Uspešnost aktivnosti obveščanja in ozaveščanja lahko posredno ocenimo tudi iz raziskav javnega mnenja, seveda z ustrezno stopnjo previdnosti pri </w:t>
      </w:r>
      <w:r>
        <w:rPr>
          <w:rFonts w:eastAsia="Cambria" w:cs="Arial"/>
          <w:bCs/>
          <w:szCs w:val="20"/>
          <w:lang w:val="sl-SI"/>
        </w:rPr>
        <w:t>razlagi</w:t>
      </w:r>
      <w:r w:rsidRPr="005771BD">
        <w:rPr>
          <w:rFonts w:eastAsia="Cambria" w:cs="Arial"/>
          <w:bCs/>
          <w:szCs w:val="20"/>
          <w:lang w:val="sl-SI"/>
        </w:rPr>
        <w:t xml:space="preserve">. </w:t>
      </w:r>
    </w:p>
    <w:p w:rsidR="00DF4CD9" w:rsidRPr="00DF4CD9" w:rsidRDefault="00DF4CD9" w:rsidP="00DF4CD9">
      <w:pPr>
        <w:keepNext/>
        <w:keepLines/>
        <w:spacing w:after="200" w:line="276" w:lineRule="auto"/>
        <w:jc w:val="both"/>
        <w:outlineLvl w:val="0"/>
        <w:rPr>
          <w:rFonts w:eastAsia="Cambria" w:cs="Arial"/>
          <w:szCs w:val="20"/>
          <w:lang w:val="sl-SI"/>
        </w:rPr>
      </w:pPr>
      <w:r>
        <w:rPr>
          <w:rFonts w:eastAsia="Cambria" w:cs="Arial"/>
          <w:bCs/>
          <w:szCs w:val="20"/>
          <w:lang w:val="sl-SI"/>
        </w:rPr>
        <w:t>Pose</w:t>
      </w:r>
      <w:r w:rsidRPr="00DF4CD9">
        <w:rPr>
          <w:rFonts w:eastAsia="Cambria" w:cs="Arial"/>
          <w:bCs/>
          <w:szCs w:val="20"/>
          <w:lang w:val="sl-SI"/>
        </w:rPr>
        <w:t xml:space="preserve">bne javnomnenjske ankete Eurobarometra na področju okolja (Special Eurobarometer 416: Attitudes of European citizens towards the environment), izvedenih v letih 2011 in 2014 kažejo na visoko stopnjo ozaveščenosti in obveščenosti o okoljskih problemih, ki se je v tem obdobju še povečala. Kot je razvidno iz slike 13.1, je kar 82 % respondentov leta 2014 odgovorilo, da so dokaj dobro ali zelo dobro obveščeni o okoljskih zadevah (11 % več kot leta 2011), medtem ko je bilo v EU-28 leta 2014 takih odgovorov le 62 % (povečanje za 2 %). </w:t>
      </w:r>
    </w:p>
    <w:p w:rsidR="001A509D" w:rsidRPr="005771BD" w:rsidRDefault="001A509D" w:rsidP="001A509D">
      <w:pPr>
        <w:spacing w:line="276" w:lineRule="auto"/>
        <w:jc w:val="both"/>
        <w:rPr>
          <w:rFonts w:eastAsia="Cambria" w:cs="Arial"/>
          <w:szCs w:val="20"/>
          <w:lang w:val="sl-SI"/>
        </w:rPr>
      </w:pPr>
      <w:r w:rsidRPr="005771BD">
        <w:rPr>
          <w:rFonts w:eastAsia="Cambria" w:cs="Arial"/>
          <w:szCs w:val="20"/>
          <w:lang w:val="sl-SI"/>
        </w:rPr>
        <w:t xml:space="preserve">Iz zgoraj omenjene ankete </w:t>
      </w:r>
      <w:r>
        <w:rPr>
          <w:rFonts w:eastAsia="Cambria" w:cs="Arial"/>
          <w:szCs w:val="20"/>
          <w:lang w:val="sl-SI"/>
        </w:rPr>
        <w:t>izhaja</w:t>
      </w:r>
      <w:r w:rsidRPr="005771BD">
        <w:rPr>
          <w:rFonts w:eastAsia="Cambria" w:cs="Arial"/>
          <w:szCs w:val="20"/>
          <w:lang w:val="sl-SI"/>
        </w:rPr>
        <w:t xml:space="preserve"> še:</w:t>
      </w:r>
    </w:p>
    <w:p w:rsidR="001A509D" w:rsidRPr="005771BD" w:rsidRDefault="001A509D" w:rsidP="001A509D">
      <w:pPr>
        <w:numPr>
          <w:ilvl w:val="0"/>
          <w:numId w:val="72"/>
        </w:numPr>
        <w:spacing w:before="60" w:line="276" w:lineRule="auto"/>
        <w:ind w:left="284" w:hanging="284"/>
        <w:jc w:val="both"/>
        <w:rPr>
          <w:rFonts w:eastAsia="Cambria" w:cs="Arial"/>
          <w:szCs w:val="20"/>
          <w:lang w:val="sl-SI"/>
        </w:rPr>
      </w:pPr>
      <w:r w:rsidRPr="005771BD">
        <w:rPr>
          <w:rFonts w:eastAsia="Cambria" w:cs="Arial"/>
          <w:szCs w:val="20"/>
          <w:lang w:val="sl-SI"/>
        </w:rPr>
        <w:t>slovenski respondenti dobro ocenjujejo svojo obveščenost, pa tudi nekoliko bolj od povprečja v EU pogrešajo informacij</w:t>
      </w:r>
      <w:r>
        <w:rPr>
          <w:rFonts w:eastAsia="Cambria" w:cs="Arial"/>
          <w:szCs w:val="20"/>
          <w:lang w:val="sl-SI"/>
        </w:rPr>
        <w:t>e</w:t>
      </w:r>
      <w:r w:rsidRPr="005771BD">
        <w:rPr>
          <w:rFonts w:eastAsia="Cambria" w:cs="Arial"/>
          <w:szCs w:val="20"/>
          <w:lang w:val="sl-SI"/>
        </w:rPr>
        <w:t xml:space="preserve"> o okoljskih temah, največ (42 %) o vplivu kemikalij v izdelkih za vsakdanjo uporabo na naše zdravje (EU: 39 %), </w:t>
      </w:r>
      <w:r>
        <w:rPr>
          <w:rFonts w:eastAsia="Cambria" w:cs="Arial"/>
          <w:szCs w:val="20"/>
          <w:lang w:val="sl-SI"/>
        </w:rPr>
        <w:t xml:space="preserve">o </w:t>
      </w:r>
      <w:r w:rsidRPr="005771BD">
        <w:rPr>
          <w:rFonts w:eastAsia="Cambria" w:cs="Arial"/>
          <w:szCs w:val="20"/>
          <w:lang w:val="sl-SI"/>
        </w:rPr>
        <w:t>onesnaženj</w:t>
      </w:r>
      <w:r>
        <w:rPr>
          <w:rFonts w:eastAsia="Cambria" w:cs="Arial"/>
          <w:szCs w:val="20"/>
          <w:lang w:val="sl-SI"/>
        </w:rPr>
        <w:t>u</w:t>
      </w:r>
      <w:r w:rsidRPr="005771BD">
        <w:rPr>
          <w:rFonts w:eastAsia="Cambria" w:cs="Arial"/>
          <w:szCs w:val="20"/>
          <w:lang w:val="sl-SI"/>
        </w:rPr>
        <w:t xml:space="preserve"> v kmetijstvu (SI: 33</w:t>
      </w:r>
      <w:r>
        <w:rPr>
          <w:rFonts w:eastAsia="Cambria" w:cs="Arial"/>
          <w:szCs w:val="20"/>
          <w:lang w:val="sl-SI"/>
        </w:rPr>
        <w:t xml:space="preserve"> </w:t>
      </w:r>
      <w:r w:rsidRPr="005771BD">
        <w:rPr>
          <w:rFonts w:eastAsia="Cambria" w:cs="Arial"/>
          <w:szCs w:val="20"/>
          <w:lang w:val="sl-SI"/>
        </w:rPr>
        <w:t xml:space="preserve">%, EU: 28 %), </w:t>
      </w:r>
      <w:r>
        <w:rPr>
          <w:rFonts w:eastAsia="Cambria" w:cs="Arial"/>
          <w:szCs w:val="20"/>
          <w:lang w:val="sl-SI"/>
        </w:rPr>
        <w:t>o naraščanju</w:t>
      </w:r>
      <w:r w:rsidRPr="005771BD">
        <w:rPr>
          <w:rFonts w:eastAsia="Cambria" w:cs="Arial"/>
          <w:szCs w:val="20"/>
          <w:lang w:val="sl-SI"/>
        </w:rPr>
        <w:t xml:space="preserve"> količine odpadkov (31 in 23 %), onesnaženj</w:t>
      </w:r>
      <w:r>
        <w:rPr>
          <w:rFonts w:eastAsia="Cambria" w:cs="Arial"/>
          <w:szCs w:val="20"/>
          <w:lang w:val="sl-SI"/>
        </w:rPr>
        <w:t>u</w:t>
      </w:r>
      <w:r w:rsidRPr="005771BD">
        <w:rPr>
          <w:rFonts w:eastAsia="Cambria" w:cs="Arial"/>
          <w:szCs w:val="20"/>
          <w:lang w:val="sl-SI"/>
        </w:rPr>
        <w:t xml:space="preserve"> vode (31 in 28 %) in onesnaženj</w:t>
      </w:r>
      <w:r>
        <w:rPr>
          <w:rFonts w:eastAsia="Cambria" w:cs="Arial"/>
          <w:szCs w:val="20"/>
          <w:lang w:val="sl-SI"/>
        </w:rPr>
        <w:t>u</w:t>
      </w:r>
      <w:r w:rsidRPr="005771BD">
        <w:rPr>
          <w:rFonts w:eastAsia="Cambria" w:cs="Arial"/>
          <w:szCs w:val="20"/>
          <w:lang w:val="sl-SI"/>
        </w:rPr>
        <w:t xml:space="preserve"> zraka (29 in 27 %), </w:t>
      </w:r>
    </w:p>
    <w:p w:rsidR="001A509D" w:rsidRPr="005771BD" w:rsidRDefault="001A509D" w:rsidP="001A509D">
      <w:pPr>
        <w:numPr>
          <w:ilvl w:val="0"/>
          <w:numId w:val="72"/>
        </w:numPr>
        <w:spacing w:before="60" w:after="200" w:line="276" w:lineRule="auto"/>
        <w:ind w:left="284" w:hanging="284"/>
        <w:jc w:val="both"/>
        <w:rPr>
          <w:rFonts w:eastAsia="Cambria" w:cs="Arial"/>
          <w:szCs w:val="20"/>
          <w:lang w:val="sl-SI"/>
        </w:rPr>
      </w:pPr>
      <w:r w:rsidRPr="005771BD">
        <w:rPr>
          <w:rFonts w:eastAsia="Cambria" w:cs="Arial"/>
          <w:szCs w:val="20"/>
          <w:lang w:val="sl-SI"/>
        </w:rPr>
        <w:t xml:space="preserve">99 % respondentov v Sloveniji meni, da je varovanje okolja zanje osebno dokaj ali zelo pomembno (EU: 95 %). Najbolj </w:t>
      </w:r>
      <w:r>
        <w:rPr>
          <w:rFonts w:eastAsia="Cambria" w:cs="Arial"/>
          <w:szCs w:val="20"/>
          <w:lang w:val="sl-SI"/>
        </w:rPr>
        <w:t>so zaskrbljeni zaradi</w:t>
      </w:r>
      <w:r w:rsidRPr="005771BD">
        <w:rPr>
          <w:rFonts w:eastAsia="Cambria" w:cs="Arial"/>
          <w:szCs w:val="20"/>
          <w:lang w:val="sl-SI"/>
        </w:rPr>
        <w:t xml:space="preserve"> onesnaženj</w:t>
      </w:r>
      <w:r>
        <w:rPr>
          <w:rFonts w:eastAsia="Cambria" w:cs="Arial"/>
          <w:szCs w:val="20"/>
          <w:lang w:val="sl-SI"/>
        </w:rPr>
        <w:t>a</w:t>
      </w:r>
      <w:r w:rsidRPr="005771BD">
        <w:rPr>
          <w:rFonts w:eastAsia="Cambria" w:cs="Arial"/>
          <w:szCs w:val="20"/>
          <w:lang w:val="sl-SI"/>
        </w:rPr>
        <w:t xml:space="preserve"> zraka (SI: 60 %, EU: 56 %), enak odstotek respondentov je zaskrbljenih zaradi onesnaženja vode in </w:t>
      </w:r>
      <w:r>
        <w:rPr>
          <w:rFonts w:eastAsia="Cambria" w:cs="Arial"/>
          <w:szCs w:val="20"/>
          <w:lang w:val="sl-SI"/>
        </w:rPr>
        <w:t>naraščanja</w:t>
      </w:r>
      <w:r w:rsidRPr="005771BD">
        <w:rPr>
          <w:rFonts w:eastAsia="Cambria" w:cs="Arial"/>
          <w:szCs w:val="20"/>
          <w:lang w:val="sl-SI"/>
        </w:rPr>
        <w:t xml:space="preserve"> količine odpadkov (oboje 49 %, EU 50 in 43 %), približno enako jih </w:t>
      </w:r>
      <w:r>
        <w:rPr>
          <w:rFonts w:eastAsia="Cambria" w:cs="Arial"/>
          <w:szCs w:val="20"/>
          <w:lang w:val="sl-SI"/>
        </w:rPr>
        <w:t>je zaskrbljenih glede</w:t>
      </w:r>
      <w:r w:rsidRPr="005771BD">
        <w:rPr>
          <w:rFonts w:eastAsia="Cambria" w:cs="Arial"/>
          <w:szCs w:val="20"/>
          <w:lang w:val="sl-SI"/>
        </w:rPr>
        <w:t xml:space="preserve"> vpliv</w:t>
      </w:r>
      <w:r>
        <w:rPr>
          <w:rFonts w:eastAsia="Cambria" w:cs="Arial"/>
          <w:szCs w:val="20"/>
          <w:lang w:val="sl-SI"/>
        </w:rPr>
        <w:t>a</w:t>
      </w:r>
      <w:r w:rsidRPr="005771BD">
        <w:rPr>
          <w:rFonts w:eastAsia="Cambria" w:cs="Arial"/>
          <w:szCs w:val="20"/>
          <w:lang w:val="sl-SI"/>
        </w:rPr>
        <w:t xml:space="preserve"> kemikalij v izdelkih na zdravje in onesnaževanj</w:t>
      </w:r>
      <w:r>
        <w:rPr>
          <w:rFonts w:eastAsia="Cambria" w:cs="Arial"/>
          <w:szCs w:val="20"/>
          <w:lang w:val="sl-SI"/>
        </w:rPr>
        <w:t>a</w:t>
      </w:r>
      <w:r w:rsidRPr="005771BD">
        <w:rPr>
          <w:rFonts w:eastAsia="Cambria" w:cs="Arial"/>
          <w:szCs w:val="20"/>
          <w:lang w:val="sl-SI"/>
        </w:rPr>
        <w:t xml:space="preserve"> v kmetijstvu, </w:t>
      </w:r>
      <w:r>
        <w:rPr>
          <w:rFonts w:eastAsia="Cambria" w:cs="Arial"/>
          <w:szCs w:val="20"/>
          <w:lang w:val="sl-SI"/>
        </w:rPr>
        <w:t>zaradi česar smo</w:t>
      </w:r>
      <w:r w:rsidRPr="005771BD">
        <w:rPr>
          <w:rFonts w:eastAsia="Cambria" w:cs="Arial"/>
          <w:szCs w:val="20"/>
          <w:lang w:val="sl-SI"/>
        </w:rPr>
        <w:t xml:space="preserve"> v Sloveniji bolj zaskrbljeni (42 in 40 %, v EU 43 in 29 %). V Sloveniji je bilo leta 2014 tudi nadpovprečno strinjanje z izjavo, da lahko kot posamezniki vplivamo na varovanje okolja v Sloveniji: popolnoma ali dokaj se </w:t>
      </w:r>
      <w:r>
        <w:rPr>
          <w:rFonts w:eastAsia="Cambria" w:cs="Arial"/>
          <w:szCs w:val="20"/>
          <w:lang w:val="sl-SI"/>
        </w:rPr>
        <w:t xml:space="preserve">glede tega </w:t>
      </w:r>
      <w:r w:rsidRPr="005771BD">
        <w:rPr>
          <w:rFonts w:eastAsia="Cambria" w:cs="Arial"/>
          <w:szCs w:val="20"/>
          <w:lang w:val="sl-SI"/>
        </w:rPr>
        <w:t>strinja 88 % respondentov (EU: 85 %), podobno visoko je tudi strinjanje glede izjave, da okoljski problemi neposredno vplivajo na naše vsakdanje življenje – 86 %, v EU le 77 %</w:t>
      </w:r>
      <w:r>
        <w:rPr>
          <w:rFonts w:eastAsia="Cambria" w:cs="Arial"/>
          <w:szCs w:val="20"/>
          <w:lang w:val="sl-SI"/>
        </w:rPr>
        <w:t>,</w:t>
      </w:r>
      <w:r w:rsidRPr="005771BD">
        <w:rPr>
          <w:rFonts w:eastAsia="Cambria" w:cs="Arial"/>
          <w:szCs w:val="20"/>
          <w:lang w:val="sl-SI"/>
        </w:rPr>
        <w:t xml:space="preserve"> </w:t>
      </w:r>
    </w:p>
    <w:p w:rsidR="00DF4CD9" w:rsidRDefault="00DF4CD9" w:rsidP="00DF4CD9">
      <w:pPr>
        <w:spacing w:after="200" w:line="276" w:lineRule="auto"/>
        <w:jc w:val="both"/>
        <w:rPr>
          <w:rFonts w:eastAsia="Cambria" w:cs="Arial"/>
          <w:bCs/>
          <w:szCs w:val="20"/>
          <w:lang w:val="sl-SI"/>
        </w:rPr>
      </w:pPr>
    </w:p>
    <w:p w:rsidR="00DF4CD9" w:rsidRPr="005771BD" w:rsidRDefault="00DF4CD9" w:rsidP="00DF4CD9">
      <w:pPr>
        <w:spacing w:line="276" w:lineRule="auto"/>
        <w:jc w:val="both"/>
        <w:rPr>
          <w:rFonts w:eastAsia="Cambria" w:cs="Arial"/>
          <w:szCs w:val="20"/>
          <w:lang w:val="sl-SI"/>
        </w:rPr>
      </w:pPr>
      <w:r w:rsidRPr="007F272F">
        <w:rPr>
          <w:rFonts w:eastAsia="Cambria" w:cs="Arial"/>
          <w:noProof/>
          <w:szCs w:val="20"/>
          <w:lang w:val="sl-SI" w:eastAsia="sl-SI"/>
        </w:rPr>
        <w:drawing>
          <wp:inline distT="0" distB="0" distL="0" distR="0" wp14:anchorId="1BC3E76C" wp14:editId="4591C817">
            <wp:extent cx="4115435" cy="4109085"/>
            <wp:effectExtent l="0" t="0" r="0" b="5715"/>
            <wp:docPr id="649" name="Slika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4115435" cy="4109085"/>
                    </a:xfrm>
                    <a:prstGeom prst="rect">
                      <a:avLst/>
                    </a:prstGeom>
                    <a:noFill/>
                  </pic:spPr>
                </pic:pic>
              </a:graphicData>
            </a:graphic>
          </wp:inline>
        </w:drawing>
      </w:r>
    </w:p>
    <w:p w:rsidR="00DF4CD9" w:rsidRPr="005771BD" w:rsidRDefault="00DF4CD9" w:rsidP="00DF4CD9">
      <w:pPr>
        <w:spacing w:line="276" w:lineRule="auto"/>
        <w:jc w:val="both"/>
        <w:rPr>
          <w:rFonts w:eastAsia="Cambria" w:cs="Arial"/>
          <w:szCs w:val="20"/>
          <w:lang w:val="sl-SI"/>
        </w:rPr>
      </w:pPr>
    </w:p>
    <w:p w:rsidR="00DF4CD9" w:rsidRDefault="00DF4CD9" w:rsidP="00DF4CD9">
      <w:pPr>
        <w:spacing w:line="276" w:lineRule="auto"/>
        <w:jc w:val="both"/>
        <w:rPr>
          <w:rFonts w:eastAsia="Cambria" w:cs="Arial"/>
          <w:bCs/>
          <w:i/>
          <w:szCs w:val="20"/>
          <w:lang w:val="sl-SI"/>
        </w:rPr>
      </w:pPr>
      <w:r w:rsidRPr="005771BD">
        <w:rPr>
          <w:rFonts w:eastAsia="Cambria" w:cs="Arial"/>
          <w:i/>
          <w:szCs w:val="20"/>
          <w:lang w:val="sl-SI"/>
        </w:rPr>
        <w:t>Slika 1</w:t>
      </w:r>
      <w:r w:rsidR="001A509D">
        <w:rPr>
          <w:rFonts w:eastAsia="Cambria" w:cs="Arial"/>
          <w:i/>
          <w:szCs w:val="20"/>
          <w:lang w:val="sl-SI"/>
        </w:rPr>
        <w:t>5</w:t>
      </w:r>
      <w:r w:rsidRPr="005771BD">
        <w:rPr>
          <w:rFonts w:eastAsia="Cambria" w:cs="Arial"/>
          <w:i/>
          <w:szCs w:val="20"/>
          <w:lang w:val="sl-SI"/>
        </w:rPr>
        <w:t xml:space="preserve">.1: </w:t>
      </w:r>
      <w:r>
        <w:rPr>
          <w:rFonts w:eastAsia="Cambria" w:cs="Arial"/>
          <w:i/>
          <w:szCs w:val="20"/>
          <w:lang w:val="sl-SI"/>
        </w:rPr>
        <w:t>R</w:t>
      </w:r>
      <w:r w:rsidRPr="005771BD">
        <w:rPr>
          <w:rFonts w:eastAsia="Cambria" w:cs="Arial"/>
          <w:i/>
          <w:szCs w:val="20"/>
          <w:lang w:val="sl-SI"/>
        </w:rPr>
        <w:t xml:space="preserve">ezultati </w:t>
      </w:r>
      <w:r w:rsidRPr="005771BD">
        <w:rPr>
          <w:rFonts w:eastAsia="Cambria" w:cs="Arial"/>
          <w:bCs/>
          <w:i/>
          <w:szCs w:val="20"/>
          <w:lang w:val="sl-SI"/>
        </w:rPr>
        <w:t xml:space="preserve">javnomnenjskih anket Eurobarometra na področju okolja </w:t>
      </w:r>
    </w:p>
    <w:p w:rsidR="001A509D" w:rsidRPr="005771BD" w:rsidRDefault="001A509D" w:rsidP="00DF4CD9">
      <w:pPr>
        <w:spacing w:line="276" w:lineRule="auto"/>
        <w:jc w:val="both"/>
        <w:rPr>
          <w:rFonts w:eastAsia="Cambria" w:cs="Arial"/>
          <w:i/>
          <w:szCs w:val="20"/>
          <w:lang w:val="sl-SI"/>
        </w:rPr>
      </w:pPr>
    </w:p>
    <w:p w:rsidR="00DF4CD9" w:rsidRPr="005771BD" w:rsidRDefault="00DF4CD9" w:rsidP="00DF4CD9">
      <w:pPr>
        <w:numPr>
          <w:ilvl w:val="0"/>
          <w:numId w:val="73"/>
        </w:numPr>
        <w:spacing w:before="60" w:after="200" w:line="276" w:lineRule="auto"/>
        <w:ind w:left="284" w:hanging="284"/>
        <w:jc w:val="both"/>
        <w:rPr>
          <w:rFonts w:eastAsia="Cambria" w:cs="Arial"/>
          <w:szCs w:val="20"/>
          <w:lang w:val="sl-SI"/>
        </w:rPr>
      </w:pPr>
      <w:r w:rsidRPr="005771BD">
        <w:rPr>
          <w:rFonts w:eastAsia="Cambria" w:cs="Arial"/>
          <w:szCs w:val="20"/>
          <w:lang w:val="sl-SI"/>
        </w:rPr>
        <w:t xml:space="preserve">na ravni osebnega delovanja za varovanje okolja v predhodnem mesecu v Sloveniji močno izstopa ločevanje večine odpadkov za recikliranje – 92 % respondentov (v EU le 72 %), pri drugih aktivnostih pa takih razlik ni. </w:t>
      </w:r>
      <w:r>
        <w:rPr>
          <w:rFonts w:eastAsia="Cambria" w:cs="Arial"/>
          <w:szCs w:val="20"/>
          <w:lang w:val="sl-SI"/>
        </w:rPr>
        <w:t>Naslednji najpogostejši odgovori so</w:t>
      </w:r>
      <w:r w:rsidRPr="005771BD">
        <w:rPr>
          <w:rFonts w:eastAsia="Cambria" w:cs="Arial"/>
          <w:szCs w:val="20"/>
          <w:lang w:val="sl-SI"/>
        </w:rPr>
        <w:t xml:space="preserve"> zmanjšanje porabe energije, zmanjšanje porabe vode, okolju prijazne</w:t>
      </w:r>
      <w:r>
        <w:rPr>
          <w:rFonts w:eastAsia="Cambria" w:cs="Arial"/>
          <w:szCs w:val="20"/>
          <w:lang w:val="sl-SI"/>
        </w:rPr>
        <w:t>jši</w:t>
      </w:r>
      <w:r w:rsidRPr="005771BD">
        <w:rPr>
          <w:rFonts w:eastAsia="Cambria" w:cs="Arial"/>
          <w:szCs w:val="20"/>
          <w:lang w:val="sl-SI"/>
        </w:rPr>
        <w:t xml:space="preserve"> način potovanja,</w:t>
      </w:r>
      <w:r>
        <w:rPr>
          <w:rFonts w:eastAsia="Cambria" w:cs="Arial"/>
          <w:szCs w:val="20"/>
          <w:lang w:val="sl-SI"/>
        </w:rPr>
        <w:t xml:space="preserve"> odločanje za </w:t>
      </w:r>
      <w:r w:rsidRPr="005771BD">
        <w:rPr>
          <w:rFonts w:eastAsia="Cambria" w:cs="Arial"/>
          <w:szCs w:val="20"/>
          <w:lang w:val="sl-SI"/>
        </w:rPr>
        <w:t>lokaln</w:t>
      </w:r>
      <w:r>
        <w:rPr>
          <w:rFonts w:eastAsia="Cambria" w:cs="Arial"/>
          <w:szCs w:val="20"/>
          <w:lang w:val="sl-SI"/>
        </w:rPr>
        <w:t>e</w:t>
      </w:r>
      <w:r w:rsidRPr="005771BD">
        <w:rPr>
          <w:rFonts w:eastAsia="Cambria" w:cs="Arial"/>
          <w:szCs w:val="20"/>
          <w:lang w:val="sl-SI"/>
        </w:rPr>
        <w:t xml:space="preserve"> proizvod</w:t>
      </w:r>
      <w:r>
        <w:rPr>
          <w:rFonts w:eastAsia="Cambria" w:cs="Arial"/>
          <w:szCs w:val="20"/>
          <w:lang w:val="sl-SI"/>
        </w:rPr>
        <w:t>e</w:t>
      </w:r>
      <w:r w:rsidRPr="005771BD">
        <w:rPr>
          <w:rFonts w:eastAsia="Cambria" w:cs="Arial"/>
          <w:szCs w:val="20"/>
          <w:lang w:val="sl-SI"/>
        </w:rPr>
        <w:t xml:space="preserve"> (večinoma enak ali nekoliko višji delež odgovorov, le pri energiji nekoliko nižji: SI 46 %, EU: 52 %). Delovanje posameznikov naj bi bilo v Sloveniji najbolj usmerjeno v ločevanje odpadkov za recikliranje (66 %, EU: 54 %). Večji delež respondentov kot v EU tudi priporoča uporabo javnega prevoza, zmanjšanje količine zavržene hrane in kupovanje okolju prijaznih izdelkov (od 45 do 32 %). Presenetljivo majhen delež respondentov kot najpomembnejše za varovanje okolja v vsakdanjem življenju priporoča zmanjšanje porabe energije doma – le 24 %, v EU pa 39 %, </w:t>
      </w:r>
    </w:p>
    <w:p w:rsidR="00DF4CD9" w:rsidRPr="005771BD" w:rsidRDefault="00DF4CD9" w:rsidP="00DF4CD9">
      <w:pPr>
        <w:numPr>
          <w:ilvl w:val="0"/>
          <w:numId w:val="73"/>
        </w:numPr>
        <w:spacing w:before="60" w:after="200" w:line="276" w:lineRule="auto"/>
        <w:ind w:left="284" w:hanging="284"/>
        <w:jc w:val="both"/>
        <w:rPr>
          <w:rFonts w:eastAsia="Cambria" w:cs="Arial"/>
          <w:szCs w:val="20"/>
          <w:lang w:val="sl-SI"/>
        </w:rPr>
      </w:pPr>
      <w:r w:rsidRPr="005771BD">
        <w:rPr>
          <w:rFonts w:eastAsia="Cambria" w:cs="Arial"/>
          <w:szCs w:val="20"/>
          <w:lang w:val="sl-SI"/>
        </w:rPr>
        <w:t xml:space="preserve">z vidika strateških usmeritev Slovenije za prehod v zeleno gospodarstvo je pomembno tudi soglašanje, da lahko varovanje okolja in učinkovita uporaba naravnih virov spodbudita gospodarsko rast v EU: 84 % respondentov se dokaj ali popolnoma strinja z izjavo o prispevku varovanja okolja (EU: 74 %), glede učinkovite uporabe naravnih virov pa: </w:t>
      </w:r>
      <w:r>
        <w:rPr>
          <w:rFonts w:eastAsia="Cambria" w:cs="Arial"/>
          <w:szCs w:val="20"/>
          <w:lang w:val="sl-SI"/>
        </w:rPr>
        <w:t>v Sloveniji tako meni</w:t>
      </w:r>
      <w:r w:rsidRPr="005771BD">
        <w:rPr>
          <w:rFonts w:eastAsia="Cambria" w:cs="Arial"/>
          <w:szCs w:val="20"/>
          <w:lang w:val="sl-SI"/>
        </w:rPr>
        <w:t>87 %</w:t>
      </w:r>
      <w:r>
        <w:rPr>
          <w:rFonts w:eastAsia="Cambria" w:cs="Arial"/>
          <w:szCs w:val="20"/>
          <w:lang w:val="sl-SI"/>
        </w:rPr>
        <w:t xml:space="preserve"> vprašanih</w:t>
      </w:r>
      <w:r w:rsidRPr="005771BD">
        <w:rPr>
          <w:rFonts w:eastAsia="Cambria" w:cs="Arial"/>
          <w:szCs w:val="20"/>
          <w:lang w:val="sl-SI"/>
        </w:rPr>
        <w:t xml:space="preserve">, </w:t>
      </w:r>
      <w:r>
        <w:rPr>
          <w:rFonts w:eastAsia="Cambria" w:cs="Arial"/>
          <w:szCs w:val="20"/>
          <w:lang w:val="sl-SI"/>
        </w:rPr>
        <w:t xml:space="preserve">v </w:t>
      </w:r>
      <w:r w:rsidRPr="005771BD">
        <w:rPr>
          <w:rFonts w:eastAsia="Cambria" w:cs="Arial"/>
          <w:szCs w:val="20"/>
          <w:lang w:val="sl-SI"/>
        </w:rPr>
        <w:t xml:space="preserve">EU </w:t>
      </w:r>
      <w:r>
        <w:rPr>
          <w:rFonts w:eastAsia="Cambria" w:cs="Arial"/>
          <w:szCs w:val="20"/>
          <w:lang w:val="sl-SI"/>
        </w:rPr>
        <w:t xml:space="preserve">pa </w:t>
      </w:r>
      <w:r w:rsidRPr="005771BD">
        <w:rPr>
          <w:rFonts w:eastAsia="Cambria" w:cs="Arial"/>
          <w:szCs w:val="20"/>
          <w:lang w:val="sl-SI"/>
        </w:rPr>
        <w:t>79 %</w:t>
      </w:r>
      <w:r>
        <w:rPr>
          <w:rFonts w:eastAsia="Cambria" w:cs="Arial"/>
          <w:szCs w:val="20"/>
          <w:lang w:val="sl-SI"/>
        </w:rPr>
        <w:t>,</w:t>
      </w:r>
      <w:r w:rsidRPr="005771BD">
        <w:rPr>
          <w:rFonts w:eastAsia="Cambria" w:cs="Arial"/>
          <w:szCs w:val="20"/>
          <w:lang w:val="sl-SI"/>
        </w:rPr>
        <w:t xml:space="preserve"> </w:t>
      </w:r>
    </w:p>
    <w:p w:rsidR="00DF4CD9" w:rsidRPr="005771BD" w:rsidRDefault="00DF4CD9" w:rsidP="00DF4CD9">
      <w:pPr>
        <w:numPr>
          <w:ilvl w:val="0"/>
          <w:numId w:val="73"/>
        </w:numPr>
        <w:spacing w:before="60" w:after="200" w:line="276" w:lineRule="auto"/>
        <w:ind w:left="284" w:hanging="284"/>
        <w:jc w:val="both"/>
        <w:rPr>
          <w:rFonts w:eastAsia="Cambria" w:cs="Arial"/>
          <w:szCs w:val="20"/>
          <w:lang w:val="sl-SI"/>
        </w:rPr>
      </w:pPr>
      <w:r w:rsidRPr="005771BD">
        <w:rPr>
          <w:rFonts w:eastAsia="Cambria" w:cs="Arial"/>
          <w:szCs w:val="20"/>
          <w:lang w:val="sl-SI"/>
        </w:rPr>
        <w:t xml:space="preserve">glede učinkovitosti načinov reševanja okoljskih problemov se slovenski respondenti razlikujejo od povprečja EU: zagotavljanje višjih finančnih spodbud jih šteje </w:t>
      </w:r>
      <w:r>
        <w:rPr>
          <w:rFonts w:eastAsia="Cambria" w:cs="Arial"/>
          <w:szCs w:val="20"/>
          <w:lang w:val="sl-SI"/>
        </w:rPr>
        <w:t>za</w:t>
      </w:r>
      <w:r w:rsidRPr="005771BD">
        <w:rPr>
          <w:rFonts w:eastAsia="Cambria" w:cs="Arial"/>
          <w:szCs w:val="20"/>
          <w:lang w:val="sl-SI"/>
        </w:rPr>
        <w:t xml:space="preserve"> učinkovito skoraj polovica, tj. 47 % (v EU le 33 %), uvajanje večjih denarnih kazni za storilce in uvajanje strožje okoljske zakonodaje (primerljivo s povprečjem EU). Boljše informiranosti in zagotavljanja boljšega izvajanja zakonodaje slovenski respondenti ne štejejo za tako učinkovitega kot v EU (SI: 23 in 22 %; EU: 31 in 30 %). Davki na okolju škodljive dejavnosti pa se večinoma ne štejejo za učinkovit ukrep: v Sloveniji je ta ukrep izbralo 16 %, v EU pa 18 % respondentov</w:t>
      </w:r>
      <w:r>
        <w:rPr>
          <w:rFonts w:eastAsia="Cambria" w:cs="Arial"/>
          <w:szCs w:val="20"/>
          <w:lang w:val="sl-SI"/>
        </w:rPr>
        <w:t>,</w:t>
      </w:r>
      <w:r w:rsidRPr="005771BD">
        <w:rPr>
          <w:rFonts w:eastAsia="Cambria" w:cs="Arial"/>
          <w:szCs w:val="20"/>
          <w:lang w:val="sl-SI"/>
        </w:rPr>
        <w:t xml:space="preserve"> </w:t>
      </w:r>
    </w:p>
    <w:p w:rsidR="00DF4CD9" w:rsidRPr="005771BD" w:rsidRDefault="00DF4CD9" w:rsidP="00DF4CD9">
      <w:pPr>
        <w:numPr>
          <w:ilvl w:val="0"/>
          <w:numId w:val="73"/>
        </w:numPr>
        <w:spacing w:before="60" w:after="200" w:line="276" w:lineRule="auto"/>
        <w:ind w:left="284" w:hanging="284"/>
        <w:jc w:val="both"/>
        <w:rPr>
          <w:rFonts w:eastAsia="Cambria" w:cs="Arial"/>
          <w:szCs w:val="20"/>
          <w:lang w:val="sl-SI"/>
        </w:rPr>
      </w:pPr>
      <w:r w:rsidRPr="005771BD">
        <w:rPr>
          <w:rFonts w:eastAsia="Cambria" w:cs="Arial"/>
          <w:szCs w:val="20"/>
          <w:lang w:val="sl-SI"/>
        </w:rPr>
        <w:t xml:space="preserve">med tistimi, ki bi morali več narediti za varovanje okolja, so po mnenju respondentov na prvem mestu velika podjetja in industrija, </w:t>
      </w:r>
      <w:r>
        <w:rPr>
          <w:rFonts w:eastAsia="Cambria" w:cs="Arial"/>
          <w:szCs w:val="20"/>
          <w:lang w:val="sl-SI"/>
        </w:rPr>
        <w:t xml:space="preserve">nato </w:t>
      </w:r>
      <w:r w:rsidRPr="005771BD">
        <w:rPr>
          <w:rFonts w:eastAsia="Cambria" w:cs="Arial"/>
          <w:szCs w:val="20"/>
          <w:lang w:val="sl-SI"/>
        </w:rPr>
        <w:t xml:space="preserve">slovenska vlada, državljani sami, EU in njihova regija (od 85 do 52 % odgovorov v Sloveniji, v EU od 77 do 50 %). Za domače mesto, kraj ali vas pa 51 % slovenskih respondentov meni, da </w:t>
      </w:r>
      <w:r>
        <w:rPr>
          <w:rFonts w:eastAsia="Cambria" w:cs="Arial"/>
          <w:szCs w:val="20"/>
          <w:lang w:val="sl-SI"/>
        </w:rPr>
        <w:t>za varovanje okolja naredijo</w:t>
      </w:r>
      <w:r w:rsidRPr="005771BD">
        <w:rPr>
          <w:rFonts w:eastAsia="Cambria" w:cs="Arial"/>
          <w:szCs w:val="20"/>
          <w:lang w:val="sl-SI"/>
        </w:rPr>
        <w:t xml:space="preserve"> dovolj.  </w:t>
      </w:r>
    </w:p>
    <w:p w:rsidR="00DF4CD9" w:rsidRPr="005771BD" w:rsidRDefault="00DF4CD9" w:rsidP="00DF4CD9">
      <w:pPr>
        <w:spacing w:after="200" w:line="276" w:lineRule="auto"/>
        <w:jc w:val="both"/>
        <w:rPr>
          <w:rFonts w:cs="Arial"/>
          <w:szCs w:val="20"/>
          <w:lang w:val="sl-SI"/>
        </w:rPr>
      </w:pPr>
      <w:r w:rsidRPr="005771BD">
        <w:rPr>
          <w:rFonts w:cs="Arial"/>
          <w:szCs w:val="20"/>
          <w:lang w:val="sl-SI"/>
        </w:rPr>
        <w:t>Občutljivo javno mnenje je odlična</w:t>
      </w:r>
      <w:r>
        <w:rPr>
          <w:rFonts w:cs="Arial"/>
          <w:szCs w:val="20"/>
          <w:lang w:val="sl-SI"/>
        </w:rPr>
        <w:t xml:space="preserve"> podlaga</w:t>
      </w:r>
      <w:r w:rsidRPr="005771BD">
        <w:rPr>
          <w:rFonts w:cs="Arial"/>
          <w:szCs w:val="20"/>
          <w:lang w:val="sl-SI"/>
        </w:rPr>
        <w:t xml:space="preserve"> za načrtovanje bolj osredotočenega usposabljanja, izobraževanja, ozaveščanja in informiranja, vendar je potrebno tudi dobro razumevanje vzrokov, ki so pripeljali do takega javnega mnenja. V ta namen bi bile potrebne še nadaljnje analize, pa tudi primerjave z drugimi raziskavami javnega mnenja, ki vključujejo vprašanja o okolju in trajnostnem razvoju. Na področju učinkovite rabe energije, na primer,  agencija InformaEcho od leta 2009 izvaja terensko </w:t>
      </w:r>
      <w:r>
        <w:rPr>
          <w:rFonts w:cs="Arial"/>
          <w:b/>
          <w:szCs w:val="20"/>
          <w:lang w:val="sl-SI"/>
        </w:rPr>
        <w:t>r</w:t>
      </w:r>
      <w:r w:rsidRPr="005771BD">
        <w:rPr>
          <w:rFonts w:cs="Arial"/>
          <w:b/>
          <w:szCs w:val="20"/>
          <w:lang w:val="sl-SI"/>
        </w:rPr>
        <w:t xml:space="preserve">aziskavo energetske učinkovitosti Slovenije REUS, </w:t>
      </w:r>
      <w:r w:rsidRPr="005771BD">
        <w:rPr>
          <w:rFonts w:cs="Arial"/>
          <w:szCs w:val="20"/>
          <w:lang w:val="sl-SI"/>
        </w:rPr>
        <w:t>večinoma v gospodinjstvih, leta 2013 pa tudi za javni in storitveni sektor. Raziskava je med drugim opozorila na</w:t>
      </w:r>
      <w:r w:rsidRPr="005771BD">
        <w:rPr>
          <w:rFonts w:cs="Arial"/>
          <w:b/>
          <w:szCs w:val="20"/>
          <w:lang w:val="sl-SI"/>
        </w:rPr>
        <w:t xml:space="preserve"> </w:t>
      </w:r>
      <w:r w:rsidRPr="005771BD">
        <w:rPr>
          <w:rFonts w:cs="Arial"/>
          <w:szCs w:val="20"/>
          <w:lang w:val="sl-SI"/>
        </w:rPr>
        <w:t xml:space="preserve">velik razkorak med prepričanjem respondentov, da se obnašajo odgovorno do okolja in da so energetsko učinkoviti, in med njihovim dejanskim ravnanjem.  </w:t>
      </w:r>
    </w:p>
    <w:p w:rsidR="00993FB7" w:rsidRPr="00993FB7" w:rsidRDefault="00993FB7" w:rsidP="00DF4CD9">
      <w:pPr>
        <w:spacing w:after="200" w:line="276" w:lineRule="auto"/>
        <w:rPr>
          <w:rFonts w:eastAsiaTheme="majorEastAsia" w:cs="Arial"/>
          <w:b/>
          <w:bCs/>
          <w:iCs/>
          <w:szCs w:val="20"/>
          <w:lang w:val="sl-SI" w:eastAsia="de-DE"/>
        </w:rPr>
      </w:pPr>
    </w:p>
    <w:p w:rsidR="0057482E" w:rsidRPr="005771BD" w:rsidRDefault="00B31BA6" w:rsidP="0057482E">
      <w:pPr>
        <w:spacing w:after="200" w:line="276" w:lineRule="auto"/>
        <w:rPr>
          <w:rFonts w:eastAsia="Calibri" w:cs="Arial"/>
          <w:b/>
          <w:sz w:val="22"/>
          <w:szCs w:val="22"/>
          <w:lang w:val="sl-SI"/>
        </w:rPr>
      </w:pPr>
      <w:r>
        <w:rPr>
          <w:rFonts w:eastAsia="Calibri" w:cs="Arial"/>
          <w:b/>
          <w:sz w:val="22"/>
          <w:szCs w:val="22"/>
          <w:lang w:val="sl-SI"/>
        </w:rPr>
        <w:br w:type="column"/>
      </w:r>
      <w:r w:rsidR="0057482E" w:rsidRPr="005771BD">
        <w:rPr>
          <w:rFonts w:eastAsia="Calibri" w:cs="Arial"/>
          <w:b/>
          <w:sz w:val="22"/>
          <w:szCs w:val="22"/>
          <w:lang w:val="sl-SI"/>
        </w:rPr>
        <w:t>1</w:t>
      </w:r>
      <w:r w:rsidR="001A509D">
        <w:rPr>
          <w:rFonts w:eastAsia="Calibri" w:cs="Arial"/>
          <w:b/>
          <w:sz w:val="22"/>
          <w:szCs w:val="22"/>
          <w:lang w:val="sl-SI"/>
        </w:rPr>
        <w:t>6</w:t>
      </w:r>
      <w:r w:rsidR="0057482E" w:rsidRPr="005771BD">
        <w:rPr>
          <w:rFonts w:eastAsia="Calibri" w:cs="Arial"/>
          <w:b/>
          <w:sz w:val="22"/>
          <w:szCs w:val="22"/>
          <w:lang w:val="sl-SI"/>
        </w:rPr>
        <w:t xml:space="preserve"> OKOLJE V SLOVENIJI IN VPLIVI NA ZDRAVJE </w:t>
      </w:r>
    </w:p>
    <w:p w:rsidR="0057482E" w:rsidRPr="005771BD" w:rsidRDefault="0057482E" w:rsidP="0057482E">
      <w:pPr>
        <w:spacing w:line="276" w:lineRule="auto"/>
        <w:jc w:val="both"/>
        <w:rPr>
          <w:rFonts w:eastAsiaTheme="minorHAnsi" w:cs="Arial"/>
          <w:b/>
          <w:szCs w:val="20"/>
          <w:u w:val="single"/>
          <w:lang w:val="sl-SI"/>
        </w:rPr>
      </w:pPr>
    </w:p>
    <w:p w:rsidR="0057482E" w:rsidRPr="005771BD" w:rsidRDefault="0057482E" w:rsidP="0057482E">
      <w:pPr>
        <w:spacing w:after="200" w:line="276" w:lineRule="auto"/>
        <w:jc w:val="both"/>
        <w:rPr>
          <w:rFonts w:eastAsiaTheme="minorHAnsi" w:cs="Arial"/>
          <w:b/>
          <w:szCs w:val="20"/>
          <w:u w:val="single"/>
          <w:lang w:val="sl-SI"/>
        </w:rPr>
      </w:pPr>
      <w:r w:rsidRPr="005771BD">
        <w:rPr>
          <w:rFonts w:eastAsiaTheme="minorHAnsi" w:cs="Arial"/>
          <w:b/>
          <w:szCs w:val="20"/>
          <w:u w:val="single"/>
          <w:lang w:val="sl-SI"/>
        </w:rPr>
        <w:t>1</w:t>
      </w:r>
      <w:r w:rsidR="001A509D">
        <w:rPr>
          <w:rFonts w:eastAsiaTheme="minorHAnsi" w:cs="Arial"/>
          <w:b/>
          <w:szCs w:val="20"/>
          <w:u w:val="single"/>
          <w:lang w:val="sl-SI"/>
        </w:rPr>
        <w:t>6</w:t>
      </w:r>
      <w:r w:rsidRPr="005771BD">
        <w:rPr>
          <w:rFonts w:eastAsiaTheme="minorHAnsi" w:cs="Arial"/>
          <w:b/>
          <w:szCs w:val="20"/>
          <w:u w:val="single"/>
          <w:lang w:val="sl-SI"/>
        </w:rPr>
        <w:t>.1 Uvod</w:t>
      </w:r>
    </w:p>
    <w:p w:rsidR="0057482E" w:rsidRPr="005771BD" w:rsidRDefault="0057482E" w:rsidP="0057482E">
      <w:pPr>
        <w:spacing w:after="200" w:line="276" w:lineRule="auto"/>
        <w:jc w:val="both"/>
        <w:rPr>
          <w:rFonts w:eastAsiaTheme="minorHAnsi" w:cs="Arial"/>
          <w:szCs w:val="20"/>
          <w:lang w:val="sl-SI"/>
        </w:rPr>
      </w:pPr>
      <w:r w:rsidRPr="005771BD">
        <w:rPr>
          <w:rFonts w:eastAsiaTheme="minorHAnsi" w:cs="Arial"/>
          <w:szCs w:val="20"/>
          <w:lang w:val="sl-SI"/>
        </w:rPr>
        <w:t xml:space="preserve">Onesnaženost in druge oblike degradacije okolja so povezane s škodljivimi učinki na zdravje. Svetovna zdravstvena organizacija (v nadaljevanju WHO) opredeljuje povezavo okolja in zdravja kot interakcije človeka z okoljem, to je s fizikalnimi, kemičnimi in biološkimi dejavniki, ki sooblikujejo in vplivajo na kakovost ter zdrava leta življenja (WHO 2013). </w:t>
      </w:r>
    </w:p>
    <w:p w:rsidR="0057482E" w:rsidRPr="005771BD" w:rsidRDefault="0057482E" w:rsidP="0057482E">
      <w:pPr>
        <w:spacing w:after="200" w:line="276" w:lineRule="auto"/>
        <w:jc w:val="both"/>
        <w:rPr>
          <w:rFonts w:eastAsiaTheme="minorHAnsi" w:cs="Arial"/>
          <w:szCs w:val="20"/>
          <w:lang w:val="sl-SI"/>
        </w:rPr>
      </w:pPr>
      <w:r w:rsidRPr="005771BD">
        <w:rPr>
          <w:rFonts w:eastAsiaTheme="minorHAnsi" w:cs="Arial"/>
          <w:szCs w:val="20"/>
          <w:lang w:val="sl-SI"/>
        </w:rPr>
        <w:t xml:space="preserve">Na Nacionalnem inštitutu za javno zdravje (v nadaljevanju NIJZ) sistematično zbiramo, analiziramo, preučujemo, povezujemo in spremljamo številne okoljske ter zdravstvene podatke, spremljamo raziskave na področju okolja in javnega zdravja v svetu in doma in na tej </w:t>
      </w:r>
      <w:r>
        <w:rPr>
          <w:rFonts w:eastAsiaTheme="minorHAnsi" w:cs="Arial"/>
          <w:szCs w:val="20"/>
          <w:lang w:val="sl-SI"/>
        </w:rPr>
        <w:t>podlagi</w:t>
      </w:r>
      <w:r w:rsidRPr="005771BD">
        <w:rPr>
          <w:rFonts w:eastAsiaTheme="minorHAnsi" w:cs="Arial"/>
          <w:szCs w:val="20"/>
          <w:lang w:val="sl-SI"/>
        </w:rPr>
        <w:t xml:space="preserve"> ocenjujemo </w:t>
      </w:r>
      <w:r>
        <w:rPr>
          <w:rFonts w:eastAsiaTheme="minorHAnsi" w:cs="Arial"/>
          <w:szCs w:val="20"/>
          <w:lang w:val="sl-SI"/>
        </w:rPr>
        <w:t>možne</w:t>
      </w:r>
      <w:r w:rsidRPr="005771BD">
        <w:rPr>
          <w:rFonts w:eastAsiaTheme="minorHAnsi" w:cs="Arial"/>
          <w:szCs w:val="20"/>
          <w:lang w:val="sl-SI"/>
        </w:rPr>
        <w:t xml:space="preserve"> vplive okoljskih dejavnikov na zdravje prebivalcev Slovenije. Naloga </w:t>
      </w:r>
      <w:r>
        <w:rPr>
          <w:rFonts w:eastAsiaTheme="minorHAnsi" w:cs="Arial"/>
          <w:szCs w:val="20"/>
          <w:lang w:val="sl-SI"/>
        </w:rPr>
        <w:t xml:space="preserve">inštituta za </w:t>
      </w:r>
      <w:r w:rsidRPr="005771BD">
        <w:rPr>
          <w:rFonts w:eastAsiaTheme="minorHAnsi" w:cs="Arial"/>
          <w:szCs w:val="20"/>
          <w:lang w:val="sl-SI"/>
        </w:rPr>
        <w:t>javn</w:t>
      </w:r>
      <w:r>
        <w:rPr>
          <w:rFonts w:eastAsiaTheme="minorHAnsi" w:cs="Arial"/>
          <w:szCs w:val="20"/>
          <w:lang w:val="sl-SI"/>
        </w:rPr>
        <w:t>o</w:t>
      </w:r>
      <w:r w:rsidRPr="005771BD">
        <w:rPr>
          <w:rFonts w:eastAsiaTheme="minorHAnsi" w:cs="Arial"/>
          <w:szCs w:val="20"/>
          <w:lang w:val="sl-SI"/>
        </w:rPr>
        <w:t xml:space="preserve"> zdravj</w:t>
      </w:r>
      <w:r>
        <w:rPr>
          <w:rFonts w:eastAsiaTheme="minorHAnsi" w:cs="Arial"/>
          <w:szCs w:val="20"/>
          <w:lang w:val="sl-SI"/>
        </w:rPr>
        <w:t>e</w:t>
      </w:r>
      <w:r w:rsidRPr="005771BD">
        <w:rPr>
          <w:rFonts w:eastAsiaTheme="minorHAnsi" w:cs="Arial"/>
          <w:szCs w:val="20"/>
          <w:lang w:val="sl-SI"/>
        </w:rPr>
        <w:t xml:space="preserve"> je preučevanje povezave med negativnimi dejavniki okolja in njihovimi učinki na zdravje ljudi, da se čim prej odkrijejo in preprečijo tveganja oziroma pripravijo ukrepi, pristopi in postopki za njihovo odstranitev ter s tem zaščita človekovega zdravja. </w:t>
      </w:r>
      <w:r>
        <w:rPr>
          <w:rFonts w:eastAsiaTheme="minorHAnsi" w:cs="Arial"/>
          <w:szCs w:val="20"/>
          <w:lang w:val="sl-SI"/>
        </w:rPr>
        <w:t>Pripravljamo strokovne podlage za</w:t>
      </w:r>
      <w:r w:rsidRPr="005771BD">
        <w:rPr>
          <w:rFonts w:eastAsiaTheme="minorHAnsi" w:cs="Arial"/>
          <w:szCs w:val="20"/>
          <w:lang w:val="sl-SI"/>
        </w:rPr>
        <w:t xml:space="preserve"> politik</w:t>
      </w:r>
      <w:r>
        <w:rPr>
          <w:rFonts w:eastAsiaTheme="minorHAnsi" w:cs="Arial"/>
          <w:szCs w:val="20"/>
          <w:lang w:val="sl-SI"/>
        </w:rPr>
        <w:t>o</w:t>
      </w:r>
      <w:r w:rsidRPr="005771BD">
        <w:rPr>
          <w:rFonts w:eastAsiaTheme="minorHAnsi" w:cs="Arial"/>
          <w:szCs w:val="20"/>
          <w:lang w:val="sl-SI"/>
        </w:rPr>
        <w:t xml:space="preserve"> izvajanj</w:t>
      </w:r>
      <w:r>
        <w:rPr>
          <w:rFonts w:eastAsiaTheme="minorHAnsi" w:cs="Arial"/>
          <w:szCs w:val="20"/>
          <w:lang w:val="sl-SI"/>
        </w:rPr>
        <w:t>a</w:t>
      </w:r>
      <w:r w:rsidRPr="005771BD">
        <w:rPr>
          <w:rFonts w:eastAsiaTheme="minorHAnsi" w:cs="Arial"/>
          <w:szCs w:val="20"/>
          <w:lang w:val="sl-SI"/>
        </w:rPr>
        <w:t xml:space="preserve"> aktivnosti in sprejemanj</w:t>
      </w:r>
      <w:r>
        <w:rPr>
          <w:rFonts w:eastAsiaTheme="minorHAnsi" w:cs="Arial"/>
          <w:szCs w:val="20"/>
          <w:lang w:val="sl-SI"/>
        </w:rPr>
        <w:t>a</w:t>
      </w:r>
      <w:r w:rsidRPr="005771BD">
        <w:rPr>
          <w:rFonts w:eastAsiaTheme="minorHAnsi" w:cs="Arial"/>
          <w:szCs w:val="20"/>
          <w:lang w:val="sl-SI"/>
        </w:rPr>
        <w:t xml:space="preserve"> ukrepov, ki podpirajo zdravo okolje za vse, še posebej za otroke, </w:t>
      </w:r>
      <w:r>
        <w:rPr>
          <w:rFonts w:eastAsiaTheme="minorHAnsi" w:cs="Arial"/>
          <w:szCs w:val="20"/>
          <w:lang w:val="sl-SI"/>
        </w:rPr>
        <w:t xml:space="preserve">z </w:t>
      </w:r>
      <w:r w:rsidRPr="005771BD">
        <w:rPr>
          <w:rFonts w:eastAsiaTheme="minorHAnsi" w:cs="Arial"/>
          <w:szCs w:val="20"/>
          <w:lang w:val="sl-SI"/>
        </w:rPr>
        <w:t>zakonodajalc</w:t>
      </w:r>
      <w:r>
        <w:rPr>
          <w:rFonts w:eastAsiaTheme="minorHAnsi" w:cs="Arial"/>
          <w:szCs w:val="20"/>
          <w:lang w:val="sl-SI"/>
        </w:rPr>
        <w:t>i</w:t>
      </w:r>
      <w:r w:rsidRPr="005771BD">
        <w:rPr>
          <w:rFonts w:eastAsiaTheme="minorHAnsi" w:cs="Arial"/>
          <w:szCs w:val="20"/>
          <w:lang w:val="sl-SI"/>
        </w:rPr>
        <w:t xml:space="preserve"> pa </w:t>
      </w:r>
      <w:r>
        <w:rPr>
          <w:rFonts w:eastAsiaTheme="minorHAnsi" w:cs="Arial"/>
          <w:szCs w:val="20"/>
          <w:lang w:val="sl-SI"/>
        </w:rPr>
        <w:t>sodelujemo pri izvajanju</w:t>
      </w:r>
      <w:r w:rsidRPr="005771BD">
        <w:rPr>
          <w:rFonts w:eastAsiaTheme="minorHAnsi" w:cs="Arial"/>
          <w:szCs w:val="20"/>
          <w:lang w:val="sl-SI"/>
        </w:rPr>
        <w:t xml:space="preserve"> zakon</w:t>
      </w:r>
      <w:r>
        <w:rPr>
          <w:rFonts w:eastAsiaTheme="minorHAnsi" w:cs="Arial"/>
          <w:szCs w:val="20"/>
          <w:lang w:val="sl-SI"/>
        </w:rPr>
        <w:t>ov</w:t>
      </w:r>
      <w:r w:rsidRPr="005771BD">
        <w:rPr>
          <w:rFonts w:eastAsiaTheme="minorHAnsi" w:cs="Arial"/>
          <w:szCs w:val="20"/>
          <w:lang w:val="sl-SI"/>
        </w:rPr>
        <w:t xml:space="preserve"> in </w:t>
      </w:r>
      <w:r>
        <w:rPr>
          <w:rFonts w:eastAsiaTheme="minorHAnsi" w:cs="Arial"/>
          <w:szCs w:val="20"/>
          <w:lang w:val="sl-SI"/>
        </w:rPr>
        <w:t xml:space="preserve">drugih </w:t>
      </w:r>
      <w:r w:rsidRPr="005771BD">
        <w:rPr>
          <w:rFonts w:eastAsiaTheme="minorHAnsi" w:cs="Arial"/>
          <w:szCs w:val="20"/>
          <w:lang w:val="sl-SI"/>
        </w:rPr>
        <w:t>predpis</w:t>
      </w:r>
      <w:r>
        <w:rPr>
          <w:rFonts w:eastAsiaTheme="minorHAnsi" w:cs="Arial"/>
          <w:szCs w:val="20"/>
          <w:lang w:val="sl-SI"/>
        </w:rPr>
        <w:t>ov</w:t>
      </w:r>
      <w:r w:rsidRPr="005771BD">
        <w:rPr>
          <w:rFonts w:eastAsiaTheme="minorHAnsi" w:cs="Arial"/>
          <w:szCs w:val="20"/>
          <w:lang w:val="sl-SI"/>
        </w:rPr>
        <w:t xml:space="preserve">, ki varujejo zdravje </w:t>
      </w:r>
      <w:r>
        <w:rPr>
          <w:rFonts w:eastAsiaTheme="minorHAnsi" w:cs="Arial"/>
          <w:szCs w:val="20"/>
          <w:lang w:val="sl-SI"/>
        </w:rPr>
        <w:t>in</w:t>
      </w:r>
      <w:r w:rsidRPr="005771BD">
        <w:rPr>
          <w:rFonts w:eastAsiaTheme="minorHAnsi" w:cs="Arial"/>
          <w:szCs w:val="20"/>
          <w:lang w:val="sl-SI"/>
        </w:rPr>
        <w:t xml:space="preserve"> zagotavljajo varnost, kar </w:t>
      </w:r>
      <w:r>
        <w:rPr>
          <w:rFonts w:eastAsiaTheme="minorHAnsi" w:cs="Arial"/>
          <w:szCs w:val="20"/>
          <w:lang w:val="sl-SI"/>
        </w:rPr>
        <w:t>je</w:t>
      </w:r>
      <w:r w:rsidRPr="005771BD">
        <w:rPr>
          <w:rFonts w:eastAsiaTheme="minorHAnsi" w:cs="Arial"/>
          <w:szCs w:val="20"/>
          <w:lang w:val="sl-SI"/>
        </w:rPr>
        <w:t xml:space="preserve"> tudi cilj Sedmega okoljskega akcijskega programa (EU 2013). </w:t>
      </w:r>
    </w:p>
    <w:p w:rsidR="0057482E" w:rsidRPr="005771BD" w:rsidRDefault="0057482E" w:rsidP="0057482E">
      <w:pPr>
        <w:spacing w:after="200" w:line="276" w:lineRule="auto"/>
        <w:jc w:val="both"/>
        <w:rPr>
          <w:rFonts w:eastAsiaTheme="minorHAnsi" w:cs="Arial"/>
          <w:b/>
          <w:szCs w:val="20"/>
          <w:lang w:val="sl-SI"/>
        </w:rPr>
      </w:pPr>
      <w:r w:rsidRPr="005771BD">
        <w:rPr>
          <w:rFonts w:eastAsiaTheme="minorHAnsi" w:cs="Arial"/>
          <w:szCs w:val="20"/>
          <w:lang w:val="sl-SI"/>
        </w:rPr>
        <w:t>V tem poglavju so prikazani rezultati spremljanja stanja okolja z vidika vplivov na zdravje prebivalcev v Sloveniji za posamezne parametre oziroma segmente okolja, npr. kakovost pitne vode, kopalnih voda</w:t>
      </w:r>
      <w:r>
        <w:rPr>
          <w:rFonts w:eastAsiaTheme="minorHAnsi" w:cs="Arial"/>
          <w:szCs w:val="20"/>
          <w:lang w:val="sl-SI"/>
        </w:rPr>
        <w:t xml:space="preserve"> in </w:t>
      </w:r>
      <w:r w:rsidRPr="005771BD">
        <w:rPr>
          <w:rFonts w:eastAsiaTheme="minorHAnsi" w:cs="Arial"/>
          <w:szCs w:val="20"/>
          <w:lang w:val="sl-SI"/>
        </w:rPr>
        <w:t xml:space="preserve">zraka, podnebne spremembe, okoljski hrup in kemijska okoljska onesnaževala v živilih. </w:t>
      </w:r>
    </w:p>
    <w:p w:rsidR="0057482E" w:rsidRPr="005771BD" w:rsidRDefault="0057482E" w:rsidP="0057482E">
      <w:pPr>
        <w:spacing w:line="276" w:lineRule="auto"/>
        <w:jc w:val="both"/>
        <w:rPr>
          <w:rFonts w:eastAsiaTheme="minorHAnsi" w:cs="Arial"/>
          <w:b/>
          <w:szCs w:val="20"/>
          <w:u w:val="single"/>
          <w:lang w:val="sl-SI"/>
        </w:rPr>
      </w:pPr>
    </w:p>
    <w:p w:rsidR="0057482E" w:rsidRPr="005771BD" w:rsidRDefault="0057482E" w:rsidP="0057482E">
      <w:pPr>
        <w:spacing w:after="200" w:line="276" w:lineRule="auto"/>
        <w:jc w:val="both"/>
        <w:rPr>
          <w:rFonts w:eastAsiaTheme="minorHAnsi" w:cs="Arial"/>
          <w:szCs w:val="20"/>
          <w:u w:val="single"/>
          <w:lang w:val="sl-SI"/>
        </w:rPr>
      </w:pPr>
      <w:r w:rsidRPr="005771BD">
        <w:rPr>
          <w:rFonts w:eastAsiaTheme="minorHAnsi" w:cs="Arial"/>
          <w:b/>
          <w:szCs w:val="20"/>
          <w:u w:val="single"/>
          <w:lang w:val="sl-SI"/>
        </w:rPr>
        <w:t>1</w:t>
      </w:r>
      <w:r w:rsidR="001A509D">
        <w:rPr>
          <w:rFonts w:eastAsiaTheme="minorHAnsi" w:cs="Arial"/>
          <w:b/>
          <w:szCs w:val="20"/>
          <w:u w:val="single"/>
          <w:lang w:val="sl-SI"/>
        </w:rPr>
        <w:t>6</w:t>
      </w:r>
      <w:r w:rsidRPr="005771BD">
        <w:rPr>
          <w:rFonts w:eastAsiaTheme="minorHAnsi" w:cs="Arial"/>
          <w:b/>
          <w:szCs w:val="20"/>
          <w:u w:val="single"/>
          <w:lang w:val="sl-SI"/>
        </w:rPr>
        <w:t xml:space="preserve">.2 Kakovost pitne vode </w:t>
      </w:r>
    </w:p>
    <w:p w:rsidR="0057482E" w:rsidRPr="005771BD" w:rsidRDefault="0057482E" w:rsidP="0057482E">
      <w:pPr>
        <w:spacing w:after="200" w:line="276" w:lineRule="auto"/>
        <w:jc w:val="both"/>
        <w:rPr>
          <w:rFonts w:eastAsiaTheme="minorHAnsi" w:cs="Arial"/>
          <w:szCs w:val="20"/>
          <w:lang w:val="sl-SI"/>
        </w:rPr>
      </w:pPr>
      <w:r w:rsidRPr="005771BD">
        <w:rPr>
          <w:rFonts w:eastAsiaTheme="minorHAnsi" w:cs="Arial"/>
          <w:szCs w:val="20"/>
          <w:lang w:val="sl-SI"/>
        </w:rPr>
        <w:t>V letu 2014 se je v Sloveniji 91 % prebivalcev oskrbovalo s pitno vodo z oskrbovalnih območjih, na katerih se je izvajal</w:t>
      </w:r>
      <w:r>
        <w:rPr>
          <w:rFonts w:eastAsiaTheme="minorHAnsi" w:cs="Arial"/>
          <w:szCs w:val="20"/>
          <w:lang w:val="sl-SI"/>
        </w:rPr>
        <w:t>o spremljanje</w:t>
      </w:r>
      <w:r w:rsidRPr="005771BD">
        <w:rPr>
          <w:rFonts w:eastAsiaTheme="minorHAnsi" w:cs="Arial"/>
          <w:szCs w:val="20"/>
          <w:lang w:val="sl-SI"/>
        </w:rPr>
        <w:t xml:space="preserve"> pitne vode na pipi uporabnika. Na večjih oskrbovalnih območjih je kakovost pitne vode praviloma ustrezna. V </w:t>
      </w:r>
      <w:r>
        <w:rPr>
          <w:rFonts w:eastAsiaTheme="minorHAnsi" w:cs="Arial"/>
          <w:szCs w:val="20"/>
          <w:lang w:val="sl-SI"/>
        </w:rPr>
        <w:t>spremljanje</w:t>
      </w:r>
      <w:r w:rsidRPr="005771BD">
        <w:rPr>
          <w:rFonts w:eastAsiaTheme="minorHAnsi" w:cs="Arial"/>
          <w:szCs w:val="20"/>
          <w:lang w:val="sl-SI"/>
        </w:rPr>
        <w:t xml:space="preserve"> niso vključena oskrbovalna območja, ki oskrbujejo manj kot 50 oseb (npr. lastni viri pitne vode, kapnice), zato za prebivalce na teh območjih v informacijski </w:t>
      </w:r>
      <w:r>
        <w:rPr>
          <w:rFonts w:eastAsiaTheme="minorHAnsi" w:cs="Arial"/>
          <w:szCs w:val="20"/>
          <w:lang w:val="sl-SI"/>
        </w:rPr>
        <w:t>zbirki</w:t>
      </w:r>
      <w:r w:rsidRPr="005771BD">
        <w:rPr>
          <w:rFonts w:eastAsiaTheme="minorHAnsi" w:cs="Arial"/>
          <w:szCs w:val="20"/>
          <w:lang w:val="sl-SI"/>
        </w:rPr>
        <w:t xml:space="preserve"> ni podatka o kakovosti vode, ki jo pijejo. V letu 2014 je</w:t>
      </w:r>
      <w:r>
        <w:rPr>
          <w:rFonts w:eastAsiaTheme="minorHAnsi" w:cs="Arial"/>
          <w:szCs w:val="20"/>
          <w:lang w:val="sl-SI"/>
        </w:rPr>
        <w:t xml:space="preserve"> bilo takih</w:t>
      </w:r>
      <w:r w:rsidRPr="005771BD">
        <w:rPr>
          <w:rFonts w:eastAsiaTheme="minorHAnsi" w:cs="Arial"/>
          <w:szCs w:val="20"/>
          <w:lang w:val="sl-SI"/>
        </w:rPr>
        <w:t xml:space="preserve"> po podatkih iz informacijske </w:t>
      </w:r>
      <w:r>
        <w:rPr>
          <w:rFonts w:eastAsiaTheme="minorHAnsi" w:cs="Arial"/>
          <w:szCs w:val="20"/>
          <w:lang w:val="sl-SI"/>
        </w:rPr>
        <w:t>zbirke</w:t>
      </w:r>
      <w:r w:rsidRPr="005771BD">
        <w:rPr>
          <w:rFonts w:eastAsiaTheme="minorHAnsi" w:cs="Arial"/>
          <w:szCs w:val="20"/>
          <w:lang w:val="sl-SI"/>
        </w:rPr>
        <w:t xml:space="preserve"> podatkov NLZOH okoli 9 % oziroma 192.000 (Gale in sod. 2015a, ARSO 2015a). Do nihanja o</w:t>
      </w:r>
      <w:r w:rsidRPr="005771BD">
        <w:rPr>
          <w:rFonts w:eastAsiaTheme="minorHAnsi" w:cs="Arial"/>
          <w:bCs/>
          <w:szCs w:val="20"/>
          <w:lang w:val="sl-SI"/>
        </w:rPr>
        <w:t xml:space="preserve">dstotnega deleža prebivalcev Slovenije po velikostnih razredih oskrbovalnih območij in deleža prebivalcev, ki niso vključeni v monitoring v posameznem letu, prihaja zaradi </w:t>
      </w:r>
      <w:r w:rsidRPr="005771BD">
        <w:rPr>
          <w:rFonts w:eastAsiaTheme="minorHAnsi" w:cs="Arial"/>
          <w:szCs w:val="20"/>
          <w:lang w:val="sl-SI"/>
        </w:rPr>
        <w:t>sprememb, ki jih sporočajo upravljavci vodovodov</w:t>
      </w:r>
      <w:r>
        <w:rPr>
          <w:rFonts w:eastAsiaTheme="minorHAnsi" w:cs="Arial"/>
          <w:szCs w:val="20"/>
          <w:lang w:val="sl-SI"/>
        </w:rPr>
        <w:t>,</w:t>
      </w:r>
      <w:r w:rsidRPr="005771BD">
        <w:rPr>
          <w:rFonts w:eastAsiaTheme="minorHAnsi" w:cs="Arial"/>
          <w:bCs/>
          <w:szCs w:val="20"/>
          <w:lang w:val="sl-SI"/>
        </w:rPr>
        <w:t xml:space="preserve"> in posledično posodobitev v registru. </w:t>
      </w:r>
      <w:r w:rsidRPr="005771BD">
        <w:rPr>
          <w:rFonts w:eastAsiaTheme="minorHAnsi" w:cs="Arial"/>
          <w:szCs w:val="20"/>
          <w:lang w:val="sl-SI"/>
        </w:rPr>
        <w:t>Sledljivost sprememb je zagotovljena.</w:t>
      </w:r>
    </w:p>
    <w:p w:rsidR="0057482E" w:rsidRPr="005771BD" w:rsidRDefault="0057482E" w:rsidP="0057482E">
      <w:pPr>
        <w:spacing w:after="200" w:line="276" w:lineRule="auto"/>
        <w:jc w:val="both"/>
        <w:rPr>
          <w:rFonts w:eastAsiaTheme="minorHAnsi" w:cs="Arial"/>
          <w:szCs w:val="20"/>
          <w:lang w:val="sl-SI"/>
        </w:rPr>
      </w:pPr>
      <w:r w:rsidRPr="005771BD">
        <w:rPr>
          <w:rFonts w:eastAsiaTheme="minorHAnsi" w:cs="Arial"/>
          <w:szCs w:val="20"/>
          <w:lang w:val="sl-SI"/>
        </w:rPr>
        <w:t xml:space="preserve">Približno petina prebivalcev (410.000) se oskrbuje s pitno vodo iz podzemnih virov, ki že na izvoru izpolnjuje zahteve za zdravstveno ustrezno pitno vodo, zato priprava ni potrebna. Gre za 14 oskrbovalnih območij, ki vsa oskrbujejo po več kot 5000 prebivalcev. </w:t>
      </w:r>
      <w:r>
        <w:rPr>
          <w:rFonts w:eastAsiaTheme="minorHAnsi" w:cs="Arial"/>
          <w:szCs w:val="20"/>
          <w:lang w:val="sl-SI"/>
        </w:rPr>
        <w:t>Z</w:t>
      </w:r>
      <w:r w:rsidRPr="005771BD">
        <w:rPr>
          <w:rFonts w:eastAsiaTheme="minorHAnsi" w:cs="Arial"/>
          <w:szCs w:val="20"/>
          <w:lang w:val="sl-SI"/>
        </w:rPr>
        <w:t xml:space="preserve"> zdravstveno preventivnega vidika so v največjem deležu neurejena mala oskrbovalna območja, ki oskrbujejo 50</w:t>
      </w:r>
      <w:r>
        <w:rPr>
          <w:rFonts w:eastAsiaTheme="minorHAnsi" w:cs="Arial"/>
          <w:szCs w:val="20"/>
          <w:lang w:val="sl-SI"/>
        </w:rPr>
        <w:t>–</w:t>
      </w:r>
      <w:r w:rsidRPr="005771BD">
        <w:rPr>
          <w:rFonts w:eastAsiaTheme="minorHAnsi" w:cs="Arial"/>
          <w:szCs w:val="20"/>
          <w:lang w:val="sl-SI"/>
        </w:rPr>
        <w:t>1000 prebivalcev (zlasti 50</w:t>
      </w:r>
      <w:r>
        <w:rPr>
          <w:rFonts w:eastAsiaTheme="minorHAnsi" w:cs="Arial"/>
          <w:szCs w:val="20"/>
          <w:lang w:val="sl-SI"/>
        </w:rPr>
        <w:t>–</w:t>
      </w:r>
      <w:r w:rsidRPr="005771BD">
        <w:rPr>
          <w:rFonts w:eastAsiaTheme="minorHAnsi" w:cs="Arial"/>
          <w:szCs w:val="20"/>
          <w:lang w:val="sl-SI"/>
        </w:rPr>
        <w:t xml:space="preserve">500 prebivalcev), zaradi občasne ali stalne fekalne onesnaženosti (prisotnost </w:t>
      </w:r>
      <w:r w:rsidRPr="005771BD">
        <w:rPr>
          <w:rFonts w:eastAsiaTheme="minorHAnsi" w:cs="Arial"/>
          <w:i/>
          <w:szCs w:val="20"/>
          <w:lang w:val="sl-SI"/>
        </w:rPr>
        <w:t>E. coli</w:t>
      </w:r>
      <w:r w:rsidRPr="005771BD">
        <w:rPr>
          <w:rFonts w:eastAsiaTheme="minorHAnsi" w:cs="Arial"/>
          <w:szCs w:val="20"/>
          <w:lang w:val="sl-SI"/>
        </w:rPr>
        <w:t xml:space="preserve">). Takšni sistemi največkrat </w:t>
      </w:r>
      <w:r>
        <w:rPr>
          <w:rFonts w:eastAsiaTheme="minorHAnsi" w:cs="Arial"/>
          <w:szCs w:val="20"/>
          <w:lang w:val="sl-SI"/>
        </w:rPr>
        <w:t>nimajo strokovnega</w:t>
      </w:r>
      <w:r w:rsidRPr="005771BD">
        <w:rPr>
          <w:rFonts w:eastAsiaTheme="minorHAnsi" w:cs="Arial"/>
          <w:szCs w:val="20"/>
          <w:lang w:val="sl-SI"/>
        </w:rPr>
        <w:t xml:space="preserve"> upravljanja, vodovarstvena območja pa praviloma niso določena. </w:t>
      </w:r>
      <w:r>
        <w:rPr>
          <w:rFonts w:eastAsiaTheme="minorHAnsi" w:cs="Arial"/>
          <w:szCs w:val="20"/>
          <w:lang w:val="sl-SI"/>
        </w:rPr>
        <w:t>Glede</w:t>
      </w:r>
      <w:r w:rsidRPr="005771BD">
        <w:rPr>
          <w:rFonts w:eastAsiaTheme="minorHAnsi" w:cs="Arial"/>
          <w:szCs w:val="20"/>
          <w:lang w:val="sl-SI"/>
        </w:rPr>
        <w:t xml:space="preserve"> tveganja za zdravje so lahko problematična tudi oskrbovalna območja površinskih virov pitne vode, med katere uvrščamo kraške vire pitne vode. Veliko ranljivost v tem primeru </w:t>
      </w:r>
      <w:r>
        <w:rPr>
          <w:rFonts w:eastAsiaTheme="minorHAnsi" w:cs="Arial"/>
          <w:szCs w:val="20"/>
          <w:lang w:val="sl-SI"/>
        </w:rPr>
        <w:t xml:space="preserve">povzročajo </w:t>
      </w:r>
      <w:r w:rsidRPr="005771BD">
        <w:rPr>
          <w:rFonts w:eastAsiaTheme="minorHAnsi" w:cs="Arial"/>
          <w:szCs w:val="20"/>
          <w:lang w:val="sl-SI"/>
        </w:rPr>
        <w:t>površinski vplivi, vremenske razmere in omejena sposobnost samočiščenja (Gale in sod. 2015b, ARSO 2015b). Na večini takih oskrbovalnih območjih obstoječ</w:t>
      </w:r>
      <w:r>
        <w:rPr>
          <w:rFonts w:eastAsiaTheme="minorHAnsi" w:cs="Arial"/>
          <w:szCs w:val="20"/>
          <w:lang w:val="sl-SI"/>
        </w:rPr>
        <w:t>i</w:t>
      </w:r>
      <w:r w:rsidRPr="005771BD">
        <w:rPr>
          <w:rFonts w:eastAsiaTheme="minorHAnsi" w:cs="Arial"/>
          <w:szCs w:val="20"/>
          <w:lang w:val="sl-SI"/>
        </w:rPr>
        <w:t xml:space="preserve"> način priprave vode ni dovolj učinkovit za vzdrževanje zdravstvene ustreznosti pitne vode v slabših obratova</w:t>
      </w:r>
      <w:r>
        <w:rPr>
          <w:rFonts w:eastAsiaTheme="minorHAnsi" w:cs="Arial"/>
          <w:szCs w:val="20"/>
          <w:lang w:val="sl-SI"/>
        </w:rPr>
        <w:t>lnih razmerah</w:t>
      </w:r>
      <w:r w:rsidRPr="005771BD">
        <w:rPr>
          <w:rFonts w:eastAsiaTheme="minorHAnsi" w:cs="Arial"/>
          <w:szCs w:val="20"/>
          <w:lang w:val="sl-SI"/>
        </w:rPr>
        <w:t xml:space="preserve"> (večji nalivi, taljenje snega). V takih primerih mora upravljavec zaradi varovanja zdravja uporabnikov razglasiti ukrep prekuhavanja vode pred uporabo za pitje, pripravo hrane in umivanje zob. Dolgoročno je za zaščito zdravja uporabnikov treba izboljšati pripravo vode in sanirati omrežje, kjer je to potrebno.</w:t>
      </w:r>
    </w:p>
    <w:p w:rsidR="0057482E" w:rsidRPr="005771BD" w:rsidRDefault="0057482E" w:rsidP="0057482E">
      <w:pPr>
        <w:spacing w:after="200" w:line="240" w:lineRule="auto"/>
        <w:jc w:val="both"/>
        <w:rPr>
          <w:rFonts w:eastAsiaTheme="minorHAnsi" w:cs="Arial"/>
          <w:szCs w:val="20"/>
          <w:lang w:val="sl-SI"/>
        </w:rPr>
      </w:pPr>
      <w:r w:rsidRPr="007F272F">
        <w:rPr>
          <w:rFonts w:eastAsiaTheme="minorHAnsi" w:cs="Arial"/>
          <w:noProof/>
          <w:szCs w:val="20"/>
          <w:lang w:val="sl-SI" w:eastAsia="sl-SI"/>
        </w:rPr>
        <w:drawing>
          <wp:inline distT="0" distB="0" distL="0" distR="0" wp14:anchorId="64F59951" wp14:editId="3D07AD50">
            <wp:extent cx="5182235" cy="3401695"/>
            <wp:effectExtent l="0" t="0" r="0" b="8255"/>
            <wp:docPr id="650" name="Slika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182235" cy="3401695"/>
                    </a:xfrm>
                    <a:prstGeom prst="rect">
                      <a:avLst/>
                    </a:prstGeom>
                    <a:noFill/>
                  </pic:spPr>
                </pic:pic>
              </a:graphicData>
            </a:graphic>
          </wp:inline>
        </w:drawing>
      </w:r>
    </w:p>
    <w:p w:rsidR="0057482E" w:rsidRPr="005771BD" w:rsidRDefault="0057482E" w:rsidP="0057482E">
      <w:pPr>
        <w:spacing w:line="240" w:lineRule="auto"/>
        <w:jc w:val="both"/>
        <w:rPr>
          <w:rFonts w:eastAsiaTheme="minorHAnsi" w:cs="Arial"/>
          <w:bCs/>
          <w:i/>
          <w:szCs w:val="20"/>
          <w:lang w:val="sl-SI"/>
        </w:rPr>
      </w:pPr>
      <w:r w:rsidRPr="005771BD">
        <w:rPr>
          <w:rFonts w:eastAsiaTheme="minorHAnsi" w:cs="Arial"/>
          <w:i/>
          <w:szCs w:val="20"/>
          <w:lang w:val="sl-SI"/>
        </w:rPr>
        <w:t>Slika 1</w:t>
      </w:r>
      <w:r w:rsidR="001A509D">
        <w:rPr>
          <w:rFonts w:eastAsiaTheme="minorHAnsi" w:cs="Arial"/>
          <w:i/>
          <w:szCs w:val="20"/>
          <w:lang w:val="sl-SI"/>
        </w:rPr>
        <w:t>6</w:t>
      </w:r>
      <w:r w:rsidRPr="005771BD">
        <w:rPr>
          <w:rFonts w:eastAsiaTheme="minorHAnsi" w:cs="Arial"/>
          <w:i/>
          <w:szCs w:val="20"/>
          <w:lang w:val="sl-SI"/>
        </w:rPr>
        <w:t xml:space="preserve">.1: </w:t>
      </w:r>
      <w:r w:rsidRPr="005771BD">
        <w:rPr>
          <w:rFonts w:eastAsiaTheme="minorHAnsi" w:cs="Arial"/>
          <w:bCs/>
          <w:i/>
          <w:szCs w:val="20"/>
          <w:lang w:val="sl-SI"/>
        </w:rPr>
        <w:t xml:space="preserve">Odstotni delež prebivalcev Slovenije po velikostnih razredih oskrbovalnih območij </w:t>
      </w:r>
      <w:r>
        <w:rPr>
          <w:rFonts w:eastAsiaTheme="minorHAnsi" w:cs="Arial"/>
          <w:bCs/>
          <w:i/>
          <w:szCs w:val="20"/>
          <w:lang w:val="sl-SI"/>
        </w:rPr>
        <w:t>in</w:t>
      </w:r>
      <w:r w:rsidRPr="005771BD">
        <w:rPr>
          <w:rFonts w:eastAsiaTheme="minorHAnsi" w:cs="Arial"/>
          <w:bCs/>
          <w:i/>
          <w:szCs w:val="20"/>
          <w:lang w:val="sl-SI"/>
        </w:rPr>
        <w:t xml:space="preserve"> prebivalci ki niso vključeni v monitoring, v obdobju 2004</w:t>
      </w:r>
      <w:r>
        <w:rPr>
          <w:rFonts w:eastAsiaTheme="minorHAnsi" w:cs="Arial"/>
          <w:bCs/>
          <w:i/>
          <w:szCs w:val="20"/>
          <w:lang w:val="sl-SI"/>
        </w:rPr>
        <w:t>–</w:t>
      </w:r>
      <w:r w:rsidRPr="005771BD">
        <w:rPr>
          <w:rFonts w:eastAsiaTheme="minorHAnsi" w:cs="Arial"/>
          <w:bCs/>
          <w:i/>
          <w:szCs w:val="20"/>
          <w:lang w:val="sl-SI"/>
        </w:rPr>
        <w:t xml:space="preserve">2014. </w:t>
      </w:r>
    </w:p>
    <w:p w:rsidR="0057482E" w:rsidRPr="005771BD" w:rsidRDefault="0057482E" w:rsidP="0057482E">
      <w:pPr>
        <w:spacing w:line="240" w:lineRule="auto"/>
        <w:jc w:val="both"/>
        <w:rPr>
          <w:rFonts w:eastAsiaTheme="minorHAnsi" w:cs="Arial"/>
          <w:sz w:val="18"/>
          <w:szCs w:val="18"/>
          <w:lang w:val="sl-SI"/>
        </w:rPr>
      </w:pPr>
      <w:r w:rsidRPr="005771BD">
        <w:rPr>
          <w:rFonts w:eastAsiaTheme="minorHAnsi" w:cs="Arial"/>
          <w:bCs/>
          <w:i/>
          <w:sz w:val="18"/>
          <w:szCs w:val="18"/>
          <w:lang w:val="sl-SI"/>
        </w:rPr>
        <w:t>Vir:</w:t>
      </w:r>
      <w:r w:rsidRPr="005771BD">
        <w:rPr>
          <w:rFonts w:eastAsiaTheme="minorHAnsi" w:cs="Arial"/>
          <w:b/>
          <w:bCs/>
          <w:i/>
          <w:sz w:val="18"/>
          <w:szCs w:val="18"/>
          <w:lang w:val="sl-SI"/>
        </w:rPr>
        <w:t xml:space="preserve"> </w:t>
      </w:r>
      <w:r w:rsidRPr="005771BD">
        <w:rPr>
          <w:rFonts w:eastAsiaTheme="minorHAnsi" w:cs="Arial"/>
          <w:i/>
          <w:sz w:val="18"/>
          <w:szCs w:val="18"/>
          <w:lang w:val="sl-SI"/>
        </w:rPr>
        <w:t xml:space="preserve">IVZ RS, 2005-2008; ZZV MB, 2009-2013; NLZOH, 2014-2015 (povzeto po Kazalci okolja v Sloveniji; ZD05 </w:t>
      </w:r>
      <w:r>
        <w:rPr>
          <w:rFonts w:eastAsiaTheme="minorHAnsi" w:cs="Arial"/>
          <w:i/>
          <w:sz w:val="18"/>
          <w:szCs w:val="18"/>
          <w:lang w:val="sl-SI"/>
        </w:rPr>
        <w:t>– d</w:t>
      </w:r>
      <w:r w:rsidRPr="005771BD">
        <w:rPr>
          <w:rFonts w:eastAsiaTheme="minorHAnsi" w:cs="Arial"/>
          <w:i/>
          <w:sz w:val="18"/>
          <w:szCs w:val="18"/>
          <w:lang w:val="sl-SI"/>
        </w:rPr>
        <w:t xml:space="preserve">ostop do varne pitne vode, </w:t>
      </w:r>
      <w:hyperlink r:id="rId312" w:history="1">
        <w:r w:rsidRPr="005771BD">
          <w:rPr>
            <w:rFonts w:eastAsiaTheme="minorHAnsi" w:cs="Arial"/>
            <w:i/>
            <w:color w:val="5F5F5F" w:themeColor="hyperlink"/>
            <w:sz w:val="18"/>
            <w:szCs w:val="18"/>
            <w:u w:val="single"/>
            <w:lang w:val="sl-SI"/>
          </w:rPr>
          <w:t>http://kazalci.arso.gov.si/?data=indicator&amp;ind_id=707</w:t>
        </w:r>
      </w:hyperlink>
      <w:r w:rsidRPr="005771BD">
        <w:rPr>
          <w:rFonts w:eastAsiaTheme="minorHAnsi" w:cs="Arial"/>
          <w:sz w:val="18"/>
          <w:szCs w:val="18"/>
          <w:lang w:val="sl-SI"/>
        </w:rPr>
        <w:t>)</w:t>
      </w:r>
    </w:p>
    <w:p w:rsidR="0057482E" w:rsidRPr="005771BD" w:rsidRDefault="0057482E" w:rsidP="0057482E">
      <w:pPr>
        <w:spacing w:after="200" w:line="240" w:lineRule="auto"/>
        <w:jc w:val="both"/>
        <w:rPr>
          <w:rFonts w:eastAsiaTheme="minorHAnsi" w:cs="Arial"/>
          <w:b/>
          <w:szCs w:val="20"/>
          <w:u w:val="single"/>
          <w:lang w:val="sl-SI"/>
        </w:rPr>
      </w:pPr>
    </w:p>
    <w:p w:rsidR="0057482E" w:rsidRPr="005771BD" w:rsidRDefault="0057482E" w:rsidP="0057482E">
      <w:pPr>
        <w:spacing w:after="200" w:line="240" w:lineRule="auto"/>
        <w:jc w:val="both"/>
        <w:rPr>
          <w:rFonts w:eastAsiaTheme="minorHAnsi" w:cs="Arial"/>
          <w:b/>
          <w:szCs w:val="20"/>
          <w:lang w:val="sl-SI"/>
        </w:rPr>
      </w:pPr>
      <w:r w:rsidRPr="005771BD">
        <w:rPr>
          <w:rFonts w:eastAsiaTheme="minorHAnsi" w:cs="Arial"/>
          <w:b/>
          <w:szCs w:val="20"/>
          <w:lang w:val="sl-SI"/>
        </w:rPr>
        <w:t>1</w:t>
      </w:r>
      <w:r w:rsidR="001A509D">
        <w:rPr>
          <w:rFonts w:eastAsiaTheme="minorHAnsi" w:cs="Arial"/>
          <w:b/>
          <w:szCs w:val="20"/>
          <w:lang w:val="sl-SI"/>
        </w:rPr>
        <w:t>6</w:t>
      </w:r>
      <w:r w:rsidRPr="005771BD">
        <w:rPr>
          <w:rFonts w:eastAsiaTheme="minorHAnsi" w:cs="Arial"/>
          <w:b/>
          <w:szCs w:val="20"/>
          <w:lang w:val="sl-SI"/>
        </w:rPr>
        <w:t>.2.1 Mikrobiološka kakovost pitne vode in hidrični izbruhi v obdobju 2005</w:t>
      </w:r>
      <w:r>
        <w:rPr>
          <w:rFonts w:eastAsiaTheme="minorHAnsi" w:cs="Arial"/>
          <w:b/>
          <w:szCs w:val="20"/>
          <w:lang w:val="sl-SI"/>
        </w:rPr>
        <w:t>–</w:t>
      </w:r>
      <w:r w:rsidRPr="005771BD">
        <w:rPr>
          <w:rFonts w:eastAsiaTheme="minorHAnsi" w:cs="Arial"/>
          <w:b/>
          <w:szCs w:val="20"/>
          <w:lang w:val="sl-SI"/>
        </w:rPr>
        <w:t xml:space="preserve">2014 </w:t>
      </w:r>
    </w:p>
    <w:p w:rsidR="0057482E" w:rsidRPr="005771BD" w:rsidRDefault="0057482E" w:rsidP="0057482E">
      <w:pPr>
        <w:spacing w:after="200" w:line="240" w:lineRule="auto"/>
        <w:jc w:val="both"/>
        <w:rPr>
          <w:rFonts w:eastAsiaTheme="minorHAnsi" w:cs="Arial"/>
          <w:szCs w:val="20"/>
          <w:lang w:val="sl-SI"/>
        </w:rPr>
      </w:pPr>
      <w:r w:rsidRPr="005771BD">
        <w:rPr>
          <w:rFonts w:eastAsiaTheme="minorHAnsi" w:cs="Arial"/>
          <w:szCs w:val="20"/>
          <w:lang w:val="sl-SI"/>
        </w:rPr>
        <w:t xml:space="preserve">V okviru rednih mikrobioloških preskusov pitne vode je bilo v letu 2014 (3353 odvzetih vzorcev) 13,3 % neskladnih vzorcev, od tega 3,7 % zaradi prisotnosti </w:t>
      </w:r>
      <w:r w:rsidRPr="005771BD">
        <w:rPr>
          <w:rFonts w:eastAsiaTheme="minorHAnsi" w:cs="Arial"/>
          <w:i/>
          <w:szCs w:val="20"/>
          <w:lang w:val="sl-SI"/>
        </w:rPr>
        <w:t>E. coli</w:t>
      </w:r>
      <w:r w:rsidRPr="005771BD">
        <w:rPr>
          <w:rFonts w:eastAsiaTheme="minorHAnsi" w:cs="Arial"/>
          <w:szCs w:val="20"/>
          <w:lang w:val="sl-SI"/>
        </w:rPr>
        <w:t xml:space="preserve">. Delež neskladnih vzorcev </w:t>
      </w:r>
      <w:r>
        <w:rPr>
          <w:rFonts w:eastAsiaTheme="minorHAnsi" w:cs="Arial"/>
          <w:szCs w:val="20"/>
          <w:lang w:val="sl-SI"/>
        </w:rPr>
        <w:t xml:space="preserve">se </w:t>
      </w:r>
      <w:r w:rsidRPr="005771BD">
        <w:rPr>
          <w:rFonts w:eastAsiaTheme="minorHAnsi" w:cs="Arial"/>
          <w:szCs w:val="20"/>
          <w:lang w:val="sl-SI"/>
        </w:rPr>
        <w:t xml:space="preserve">močno </w:t>
      </w:r>
      <w:r>
        <w:rPr>
          <w:rFonts w:eastAsiaTheme="minorHAnsi" w:cs="Arial"/>
          <w:szCs w:val="20"/>
          <w:lang w:val="sl-SI"/>
        </w:rPr>
        <w:t>zmanjšuje</w:t>
      </w:r>
      <w:r w:rsidRPr="005771BD">
        <w:rPr>
          <w:rFonts w:eastAsiaTheme="minorHAnsi" w:cs="Arial"/>
          <w:szCs w:val="20"/>
          <w:lang w:val="sl-SI"/>
        </w:rPr>
        <w:t xml:space="preserve"> z velikostjo oskrbovalnih območij: v razredu 50</w:t>
      </w:r>
      <w:r>
        <w:rPr>
          <w:rFonts w:eastAsiaTheme="minorHAnsi" w:cs="Arial"/>
          <w:szCs w:val="20"/>
          <w:lang w:val="sl-SI"/>
        </w:rPr>
        <w:t>–</w:t>
      </w:r>
      <w:r w:rsidRPr="005771BD">
        <w:rPr>
          <w:rFonts w:eastAsiaTheme="minorHAnsi" w:cs="Arial"/>
          <w:szCs w:val="20"/>
          <w:lang w:val="sl-SI"/>
        </w:rPr>
        <w:t>500 prebivalc</w:t>
      </w:r>
      <w:r>
        <w:rPr>
          <w:rFonts w:eastAsiaTheme="minorHAnsi" w:cs="Arial"/>
          <w:szCs w:val="20"/>
          <w:lang w:val="sl-SI"/>
        </w:rPr>
        <w:t>ev</w:t>
      </w:r>
      <w:r w:rsidRPr="005771BD">
        <w:rPr>
          <w:rFonts w:eastAsiaTheme="minorHAnsi" w:cs="Arial"/>
          <w:szCs w:val="20"/>
          <w:lang w:val="sl-SI"/>
        </w:rPr>
        <w:t xml:space="preserve"> je bilo mikrobiološko neskladnih 27,3 % vzorcev, 10,4 % zaradi </w:t>
      </w:r>
      <w:r w:rsidRPr="005771BD">
        <w:rPr>
          <w:rFonts w:eastAsiaTheme="minorHAnsi" w:cs="Arial"/>
          <w:i/>
          <w:szCs w:val="20"/>
          <w:lang w:val="sl-SI"/>
        </w:rPr>
        <w:t xml:space="preserve">E. coli. </w:t>
      </w:r>
      <w:r w:rsidRPr="005771BD">
        <w:rPr>
          <w:rFonts w:eastAsiaTheme="minorHAnsi" w:cs="Arial"/>
          <w:szCs w:val="20"/>
          <w:lang w:val="sl-SI"/>
        </w:rPr>
        <w:t xml:space="preserve">Mikrobiološko onesnaženje pitne vode povezujemo </w:t>
      </w:r>
      <w:r>
        <w:rPr>
          <w:rFonts w:eastAsiaTheme="minorHAnsi" w:cs="Arial"/>
          <w:szCs w:val="20"/>
          <w:lang w:val="sl-SI"/>
        </w:rPr>
        <w:t>z možnimi</w:t>
      </w:r>
      <w:r w:rsidRPr="005771BD">
        <w:rPr>
          <w:rFonts w:eastAsiaTheme="minorHAnsi" w:cs="Arial"/>
          <w:szCs w:val="20"/>
          <w:lang w:val="sl-SI"/>
        </w:rPr>
        <w:t xml:space="preserve"> hidričnimi izbruhi in drugimi akutnimi črevesnimi okužbami.</w:t>
      </w:r>
    </w:p>
    <w:p w:rsidR="0057482E" w:rsidRPr="005771BD" w:rsidRDefault="0057482E" w:rsidP="0057482E">
      <w:pPr>
        <w:spacing w:after="200" w:line="240" w:lineRule="auto"/>
        <w:jc w:val="both"/>
        <w:rPr>
          <w:rFonts w:eastAsiaTheme="minorHAnsi" w:cs="Arial"/>
          <w:szCs w:val="20"/>
          <w:lang w:val="sl-SI"/>
        </w:rPr>
      </w:pPr>
      <w:r w:rsidRPr="005771BD">
        <w:rPr>
          <w:rFonts w:eastAsiaTheme="minorHAnsi" w:cs="Arial"/>
          <w:szCs w:val="20"/>
          <w:lang w:val="sl-SI"/>
        </w:rPr>
        <w:t xml:space="preserve">Hidrični izbruh je pojav nalezljive bolezni zaradi mikrobiološko onesnažene pitne vode, ki po času in kraju nastanka ter številu prizadetih oseb presega običajno stanje na določenem omejenem območju ali pri skupini posameznikov. Bolezen se običajno pojavi nenadoma in prizadene vse starostne skupine ljudi, ki uporabljajo pitno vodo iz istega vodnega vira oziroma oskrbovalnega območja. Izbruhi praviloma niso vezani na sezono ali letni čas, lahko pa na njihov pojav vplivajo </w:t>
      </w:r>
      <w:r>
        <w:rPr>
          <w:rFonts w:eastAsiaTheme="minorHAnsi" w:cs="Arial"/>
          <w:szCs w:val="20"/>
          <w:lang w:val="sl-SI"/>
        </w:rPr>
        <w:t>vremenske razmere</w:t>
      </w:r>
      <w:r w:rsidRPr="005771BD">
        <w:rPr>
          <w:rFonts w:eastAsiaTheme="minorHAnsi" w:cs="Arial"/>
          <w:szCs w:val="20"/>
          <w:lang w:val="sl-SI"/>
        </w:rPr>
        <w:t xml:space="preserve"> (nalivi, taljenje snega). Pogost vzrok izbruha so motnje v pripravi ali distribuciji pitne vode.</w:t>
      </w:r>
    </w:p>
    <w:p w:rsidR="0057482E" w:rsidRPr="005771BD" w:rsidRDefault="0057482E" w:rsidP="0057482E">
      <w:pPr>
        <w:spacing w:after="200" w:line="240" w:lineRule="auto"/>
        <w:jc w:val="both"/>
        <w:rPr>
          <w:rFonts w:eastAsiaTheme="minorHAnsi" w:cs="Arial"/>
          <w:szCs w:val="20"/>
          <w:lang w:val="sl-SI"/>
        </w:rPr>
      </w:pPr>
      <w:r w:rsidRPr="005771BD">
        <w:rPr>
          <w:rFonts w:eastAsiaTheme="minorHAnsi" w:cs="Arial"/>
          <w:szCs w:val="20"/>
          <w:lang w:val="sl-SI"/>
        </w:rPr>
        <w:t>V Sloveniji so bili v obdobju 2005</w:t>
      </w:r>
      <w:r>
        <w:rPr>
          <w:rFonts w:eastAsiaTheme="minorHAnsi" w:cs="Arial"/>
          <w:szCs w:val="20"/>
          <w:lang w:val="sl-SI"/>
        </w:rPr>
        <w:t>–</w:t>
      </w:r>
      <w:r w:rsidRPr="005771BD">
        <w:rPr>
          <w:rFonts w:eastAsiaTheme="minorHAnsi" w:cs="Arial"/>
          <w:szCs w:val="20"/>
          <w:lang w:val="sl-SI"/>
        </w:rPr>
        <w:t xml:space="preserve">2014 prijavljeni </w:t>
      </w:r>
      <w:r>
        <w:rPr>
          <w:rFonts w:eastAsiaTheme="minorHAnsi" w:cs="Arial"/>
          <w:szCs w:val="20"/>
          <w:lang w:val="sl-SI"/>
        </w:rPr>
        <w:t>en do trije</w:t>
      </w:r>
      <w:r w:rsidRPr="005771BD">
        <w:rPr>
          <w:rFonts w:eastAsiaTheme="minorHAnsi" w:cs="Arial"/>
          <w:szCs w:val="20"/>
          <w:lang w:val="sl-SI"/>
        </w:rPr>
        <w:t xml:space="preserve"> hidrični izbruhi letno, v letih 2006 in 2009 ni bilo prijave. V posameznem izbruhu je bilo 5</w:t>
      </w:r>
      <w:r>
        <w:rPr>
          <w:rFonts w:eastAsiaTheme="minorHAnsi" w:cs="Arial"/>
          <w:szCs w:val="20"/>
          <w:lang w:val="sl-SI"/>
        </w:rPr>
        <w:t>–</w:t>
      </w:r>
      <w:r w:rsidRPr="005771BD">
        <w:rPr>
          <w:rFonts w:eastAsiaTheme="minorHAnsi" w:cs="Arial"/>
          <w:szCs w:val="20"/>
          <w:lang w:val="sl-SI"/>
        </w:rPr>
        <w:t xml:space="preserve">263 prijav obolelih. Pri okoli polovici izbruhov povzročitelj ni bil znan. Število prijavljenih hidričnih izbruhov je podcenjeno, saj dela izbruhov ne zaznamo, ker zboleli zaradi kratkotrajne bolezni ali blage klinične slike ne iščejo zdravniške pomoči. </w:t>
      </w:r>
    </w:p>
    <w:p w:rsidR="0057482E" w:rsidRPr="005771BD" w:rsidRDefault="0057482E" w:rsidP="0057482E">
      <w:pPr>
        <w:spacing w:after="200" w:line="240" w:lineRule="auto"/>
        <w:jc w:val="both"/>
        <w:rPr>
          <w:rFonts w:eastAsiaTheme="minorHAnsi" w:cs="Arial"/>
          <w:szCs w:val="20"/>
          <w:lang w:val="sl-SI"/>
        </w:rPr>
      </w:pPr>
      <w:r w:rsidRPr="005771BD">
        <w:rPr>
          <w:rFonts w:eastAsiaTheme="minorHAnsi" w:cs="Arial"/>
          <w:szCs w:val="20"/>
          <w:lang w:val="sl-SI"/>
        </w:rPr>
        <w:t xml:space="preserve">V okviru rednega epidemiološkega spremljanja nalezljivih bolezni je bilo v letu 2014 poleg hidričnega izbruha tudi 14.661 prijavljenih primerov akutnih črevesnih okužb, pri katerih povzročitelj ni bil dokazan, kar </w:t>
      </w:r>
      <w:r>
        <w:rPr>
          <w:rFonts w:eastAsiaTheme="minorHAnsi" w:cs="Arial"/>
          <w:szCs w:val="20"/>
          <w:lang w:val="sl-SI"/>
        </w:rPr>
        <w:t>je</w:t>
      </w:r>
      <w:r w:rsidRPr="005771BD">
        <w:rPr>
          <w:rFonts w:eastAsiaTheme="minorHAnsi" w:cs="Arial"/>
          <w:szCs w:val="20"/>
          <w:lang w:val="sl-SI"/>
        </w:rPr>
        <w:t xml:space="preserve"> 21,9 % od skupno 67.035 prijav nalezljivih bolezni. Po številu prijav so bile od leta 1997 do 2005 akutne črevesne okužbe, kjer povzročitelj ni bil dokazan, na drugem mestu. Od leta 2006 do 2014 je njihovo število močno naraslo in se z noricami izmenjuje na prvem ali drugem mestu. Incidenca na 100.000 prebivalcev se je povečala za več kot dvakrat: od 270,8 v letu 1997 na 711,3 v letu 2014. V primerih akutnih črevesnih okužb, kjer povzročitelj ni dokazan, obstaja možnost okužbe s pitno vodo (ARSO 2015c).</w:t>
      </w:r>
    </w:p>
    <w:p w:rsidR="0057482E" w:rsidRPr="005771BD" w:rsidRDefault="0057482E" w:rsidP="0057482E">
      <w:pPr>
        <w:spacing w:after="200" w:line="240" w:lineRule="auto"/>
        <w:jc w:val="both"/>
        <w:rPr>
          <w:rFonts w:eastAsiaTheme="minorHAnsi" w:cs="Arial"/>
          <w:b/>
          <w:szCs w:val="20"/>
          <w:lang w:val="sl-SI"/>
        </w:rPr>
      </w:pPr>
      <w:r w:rsidRPr="005771BD">
        <w:rPr>
          <w:rFonts w:eastAsiaTheme="minorHAnsi" w:cs="Arial"/>
          <w:b/>
          <w:szCs w:val="20"/>
          <w:lang w:val="sl-SI"/>
        </w:rPr>
        <w:t>1</w:t>
      </w:r>
      <w:r w:rsidR="001A509D">
        <w:rPr>
          <w:rFonts w:eastAsiaTheme="minorHAnsi" w:cs="Arial"/>
          <w:b/>
          <w:szCs w:val="20"/>
          <w:lang w:val="sl-SI"/>
        </w:rPr>
        <w:t>6</w:t>
      </w:r>
      <w:r w:rsidRPr="005771BD">
        <w:rPr>
          <w:rFonts w:eastAsiaTheme="minorHAnsi" w:cs="Arial"/>
          <w:b/>
          <w:szCs w:val="20"/>
          <w:lang w:val="sl-SI"/>
        </w:rPr>
        <w:t>.2.2 Kemijska kakovost pitne vode</w:t>
      </w:r>
    </w:p>
    <w:p w:rsidR="0057482E" w:rsidRPr="005771BD" w:rsidRDefault="0057482E" w:rsidP="0057482E">
      <w:pPr>
        <w:spacing w:after="200" w:line="240" w:lineRule="auto"/>
        <w:jc w:val="both"/>
        <w:rPr>
          <w:rFonts w:eastAsiaTheme="minorHAnsi" w:cs="Arial"/>
          <w:szCs w:val="20"/>
          <w:lang w:val="sl-SI"/>
        </w:rPr>
      </w:pPr>
      <w:r w:rsidRPr="005771BD">
        <w:rPr>
          <w:rFonts w:eastAsiaTheme="minorHAnsi" w:cs="Arial"/>
          <w:szCs w:val="20"/>
          <w:lang w:val="sl-SI"/>
        </w:rPr>
        <w:t>Rezultati kemijskih preskusov (parametri iz dela B priloge I Pravilnika o pitni vodi) so na večini oskrbovalnih območjih ustrezni, razen na severovzhodu Slovenije, kjer zaradi intenzivne kmetijske dejavnosti prihaja do onesnaženost pitne vode s pesticidi in nitrati. V okviru občasnih preskusov (419 odvzetih vzorcev v letu 2014), ki vključujejo širok nabor kemijskih parametrov, so rezultati preskusov vzorcev pokazali, da je bilo v obdobju 2004</w:t>
      </w:r>
      <w:r>
        <w:rPr>
          <w:rFonts w:eastAsiaTheme="minorHAnsi" w:cs="Arial"/>
          <w:szCs w:val="20"/>
          <w:lang w:val="sl-SI"/>
        </w:rPr>
        <w:t>–</w:t>
      </w:r>
      <w:r w:rsidRPr="005771BD">
        <w:rPr>
          <w:rFonts w:eastAsiaTheme="minorHAnsi" w:cs="Arial"/>
          <w:szCs w:val="20"/>
          <w:lang w:val="sl-SI"/>
        </w:rPr>
        <w:t>2014 zaradi presežene koncentracije nitratov, pesticidov, arzena in svinca neskladnih 2</w:t>
      </w:r>
      <w:r>
        <w:rPr>
          <w:rFonts w:eastAsiaTheme="minorHAnsi" w:cs="Arial"/>
          <w:szCs w:val="20"/>
          <w:lang w:val="sl-SI"/>
        </w:rPr>
        <w:t>–</w:t>
      </w:r>
      <w:r w:rsidRPr="005771BD">
        <w:rPr>
          <w:rFonts w:eastAsiaTheme="minorHAnsi" w:cs="Arial"/>
          <w:szCs w:val="20"/>
          <w:lang w:val="sl-SI"/>
        </w:rPr>
        <w:t xml:space="preserve">6 % vzorcev, v letu 2014 pa 3,8 % vzorcev. Kemijska kakovost pitne vode glede na parametre, pomembne za zdravje ljudi, v letu 2014 ni bila znana za okoli 200.000 prebivalcev (Gale in sod. 2015b, ARSO 2015b). </w:t>
      </w:r>
    </w:p>
    <w:p w:rsidR="0057482E" w:rsidRPr="005771BD" w:rsidRDefault="0057482E" w:rsidP="0057482E">
      <w:pPr>
        <w:spacing w:after="200" w:line="240" w:lineRule="auto"/>
        <w:jc w:val="both"/>
        <w:rPr>
          <w:rFonts w:eastAsiaTheme="minorHAnsi" w:cs="Arial"/>
          <w:szCs w:val="20"/>
          <w:lang w:val="sl-SI"/>
        </w:rPr>
      </w:pPr>
      <w:r w:rsidRPr="005771BD">
        <w:rPr>
          <w:rFonts w:eastAsiaTheme="minorHAnsi" w:cs="Arial"/>
          <w:szCs w:val="20"/>
          <w:lang w:val="sl-SI"/>
        </w:rPr>
        <w:t>V obdobju 2004</w:t>
      </w:r>
      <w:r>
        <w:rPr>
          <w:rFonts w:eastAsiaTheme="minorHAnsi" w:cs="Arial"/>
          <w:szCs w:val="20"/>
          <w:lang w:val="sl-SI"/>
        </w:rPr>
        <w:t>–</w:t>
      </w:r>
      <w:r w:rsidRPr="005771BD">
        <w:rPr>
          <w:rFonts w:eastAsiaTheme="minorHAnsi" w:cs="Arial"/>
          <w:szCs w:val="20"/>
          <w:lang w:val="sl-SI"/>
        </w:rPr>
        <w:t xml:space="preserve">2014 je bila vsako leto presežena mejna vrednost vsote pesticidov (0,10 µg/L) za atrazin in desetilatrazin, občasno bentazon in metolaklor, </w:t>
      </w:r>
      <w:r>
        <w:rPr>
          <w:rFonts w:eastAsiaTheme="minorHAnsi" w:cs="Arial"/>
          <w:szCs w:val="20"/>
          <w:lang w:val="sl-SI"/>
        </w:rPr>
        <w:t>drugih pesticidov</w:t>
      </w:r>
      <w:r w:rsidRPr="005771BD">
        <w:rPr>
          <w:rFonts w:eastAsiaTheme="minorHAnsi" w:cs="Arial"/>
          <w:szCs w:val="20"/>
          <w:lang w:val="sl-SI"/>
        </w:rPr>
        <w:t xml:space="preserve"> pa le v posameznem letu (metazaklor, bromacil, dikamba, dimetenamid, klortoluron, mekoprop, mezotrion, permetrin in terbutilazin). Število uporabnikov, ki </w:t>
      </w:r>
      <w:r>
        <w:rPr>
          <w:rFonts w:eastAsiaTheme="minorHAnsi" w:cs="Arial"/>
          <w:szCs w:val="20"/>
          <w:lang w:val="sl-SI"/>
        </w:rPr>
        <w:t>so</w:t>
      </w:r>
      <w:r w:rsidRPr="005771BD">
        <w:rPr>
          <w:rFonts w:eastAsiaTheme="minorHAnsi" w:cs="Arial"/>
          <w:szCs w:val="20"/>
          <w:lang w:val="sl-SI"/>
        </w:rPr>
        <w:t xml:space="preserve"> bil</w:t>
      </w:r>
      <w:r>
        <w:rPr>
          <w:rFonts w:eastAsiaTheme="minorHAnsi" w:cs="Arial"/>
          <w:szCs w:val="20"/>
          <w:lang w:val="sl-SI"/>
        </w:rPr>
        <w:t>i</w:t>
      </w:r>
      <w:r w:rsidRPr="005771BD">
        <w:rPr>
          <w:rFonts w:eastAsiaTheme="minorHAnsi" w:cs="Arial"/>
          <w:szCs w:val="20"/>
          <w:lang w:val="sl-SI"/>
        </w:rPr>
        <w:t xml:space="preserve"> izpostavljen</w:t>
      </w:r>
      <w:r>
        <w:rPr>
          <w:rFonts w:eastAsiaTheme="minorHAnsi" w:cs="Arial"/>
          <w:szCs w:val="20"/>
          <w:lang w:val="sl-SI"/>
        </w:rPr>
        <w:t>i</w:t>
      </w:r>
      <w:r w:rsidRPr="005771BD">
        <w:rPr>
          <w:rFonts w:eastAsiaTheme="minorHAnsi" w:cs="Arial"/>
          <w:szCs w:val="20"/>
          <w:lang w:val="sl-SI"/>
        </w:rPr>
        <w:t xml:space="preserve"> preseženim koncentracijam pesticidov v pitni vodi, se je v tem obdobju gibalo med 183 690 v letu 2010 in 6500 v letu 2014. </w:t>
      </w:r>
      <w:r>
        <w:rPr>
          <w:rFonts w:eastAsiaTheme="minorHAnsi" w:cs="Arial"/>
          <w:szCs w:val="20"/>
          <w:lang w:val="sl-SI"/>
        </w:rPr>
        <w:t>P</w:t>
      </w:r>
      <w:r w:rsidRPr="005771BD">
        <w:rPr>
          <w:rFonts w:eastAsiaTheme="minorHAnsi" w:cs="Arial"/>
          <w:szCs w:val="20"/>
          <w:lang w:val="sl-SI"/>
        </w:rPr>
        <w:t>resežen</w:t>
      </w:r>
      <w:r>
        <w:rPr>
          <w:rFonts w:eastAsiaTheme="minorHAnsi" w:cs="Arial"/>
          <w:szCs w:val="20"/>
          <w:lang w:val="sl-SI"/>
        </w:rPr>
        <w:t>i</w:t>
      </w:r>
      <w:r w:rsidRPr="005771BD">
        <w:rPr>
          <w:rFonts w:eastAsiaTheme="minorHAnsi" w:cs="Arial"/>
          <w:szCs w:val="20"/>
          <w:lang w:val="sl-SI"/>
        </w:rPr>
        <w:t xml:space="preserve"> mejn</w:t>
      </w:r>
      <w:r>
        <w:rPr>
          <w:rFonts w:eastAsiaTheme="minorHAnsi" w:cs="Arial"/>
          <w:szCs w:val="20"/>
          <w:lang w:val="sl-SI"/>
        </w:rPr>
        <w:t>i</w:t>
      </w:r>
      <w:r w:rsidRPr="005771BD">
        <w:rPr>
          <w:rFonts w:eastAsiaTheme="minorHAnsi" w:cs="Arial"/>
          <w:szCs w:val="20"/>
          <w:lang w:val="sl-SI"/>
        </w:rPr>
        <w:t xml:space="preserve"> vrednosti</w:t>
      </w:r>
      <w:r>
        <w:rPr>
          <w:rFonts w:eastAsiaTheme="minorHAnsi" w:cs="Arial"/>
          <w:szCs w:val="20"/>
          <w:lang w:val="sl-SI"/>
        </w:rPr>
        <w:t>m</w:t>
      </w:r>
      <w:r w:rsidRPr="005771BD">
        <w:rPr>
          <w:rFonts w:eastAsiaTheme="minorHAnsi" w:cs="Arial"/>
          <w:szCs w:val="20"/>
          <w:lang w:val="sl-SI"/>
        </w:rPr>
        <w:t xml:space="preserve"> nitratov je bilo v letu 2014 izpostavljenih okoli 3000 uporabnikov</w:t>
      </w:r>
      <w:r>
        <w:rPr>
          <w:rFonts w:eastAsiaTheme="minorHAnsi" w:cs="Arial"/>
          <w:szCs w:val="20"/>
          <w:lang w:val="sl-SI"/>
        </w:rPr>
        <w:t>,</w:t>
      </w:r>
      <w:r w:rsidRPr="005771BD">
        <w:rPr>
          <w:rFonts w:eastAsiaTheme="minorHAnsi" w:cs="Arial"/>
          <w:szCs w:val="20"/>
          <w:lang w:val="sl-SI"/>
        </w:rPr>
        <w:t xml:space="preserve"> predvsem v severovzhodni Sloveniji. </w:t>
      </w:r>
    </w:p>
    <w:p w:rsidR="0057482E" w:rsidRPr="005771BD" w:rsidRDefault="0057482E" w:rsidP="0057482E">
      <w:pPr>
        <w:spacing w:after="200" w:line="240" w:lineRule="auto"/>
        <w:jc w:val="both"/>
        <w:rPr>
          <w:rFonts w:eastAsiaTheme="minorHAnsi" w:cs="Arial"/>
          <w:szCs w:val="20"/>
          <w:lang w:val="sl-SI"/>
        </w:rPr>
      </w:pPr>
      <w:r w:rsidRPr="007F272F">
        <w:rPr>
          <w:rFonts w:eastAsiaTheme="minorHAnsi" w:cs="Arial"/>
          <w:noProof/>
          <w:szCs w:val="20"/>
          <w:lang w:val="sl-SI" w:eastAsia="sl-SI"/>
        </w:rPr>
        <w:drawing>
          <wp:inline distT="0" distB="0" distL="0" distR="0" wp14:anchorId="6A90BDB0" wp14:editId="4DC9EACB">
            <wp:extent cx="4755515" cy="3066415"/>
            <wp:effectExtent l="0" t="0" r="6985" b="635"/>
            <wp:docPr id="651" name="Slika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4755515" cy="3066415"/>
                    </a:xfrm>
                    <a:prstGeom prst="rect">
                      <a:avLst/>
                    </a:prstGeom>
                    <a:noFill/>
                  </pic:spPr>
                </pic:pic>
              </a:graphicData>
            </a:graphic>
          </wp:inline>
        </w:drawing>
      </w:r>
    </w:p>
    <w:p w:rsidR="0057482E" w:rsidRPr="005771BD" w:rsidRDefault="0057482E" w:rsidP="0057482E">
      <w:pPr>
        <w:spacing w:line="240" w:lineRule="auto"/>
        <w:jc w:val="both"/>
        <w:rPr>
          <w:rFonts w:eastAsiaTheme="minorHAnsi" w:cs="Arial"/>
          <w:i/>
          <w:szCs w:val="20"/>
          <w:lang w:val="sl-SI"/>
        </w:rPr>
      </w:pPr>
      <w:r w:rsidRPr="005771BD">
        <w:rPr>
          <w:rFonts w:eastAsiaTheme="minorHAnsi" w:cs="Arial"/>
          <w:i/>
          <w:szCs w:val="20"/>
          <w:lang w:val="sl-SI"/>
        </w:rPr>
        <w:t>Slika 1</w:t>
      </w:r>
      <w:r w:rsidR="001A509D">
        <w:rPr>
          <w:rFonts w:eastAsiaTheme="minorHAnsi" w:cs="Arial"/>
          <w:i/>
          <w:szCs w:val="20"/>
          <w:lang w:val="sl-SI"/>
        </w:rPr>
        <w:t>6</w:t>
      </w:r>
      <w:r w:rsidRPr="005771BD">
        <w:rPr>
          <w:rFonts w:eastAsiaTheme="minorHAnsi" w:cs="Arial"/>
          <w:i/>
          <w:szCs w:val="20"/>
          <w:lang w:val="sl-SI"/>
        </w:rPr>
        <w:t>.2: Vsebnost vsote pesticidov v pitni vodi, Slovenija, 2014</w:t>
      </w:r>
    </w:p>
    <w:p w:rsidR="0057482E" w:rsidRPr="005771BD" w:rsidRDefault="0057482E" w:rsidP="0057482E">
      <w:pPr>
        <w:spacing w:after="240" w:line="240" w:lineRule="auto"/>
        <w:jc w:val="both"/>
        <w:rPr>
          <w:rFonts w:eastAsiaTheme="minorHAnsi" w:cs="Arial"/>
          <w:sz w:val="16"/>
          <w:szCs w:val="16"/>
          <w:lang w:val="sl-SI"/>
        </w:rPr>
      </w:pPr>
      <w:r w:rsidRPr="005771BD">
        <w:rPr>
          <w:rFonts w:eastAsiaTheme="minorHAnsi" w:cs="Arial"/>
          <w:sz w:val="16"/>
          <w:szCs w:val="16"/>
          <w:lang w:val="sl-SI"/>
        </w:rPr>
        <w:t xml:space="preserve">Vir: Zbirka podatkov o sistemih za oskrbo s pitno vodo in o skladnosti pitne vode, Nacionalni laboratorij za zdravje, okolje in hrano (NLZOH), 2015; </w:t>
      </w:r>
    </w:p>
    <w:p w:rsidR="0057482E" w:rsidRPr="005771BD" w:rsidRDefault="0057482E" w:rsidP="0057482E">
      <w:pPr>
        <w:spacing w:line="240" w:lineRule="auto"/>
        <w:jc w:val="both"/>
        <w:rPr>
          <w:rFonts w:eastAsiaTheme="minorHAnsi" w:cs="Arial"/>
          <w:i/>
          <w:sz w:val="18"/>
          <w:szCs w:val="18"/>
          <w:lang w:val="sl-SI"/>
        </w:rPr>
      </w:pPr>
    </w:p>
    <w:p w:rsidR="0057482E" w:rsidRPr="005771BD" w:rsidRDefault="0057482E" w:rsidP="0057482E">
      <w:pPr>
        <w:spacing w:after="240" w:line="240" w:lineRule="auto"/>
        <w:jc w:val="both"/>
        <w:rPr>
          <w:rFonts w:eastAsiaTheme="minorHAnsi" w:cs="Arial"/>
          <w:szCs w:val="20"/>
          <w:lang w:val="sl-SI"/>
        </w:rPr>
      </w:pPr>
      <w:r w:rsidRPr="005771BD">
        <w:rPr>
          <w:rFonts w:eastAsiaTheme="minorHAnsi" w:cs="Arial"/>
          <w:szCs w:val="20"/>
          <w:lang w:val="sl-SI"/>
        </w:rPr>
        <w:t xml:space="preserve">V primeru presežene mejne vrednosti za nitrate je moral upravljavec izdati ukrep omejitve uporabe pitne vode za pitje in pripravo hrane za dojenčke, nosečnice in doječe matere. V času trajanja ukrepa je moral zagotoviti nadomestno oskrbo z zdravstveno ustrezno pitno vodo za te skupine uporabnikov. Omejitve uporabe pitne vode glede na stopnjo presežene mejne vrednosti za posamezne pesticide v pitni vodi in tveganje za zdravje ljudi pa niso bile potrebne. </w:t>
      </w:r>
    </w:p>
    <w:p w:rsidR="0057482E" w:rsidRPr="005771BD" w:rsidRDefault="0057482E" w:rsidP="0057482E">
      <w:pPr>
        <w:spacing w:after="240" w:line="240" w:lineRule="auto"/>
        <w:jc w:val="both"/>
        <w:rPr>
          <w:rFonts w:eastAsiaTheme="minorHAnsi" w:cs="Arial"/>
          <w:szCs w:val="20"/>
          <w:lang w:val="sl-SI"/>
        </w:rPr>
      </w:pPr>
      <w:r w:rsidRPr="005771BD">
        <w:rPr>
          <w:rFonts w:eastAsiaTheme="minorHAnsi" w:cs="Arial"/>
          <w:szCs w:val="20"/>
          <w:lang w:val="sl-SI"/>
        </w:rPr>
        <w:t xml:space="preserve">V letih 2006 in 2007 je bila ugotovljena presežena koncentracija arzena v pitni vodi v Prekmurju, </w:t>
      </w:r>
      <w:r>
        <w:rPr>
          <w:rFonts w:eastAsiaTheme="minorHAnsi" w:cs="Arial"/>
          <w:szCs w:val="20"/>
          <w:lang w:val="sl-SI"/>
        </w:rPr>
        <w:t>kateri</w:t>
      </w:r>
      <w:r w:rsidRPr="005771BD">
        <w:rPr>
          <w:rFonts w:eastAsiaTheme="minorHAnsi" w:cs="Arial"/>
          <w:szCs w:val="20"/>
          <w:lang w:val="sl-SI"/>
        </w:rPr>
        <w:t xml:space="preserve"> je bilo izpostavljenih 1713 prebivalcev; onesnažen</w:t>
      </w:r>
      <w:r>
        <w:rPr>
          <w:rFonts w:eastAsiaTheme="minorHAnsi" w:cs="Arial"/>
          <w:szCs w:val="20"/>
          <w:lang w:val="sl-SI"/>
        </w:rPr>
        <w:t>i</w:t>
      </w:r>
      <w:r w:rsidRPr="005771BD">
        <w:rPr>
          <w:rFonts w:eastAsiaTheme="minorHAnsi" w:cs="Arial"/>
          <w:szCs w:val="20"/>
          <w:lang w:val="sl-SI"/>
        </w:rPr>
        <w:t xml:space="preserve"> vir so ukinili. V letu 2014 je bila pri treh oskrbovalnih območjih v </w:t>
      </w:r>
      <w:r>
        <w:rPr>
          <w:rFonts w:eastAsiaTheme="minorHAnsi" w:cs="Arial"/>
          <w:szCs w:val="20"/>
          <w:lang w:val="sl-SI"/>
        </w:rPr>
        <w:t>o</w:t>
      </w:r>
      <w:r w:rsidRPr="005771BD">
        <w:rPr>
          <w:rFonts w:eastAsiaTheme="minorHAnsi" w:cs="Arial"/>
          <w:szCs w:val="20"/>
          <w:lang w:val="sl-SI"/>
        </w:rPr>
        <w:t>srednjeslovenski statistični regiji presežena koncentracija svinca (mejna vrednost je 10,0 µg/L); po izpiranju internega vodovodnega omrežja pa je bila ugotovljena skladnost pitne vode (Gale in sod. 2015b, ARSO 2015b).</w:t>
      </w:r>
    </w:p>
    <w:p w:rsidR="0057482E" w:rsidRPr="005771BD" w:rsidRDefault="0057482E" w:rsidP="0057482E">
      <w:pPr>
        <w:spacing w:line="240" w:lineRule="auto"/>
        <w:jc w:val="both"/>
        <w:rPr>
          <w:rFonts w:eastAsiaTheme="minorHAnsi" w:cs="Arial"/>
          <w:i/>
          <w:sz w:val="18"/>
          <w:szCs w:val="18"/>
          <w:lang w:val="sl-SI"/>
        </w:rPr>
      </w:pPr>
    </w:p>
    <w:p w:rsidR="0057482E" w:rsidRPr="005771BD" w:rsidRDefault="0057482E" w:rsidP="0057482E">
      <w:pPr>
        <w:spacing w:after="200" w:line="276" w:lineRule="auto"/>
        <w:jc w:val="both"/>
        <w:rPr>
          <w:rFonts w:eastAsiaTheme="minorHAnsi" w:cs="Arial"/>
          <w:b/>
          <w:szCs w:val="20"/>
          <w:lang w:val="sl-SI"/>
        </w:rPr>
      </w:pPr>
      <w:r w:rsidRPr="005771BD">
        <w:rPr>
          <w:rFonts w:eastAsiaTheme="minorHAnsi" w:cs="Arial"/>
          <w:b/>
          <w:szCs w:val="20"/>
          <w:u w:val="single"/>
          <w:lang w:val="sl-SI"/>
        </w:rPr>
        <w:t>1</w:t>
      </w:r>
      <w:r w:rsidR="001A509D">
        <w:rPr>
          <w:rFonts w:eastAsiaTheme="minorHAnsi" w:cs="Arial"/>
          <w:b/>
          <w:szCs w:val="20"/>
          <w:u w:val="single"/>
          <w:lang w:val="sl-SI"/>
        </w:rPr>
        <w:t>6</w:t>
      </w:r>
      <w:r w:rsidRPr="005771BD">
        <w:rPr>
          <w:rFonts w:eastAsiaTheme="minorHAnsi" w:cs="Arial"/>
          <w:b/>
          <w:szCs w:val="20"/>
          <w:u w:val="single"/>
          <w:lang w:val="sl-SI"/>
        </w:rPr>
        <w:t>.3 Kakovost naravne kopalne vode</w:t>
      </w:r>
      <w:r w:rsidRPr="005771BD">
        <w:rPr>
          <w:rFonts w:eastAsiaTheme="minorHAnsi" w:cs="Arial"/>
          <w:b/>
          <w:szCs w:val="20"/>
          <w:lang w:val="sl-SI"/>
        </w:rPr>
        <w:t xml:space="preserve"> </w:t>
      </w:r>
    </w:p>
    <w:p w:rsidR="0057482E" w:rsidRPr="005771BD" w:rsidRDefault="0057482E" w:rsidP="0057482E">
      <w:pPr>
        <w:spacing w:after="200" w:line="276" w:lineRule="auto"/>
        <w:jc w:val="both"/>
        <w:rPr>
          <w:rFonts w:eastAsiaTheme="minorHAnsi" w:cs="Arial"/>
          <w:szCs w:val="20"/>
          <w:lang w:val="sl-SI"/>
        </w:rPr>
      </w:pPr>
      <w:r w:rsidRPr="005771BD">
        <w:rPr>
          <w:rFonts w:eastAsiaTheme="minorHAnsi" w:cs="Arial"/>
          <w:szCs w:val="20"/>
          <w:lang w:val="sl-SI"/>
        </w:rPr>
        <w:t>Spremljanje kakovosti (monitoring) naravne kopalne vode se v Sloveniji v skladu s poenoteno zakonodajo na evropski ravni (Council Direktive 2006/7/EC concerning the management of bathing water quality and repealing Directive 76/160/EEC, v nadaljevanju Direktiva 2006/7, Zakon</w:t>
      </w:r>
      <w:r w:rsidR="00107DE0">
        <w:rPr>
          <w:rFonts w:eastAsiaTheme="minorHAnsi" w:cs="Arial"/>
          <w:szCs w:val="20"/>
          <w:lang w:val="sl-SI"/>
        </w:rPr>
        <w:t>om</w:t>
      </w:r>
      <w:r w:rsidRPr="005771BD">
        <w:rPr>
          <w:rFonts w:eastAsiaTheme="minorHAnsi" w:cs="Arial"/>
          <w:szCs w:val="20"/>
          <w:lang w:val="sl-SI"/>
        </w:rPr>
        <w:t xml:space="preserve"> o vodah (Uradni list RS, št. 67/02, 57/08, 57/12, 100/13, 40/14, 56/15)</w:t>
      </w:r>
      <w:r w:rsidR="00107DE0">
        <w:rPr>
          <w:rFonts w:eastAsiaTheme="minorHAnsi" w:cs="Arial"/>
          <w:szCs w:val="20"/>
          <w:lang w:val="sl-SI"/>
        </w:rPr>
        <w:t xml:space="preserve"> in </w:t>
      </w:r>
      <w:r w:rsidRPr="005771BD">
        <w:rPr>
          <w:rFonts w:eastAsiaTheme="minorHAnsi" w:cs="Arial"/>
          <w:szCs w:val="20"/>
          <w:lang w:val="sl-SI"/>
        </w:rPr>
        <w:t>Pravilnik</w:t>
      </w:r>
      <w:r w:rsidR="00107DE0">
        <w:rPr>
          <w:rFonts w:eastAsiaTheme="minorHAnsi" w:cs="Arial"/>
          <w:szCs w:val="20"/>
          <w:lang w:val="sl-SI"/>
        </w:rPr>
        <w:t>om</w:t>
      </w:r>
      <w:r w:rsidRPr="005771BD">
        <w:rPr>
          <w:rFonts w:eastAsiaTheme="minorHAnsi" w:cs="Arial"/>
          <w:szCs w:val="20"/>
          <w:lang w:val="sl-SI"/>
        </w:rPr>
        <w:t xml:space="preserve"> o podrobnejših kriterijih za ugotavljanje kopalnih voda (Uradni list RS, št. 39/08) izvaja od leta 2004</w:t>
      </w:r>
      <w:r>
        <w:rPr>
          <w:rFonts w:eastAsiaTheme="minorHAnsi" w:cs="Arial"/>
          <w:szCs w:val="20"/>
          <w:lang w:val="sl-SI"/>
        </w:rPr>
        <w:t>,</w:t>
      </w:r>
      <w:r w:rsidRPr="005771BD">
        <w:rPr>
          <w:rFonts w:eastAsiaTheme="minorHAnsi" w:cs="Arial"/>
          <w:szCs w:val="20"/>
          <w:lang w:val="sl-SI"/>
        </w:rPr>
        <w:t xml:space="preserve"> in sicer v času kopalne sezone, ki na celinskih vodah traja od 15.</w:t>
      </w:r>
      <w:r>
        <w:rPr>
          <w:rFonts w:eastAsiaTheme="minorHAnsi" w:cs="Arial"/>
          <w:szCs w:val="20"/>
          <w:lang w:val="sl-SI"/>
        </w:rPr>
        <w:t xml:space="preserve"> junija</w:t>
      </w:r>
      <w:r w:rsidRPr="005771BD">
        <w:rPr>
          <w:rFonts w:eastAsiaTheme="minorHAnsi" w:cs="Arial"/>
          <w:szCs w:val="20"/>
          <w:lang w:val="sl-SI"/>
        </w:rPr>
        <w:t xml:space="preserve"> do 31.</w:t>
      </w:r>
      <w:r>
        <w:rPr>
          <w:rFonts w:eastAsiaTheme="minorHAnsi" w:cs="Arial"/>
          <w:szCs w:val="20"/>
          <w:lang w:val="sl-SI"/>
        </w:rPr>
        <w:t xml:space="preserve"> avgusta</w:t>
      </w:r>
      <w:r w:rsidRPr="005771BD">
        <w:rPr>
          <w:rFonts w:eastAsiaTheme="minorHAnsi" w:cs="Arial"/>
          <w:szCs w:val="20"/>
          <w:lang w:val="sl-SI"/>
        </w:rPr>
        <w:t>, na morju pa od 1.</w:t>
      </w:r>
      <w:r>
        <w:rPr>
          <w:rFonts w:eastAsiaTheme="minorHAnsi" w:cs="Arial"/>
          <w:szCs w:val="20"/>
          <w:lang w:val="sl-SI"/>
        </w:rPr>
        <w:t xml:space="preserve"> junija</w:t>
      </w:r>
      <w:r w:rsidRPr="005771BD">
        <w:rPr>
          <w:rFonts w:eastAsiaTheme="minorHAnsi" w:cs="Arial"/>
          <w:szCs w:val="20"/>
          <w:lang w:val="sl-SI"/>
        </w:rPr>
        <w:t xml:space="preserve"> do 15.</w:t>
      </w:r>
      <w:r>
        <w:rPr>
          <w:rFonts w:eastAsiaTheme="minorHAnsi" w:cs="Arial"/>
          <w:szCs w:val="20"/>
          <w:lang w:val="sl-SI"/>
        </w:rPr>
        <w:t xml:space="preserve"> septembra</w:t>
      </w:r>
      <w:r w:rsidRPr="005771BD">
        <w:rPr>
          <w:rFonts w:eastAsiaTheme="minorHAnsi" w:cs="Arial"/>
          <w:szCs w:val="20"/>
          <w:lang w:val="sl-SI"/>
        </w:rPr>
        <w:t xml:space="preserve">. </w:t>
      </w:r>
    </w:p>
    <w:p w:rsidR="0057482E" w:rsidRPr="005771BD" w:rsidRDefault="0057482E" w:rsidP="0057482E">
      <w:pPr>
        <w:spacing w:after="200" w:line="276" w:lineRule="auto"/>
        <w:jc w:val="both"/>
        <w:rPr>
          <w:rFonts w:eastAsiaTheme="minorHAnsi" w:cs="Arial"/>
          <w:szCs w:val="20"/>
          <w:lang w:val="sl-SI"/>
        </w:rPr>
      </w:pPr>
      <w:r w:rsidRPr="005771BD">
        <w:rPr>
          <w:rFonts w:eastAsiaTheme="minorHAnsi" w:cs="Arial"/>
          <w:szCs w:val="20"/>
          <w:lang w:val="sl-SI"/>
        </w:rPr>
        <w:t>V Sloveniji je na površinskih vodah s predpisi določenih 48 t.</w:t>
      </w:r>
      <w:r>
        <w:rPr>
          <w:rFonts w:eastAsiaTheme="minorHAnsi" w:cs="Arial"/>
          <w:szCs w:val="20"/>
          <w:lang w:val="sl-SI"/>
        </w:rPr>
        <w:t xml:space="preserve"> </w:t>
      </w:r>
      <w:r w:rsidRPr="005771BD">
        <w:rPr>
          <w:rFonts w:eastAsiaTheme="minorHAnsi" w:cs="Arial"/>
          <w:szCs w:val="20"/>
          <w:lang w:val="sl-SI"/>
        </w:rPr>
        <w:t xml:space="preserve">i. kopalnih voda, ki se z vidika upravljanja delijo na naravna kopališča in kopalna območja. Naravnih kopališč je 18, od tega jih je 14 na morju, 3 </w:t>
      </w:r>
      <w:r>
        <w:rPr>
          <w:rFonts w:eastAsiaTheme="minorHAnsi" w:cs="Arial"/>
          <w:szCs w:val="20"/>
          <w:lang w:val="sl-SI"/>
        </w:rPr>
        <w:t xml:space="preserve">so </w:t>
      </w:r>
      <w:r w:rsidRPr="005771BD">
        <w:rPr>
          <w:rFonts w:eastAsiaTheme="minorHAnsi" w:cs="Arial"/>
          <w:szCs w:val="20"/>
          <w:lang w:val="sl-SI"/>
        </w:rPr>
        <w:t>na Blejskem jezeru in Šobčev</w:t>
      </w:r>
      <w:r>
        <w:rPr>
          <w:rFonts w:eastAsiaTheme="minorHAnsi" w:cs="Arial"/>
          <w:szCs w:val="20"/>
          <w:lang w:val="sl-SI"/>
        </w:rPr>
        <w:t>em</w:t>
      </w:r>
      <w:r w:rsidRPr="005771BD">
        <w:rPr>
          <w:rFonts w:eastAsiaTheme="minorHAnsi" w:cs="Arial"/>
          <w:szCs w:val="20"/>
          <w:lang w:val="sl-SI"/>
        </w:rPr>
        <w:t xml:space="preserve"> bajer</w:t>
      </w:r>
      <w:r>
        <w:rPr>
          <w:rFonts w:eastAsiaTheme="minorHAnsi" w:cs="Arial"/>
          <w:szCs w:val="20"/>
          <w:lang w:val="sl-SI"/>
        </w:rPr>
        <w:t>ju</w:t>
      </w:r>
      <w:r w:rsidRPr="005771BD">
        <w:rPr>
          <w:rFonts w:eastAsiaTheme="minorHAnsi" w:cs="Arial"/>
          <w:szCs w:val="20"/>
          <w:lang w:val="sl-SI"/>
        </w:rPr>
        <w:t>. Kopalnih območij je 30</w:t>
      </w:r>
      <w:r>
        <w:rPr>
          <w:rFonts w:eastAsiaTheme="minorHAnsi" w:cs="Arial"/>
          <w:szCs w:val="20"/>
          <w:lang w:val="sl-SI"/>
        </w:rPr>
        <w:t>,</w:t>
      </w:r>
      <w:r w:rsidRPr="005771BD">
        <w:rPr>
          <w:rFonts w:eastAsiaTheme="minorHAnsi" w:cs="Arial"/>
          <w:szCs w:val="20"/>
          <w:lang w:val="sl-SI"/>
        </w:rPr>
        <w:t xml:space="preserve"> in sicer 23 na rekah Idrijca, Soča, Nadiža, Kolpa in Krka ter na Blejskem in Bohinjskem jezeru, 7 pa na morju (Uredba o upravljanju kakovosti kopalnih voda, Uradni list RS, št. 25/08, v nadaljevanju Uredba 25/08).</w:t>
      </w:r>
    </w:p>
    <w:p w:rsidR="0057482E" w:rsidRPr="005771BD" w:rsidRDefault="0057482E" w:rsidP="0057482E">
      <w:pPr>
        <w:spacing w:after="200" w:line="276" w:lineRule="auto"/>
        <w:jc w:val="both"/>
        <w:rPr>
          <w:rFonts w:eastAsiaTheme="minorHAnsi" w:cs="Arial"/>
          <w:szCs w:val="20"/>
          <w:lang w:val="sl-SI"/>
        </w:rPr>
      </w:pPr>
      <w:r w:rsidRPr="005771BD">
        <w:rPr>
          <w:rFonts w:eastAsiaTheme="minorHAnsi" w:cs="Arial"/>
          <w:szCs w:val="20"/>
          <w:lang w:val="sl-SI"/>
        </w:rPr>
        <w:t>Kot pokazatelj morebitnega fekalnega onesnaženja v površinskih kopalnih vodah se spremljata parametra:</w:t>
      </w:r>
      <w:r w:rsidRPr="005771BD">
        <w:rPr>
          <w:rFonts w:eastAsiaTheme="minorHAnsi" w:cs="Arial"/>
          <w:i/>
          <w:szCs w:val="20"/>
          <w:lang w:val="sl-SI"/>
        </w:rPr>
        <w:t xml:space="preserve"> E</w:t>
      </w:r>
      <w:r w:rsidRPr="005771BD">
        <w:rPr>
          <w:rFonts w:eastAsiaTheme="minorHAnsi" w:cs="Arial"/>
          <w:szCs w:val="20"/>
          <w:lang w:val="sl-SI"/>
        </w:rPr>
        <w:t xml:space="preserve">. </w:t>
      </w:r>
      <w:r w:rsidRPr="005771BD">
        <w:rPr>
          <w:rFonts w:eastAsiaTheme="minorHAnsi" w:cs="Arial"/>
          <w:i/>
          <w:szCs w:val="20"/>
          <w:lang w:val="sl-SI"/>
        </w:rPr>
        <w:t xml:space="preserve">coli </w:t>
      </w:r>
      <w:r w:rsidRPr="005771BD">
        <w:rPr>
          <w:rFonts w:eastAsiaTheme="minorHAnsi" w:cs="Arial"/>
          <w:szCs w:val="20"/>
          <w:lang w:val="sl-SI"/>
        </w:rPr>
        <w:t>in intestinalni enterokoki. Poleg tega se spremljajo tudi druga onesnaženja: plavajoči odpadki, steklo, plastika, guma ali drugi odpadki, prisotnost vidnih nečistoč, površinsko aktivnih snovi, mineralnih olj, fenolov, v primeru možnosti pojava cianobakterij in makroalg, oziroma morskega fitoplanktona se v monitoring vključi</w:t>
      </w:r>
      <w:r>
        <w:rPr>
          <w:rFonts w:eastAsiaTheme="minorHAnsi" w:cs="Arial"/>
          <w:szCs w:val="20"/>
          <w:lang w:val="sl-SI"/>
        </w:rPr>
        <w:t>ta</w:t>
      </w:r>
      <w:r w:rsidRPr="005771BD">
        <w:rPr>
          <w:rFonts w:eastAsiaTheme="minorHAnsi" w:cs="Arial"/>
          <w:szCs w:val="20"/>
          <w:lang w:val="sl-SI"/>
        </w:rPr>
        <w:t xml:space="preserve"> tudi ta parametra (Direktiva 2006/7, Uredba 25/08). </w:t>
      </w:r>
    </w:p>
    <w:p w:rsidR="0057482E" w:rsidRPr="005771BD" w:rsidRDefault="0057482E" w:rsidP="0057482E">
      <w:pPr>
        <w:spacing w:after="200" w:line="276" w:lineRule="auto"/>
        <w:jc w:val="both"/>
        <w:rPr>
          <w:rFonts w:eastAsiaTheme="minorHAnsi" w:cs="Arial"/>
          <w:szCs w:val="20"/>
          <w:lang w:val="sl-SI"/>
        </w:rPr>
      </w:pPr>
      <w:r w:rsidRPr="005771BD">
        <w:rPr>
          <w:rFonts w:eastAsiaTheme="minorHAnsi" w:cs="Arial"/>
          <w:szCs w:val="20"/>
          <w:lang w:val="sl-SI"/>
        </w:rPr>
        <w:t>Za načrtovanje ukrepov in ocenjevanje stanja kopalnih voda se v skladu z enotno metodologijo v EU ob koncu kopalne sezone posamezno kopalno vodo razvrsti v ustrez</w:t>
      </w:r>
      <w:r>
        <w:rPr>
          <w:rFonts w:eastAsiaTheme="minorHAnsi" w:cs="Arial"/>
          <w:szCs w:val="20"/>
          <w:lang w:val="sl-SI"/>
        </w:rPr>
        <w:t>ni</w:t>
      </w:r>
      <w:r w:rsidRPr="005771BD">
        <w:rPr>
          <w:rFonts w:eastAsiaTheme="minorHAnsi" w:cs="Arial"/>
          <w:szCs w:val="20"/>
          <w:lang w:val="sl-SI"/>
        </w:rPr>
        <w:t xml:space="preserve"> razred kakovosti na </w:t>
      </w:r>
      <w:r>
        <w:rPr>
          <w:rFonts w:eastAsiaTheme="minorHAnsi" w:cs="Arial"/>
          <w:szCs w:val="20"/>
          <w:lang w:val="sl-SI"/>
        </w:rPr>
        <w:t>podlagi</w:t>
      </w:r>
      <w:r w:rsidRPr="005771BD">
        <w:rPr>
          <w:rFonts w:eastAsiaTheme="minorHAnsi" w:cs="Arial"/>
          <w:szCs w:val="20"/>
          <w:lang w:val="sl-SI"/>
        </w:rPr>
        <w:t xml:space="preserve"> 4-letnega niza podatkov. </w:t>
      </w:r>
      <w:r>
        <w:rPr>
          <w:rFonts w:eastAsiaTheme="minorHAnsi" w:cs="Arial"/>
          <w:szCs w:val="20"/>
          <w:lang w:val="sl-SI"/>
        </w:rPr>
        <w:t>S</w:t>
      </w:r>
      <w:r w:rsidRPr="005771BD">
        <w:rPr>
          <w:rFonts w:eastAsiaTheme="minorHAnsi" w:cs="Arial"/>
          <w:szCs w:val="20"/>
          <w:lang w:val="sl-SI"/>
        </w:rPr>
        <w:t xml:space="preserve"> statističn</w:t>
      </w:r>
      <w:r>
        <w:rPr>
          <w:rFonts w:eastAsiaTheme="minorHAnsi" w:cs="Arial"/>
          <w:szCs w:val="20"/>
          <w:lang w:val="sl-SI"/>
        </w:rPr>
        <w:t>o</w:t>
      </w:r>
      <w:r w:rsidRPr="005771BD">
        <w:rPr>
          <w:rFonts w:eastAsiaTheme="minorHAnsi" w:cs="Arial"/>
          <w:szCs w:val="20"/>
          <w:lang w:val="sl-SI"/>
        </w:rPr>
        <w:t xml:space="preserve"> obdelav</w:t>
      </w:r>
      <w:r>
        <w:rPr>
          <w:rFonts w:eastAsiaTheme="minorHAnsi" w:cs="Arial"/>
          <w:szCs w:val="20"/>
          <w:lang w:val="sl-SI"/>
        </w:rPr>
        <w:t>o</w:t>
      </w:r>
      <w:r w:rsidRPr="005771BD">
        <w:rPr>
          <w:rFonts w:eastAsiaTheme="minorHAnsi" w:cs="Arial"/>
          <w:szCs w:val="20"/>
          <w:lang w:val="sl-SI"/>
        </w:rPr>
        <w:t xml:space="preserve"> podatkov so določeni naslednji razredi kakovosti: odlična, dobra, zadostna in slaba kopalna voda. Pri tem velja, da je v odlični kopalni vodi spremljanih bakterij manj, v slabi pa že toliko, da lahko ogrožajo zdravje kopalcev. Za kopanje se lahko uporablja kopalna voda, ki je razvrščena vsaj v razred zadostnih kopalnih vod (Uredba 25/08). </w:t>
      </w:r>
    </w:p>
    <w:p w:rsidR="0057482E" w:rsidRPr="005771BD" w:rsidRDefault="0057482E" w:rsidP="0057482E">
      <w:pPr>
        <w:spacing w:after="200" w:line="276" w:lineRule="auto"/>
        <w:jc w:val="both"/>
        <w:rPr>
          <w:rFonts w:eastAsiaTheme="minorHAnsi" w:cs="Arial"/>
          <w:szCs w:val="20"/>
          <w:lang w:val="sl-SI"/>
        </w:rPr>
      </w:pPr>
      <w:r w:rsidRPr="005771BD">
        <w:rPr>
          <w:rFonts w:eastAsiaTheme="minorHAnsi" w:cs="Arial"/>
          <w:szCs w:val="20"/>
          <w:lang w:val="sl-SI"/>
        </w:rPr>
        <w:t>Slovenija se z 46,2 % odličnimi, 46,1 % dobrimi in 7,7 % zadostnimi celinskimi kopalnimi vodami med evropskimi državami uvršča med boljše (EEA 2016, ARSO 2016).</w:t>
      </w:r>
    </w:p>
    <w:p w:rsidR="0057482E" w:rsidRPr="005771BD" w:rsidRDefault="0057482E" w:rsidP="0057482E">
      <w:pPr>
        <w:spacing w:after="200" w:line="276" w:lineRule="auto"/>
        <w:jc w:val="both"/>
        <w:rPr>
          <w:rFonts w:eastAsiaTheme="minorHAnsi" w:cs="Arial"/>
          <w:szCs w:val="20"/>
          <w:lang w:val="sl-SI"/>
        </w:rPr>
      </w:pPr>
      <w:r w:rsidRPr="005771BD">
        <w:rPr>
          <w:rFonts w:eastAsiaTheme="minorHAnsi" w:cs="Arial"/>
          <w:szCs w:val="20"/>
          <w:lang w:val="sl-SI"/>
        </w:rPr>
        <w:t xml:space="preserve">Kakovost vode na nenadzorovanih vodnih površinah se </w:t>
      </w:r>
      <w:r>
        <w:rPr>
          <w:rFonts w:eastAsiaTheme="minorHAnsi" w:cs="Arial"/>
          <w:szCs w:val="20"/>
          <w:lang w:val="sl-SI"/>
        </w:rPr>
        <w:t>običajno</w:t>
      </w:r>
      <w:r w:rsidRPr="005771BD">
        <w:rPr>
          <w:rFonts w:eastAsiaTheme="minorHAnsi" w:cs="Arial"/>
          <w:szCs w:val="20"/>
          <w:lang w:val="sl-SI"/>
        </w:rPr>
        <w:t xml:space="preserve"> ne spremlja, to so gramoznice, bajerji, vodni zbiralniki, ribniki, nekatere reke, ki niso </w:t>
      </w:r>
      <w:r>
        <w:rPr>
          <w:rFonts w:eastAsiaTheme="minorHAnsi" w:cs="Arial"/>
          <w:szCs w:val="20"/>
          <w:lang w:val="sl-SI"/>
        </w:rPr>
        <w:t xml:space="preserve">varnostno </w:t>
      </w:r>
      <w:r w:rsidRPr="005771BD">
        <w:rPr>
          <w:rFonts w:eastAsiaTheme="minorHAnsi" w:cs="Arial"/>
          <w:szCs w:val="20"/>
          <w:lang w:val="sl-SI"/>
        </w:rPr>
        <w:t>urejen</w:t>
      </w:r>
      <w:r>
        <w:rPr>
          <w:rFonts w:eastAsiaTheme="minorHAnsi" w:cs="Arial"/>
          <w:szCs w:val="20"/>
          <w:lang w:val="sl-SI"/>
        </w:rPr>
        <w:t>e</w:t>
      </w:r>
      <w:r w:rsidRPr="005771BD">
        <w:rPr>
          <w:rFonts w:eastAsiaTheme="minorHAnsi" w:cs="Arial"/>
          <w:szCs w:val="20"/>
          <w:lang w:val="sl-SI"/>
        </w:rPr>
        <w:t>, prav tako pa je vprašljiva kakovost vode. Na teh lokacijah je kopanje izključno na lastno odgovornost (Pravilnik o ukrepih za varstvo pred utopitvami na kopališčih, Ur.</w:t>
      </w:r>
      <w:r>
        <w:rPr>
          <w:rFonts w:eastAsiaTheme="minorHAnsi" w:cs="Arial"/>
          <w:szCs w:val="20"/>
          <w:lang w:val="sl-SI"/>
        </w:rPr>
        <w:t xml:space="preserve"> </w:t>
      </w:r>
      <w:r w:rsidRPr="005771BD">
        <w:rPr>
          <w:rFonts w:eastAsiaTheme="minorHAnsi" w:cs="Arial"/>
          <w:szCs w:val="20"/>
          <w:lang w:val="sl-SI"/>
        </w:rPr>
        <w:t xml:space="preserve">l. RS 84/07, 22/13). </w:t>
      </w:r>
    </w:p>
    <w:p w:rsidR="0057482E" w:rsidRPr="005771BD" w:rsidRDefault="0057482E" w:rsidP="0057482E">
      <w:pPr>
        <w:spacing w:after="200" w:line="276" w:lineRule="auto"/>
        <w:jc w:val="both"/>
        <w:rPr>
          <w:rFonts w:eastAsiaTheme="minorHAnsi" w:cs="Arial"/>
          <w:szCs w:val="20"/>
          <w:lang w:val="sl-SI"/>
        </w:rPr>
      </w:pPr>
      <w:r w:rsidRPr="005771BD">
        <w:rPr>
          <w:rFonts w:eastAsiaTheme="minorHAnsi" w:cs="Arial"/>
          <w:szCs w:val="20"/>
          <w:lang w:val="sl-SI"/>
        </w:rPr>
        <w:t xml:space="preserve">Kopanje v rekah, jezerih in morju priporočamo le tam, kjer se spremlja kakovost kopalne vode. Na nenadzorovanih vodnih površinah kopanje odsvetujemo. Kljub temu se ljudje tradicionalno kopajo tudi v </w:t>
      </w:r>
      <w:r>
        <w:rPr>
          <w:rFonts w:eastAsiaTheme="minorHAnsi" w:cs="Arial"/>
          <w:szCs w:val="20"/>
          <w:lang w:val="sl-SI"/>
        </w:rPr>
        <w:t>drugih</w:t>
      </w:r>
      <w:r w:rsidRPr="005771BD">
        <w:rPr>
          <w:rFonts w:eastAsiaTheme="minorHAnsi" w:cs="Arial"/>
          <w:szCs w:val="20"/>
          <w:lang w:val="sl-SI"/>
        </w:rPr>
        <w:t xml:space="preserve"> delih Slovenije, v naravnih oziroma površinskih vodah, </w:t>
      </w:r>
      <w:r>
        <w:rPr>
          <w:rFonts w:eastAsiaTheme="minorHAnsi" w:cs="Arial"/>
          <w:szCs w:val="20"/>
          <w:lang w:val="sl-SI"/>
        </w:rPr>
        <w:t>kjer</w:t>
      </w:r>
      <w:r w:rsidRPr="005771BD">
        <w:rPr>
          <w:rFonts w:eastAsiaTheme="minorHAnsi" w:cs="Arial"/>
          <w:szCs w:val="20"/>
          <w:lang w:val="sl-SI"/>
        </w:rPr>
        <w:t xml:space="preserve"> kopalne vode niso določene s predpisi. </w:t>
      </w:r>
    </w:p>
    <w:p w:rsidR="0057482E" w:rsidRPr="005771BD" w:rsidRDefault="0057482E" w:rsidP="0057482E">
      <w:pPr>
        <w:spacing w:after="200" w:line="276" w:lineRule="auto"/>
        <w:jc w:val="both"/>
        <w:rPr>
          <w:rFonts w:eastAsia="Calibri" w:cs="Arial"/>
          <w:szCs w:val="20"/>
          <w:lang w:val="sl-SI"/>
        </w:rPr>
      </w:pPr>
      <w:r w:rsidRPr="005771BD">
        <w:rPr>
          <w:rFonts w:eastAsiaTheme="minorHAnsi" w:cs="Arial"/>
          <w:szCs w:val="20"/>
          <w:lang w:val="sl-SI"/>
        </w:rPr>
        <w:t xml:space="preserve">Splošna navodila pred kopanjem </w:t>
      </w:r>
      <w:r>
        <w:rPr>
          <w:rFonts w:eastAsiaTheme="minorHAnsi" w:cs="Arial"/>
          <w:szCs w:val="20"/>
          <w:lang w:val="sl-SI"/>
        </w:rPr>
        <w:t xml:space="preserve">in </w:t>
      </w:r>
      <w:r w:rsidRPr="005771BD">
        <w:rPr>
          <w:rFonts w:eastAsiaTheme="minorHAnsi" w:cs="Arial"/>
          <w:szCs w:val="20"/>
          <w:lang w:val="sl-SI"/>
        </w:rPr>
        <w:t xml:space="preserve">med kopanjem </w:t>
      </w:r>
      <w:r>
        <w:rPr>
          <w:rFonts w:eastAsiaTheme="minorHAnsi" w:cs="Arial"/>
          <w:szCs w:val="20"/>
          <w:lang w:val="sl-SI"/>
        </w:rPr>
        <w:t>ter</w:t>
      </w:r>
      <w:r w:rsidRPr="005771BD">
        <w:rPr>
          <w:rFonts w:eastAsiaTheme="minorHAnsi" w:cs="Arial"/>
          <w:szCs w:val="20"/>
          <w:lang w:val="sl-SI"/>
        </w:rPr>
        <w:t xml:space="preserve"> po njem so objavljena na spletnih straneh NIJZ</w:t>
      </w:r>
      <w:r w:rsidR="002974AD">
        <w:rPr>
          <w:rFonts w:eastAsiaTheme="minorHAnsi" w:cs="Arial"/>
          <w:szCs w:val="20"/>
          <w:lang w:val="sl-SI"/>
        </w:rPr>
        <w:t xml:space="preserve"> </w:t>
      </w:r>
      <w:hyperlink r:id="rId314" w:history="1">
        <w:r w:rsidRPr="005771BD">
          <w:rPr>
            <w:rFonts w:eastAsia="Calibri" w:cs="Arial"/>
            <w:color w:val="000080"/>
            <w:szCs w:val="20"/>
            <w:u w:val="single"/>
            <w:lang w:val="sl-SI"/>
          </w:rPr>
          <w:t>http://www.nijz.si/sl/naravne-kopalne-vode-v-sloveniji-priporocila-za-kopalce-0</w:t>
        </w:r>
      </w:hyperlink>
      <w:r w:rsidRPr="0057482E">
        <w:rPr>
          <w:rFonts w:eastAsia="Calibri" w:cs="Arial"/>
          <w:color w:val="000080"/>
          <w:szCs w:val="20"/>
          <w:lang w:val="sl-SI"/>
        </w:rPr>
        <w:t xml:space="preserve"> </w:t>
      </w:r>
      <w:r w:rsidRPr="005771BD">
        <w:rPr>
          <w:rFonts w:eastAsia="Calibri" w:cs="Arial"/>
          <w:szCs w:val="20"/>
          <w:lang w:val="sl-SI"/>
        </w:rPr>
        <w:t xml:space="preserve">in </w:t>
      </w:r>
      <w:hyperlink r:id="rId315" w:history="1">
        <w:r w:rsidRPr="005771BD">
          <w:rPr>
            <w:rFonts w:eastAsia="Calibri" w:cs="Arial"/>
            <w:color w:val="000080"/>
            <w:szCs w:val="20"/>
            <w:u w:val="single"/>
            <w:lang w:val="sl-SI"/>
          </w:rPr>
          <w:t>http://www.nijz.si/sl/varno-kopanje-in-plavanje-v-povrsinskih-kopalnih-vodah</w:t>
        </w:r>
      </w:hyperlink>
      <w:r w:rsidRPr="005771BD">
        <w:rPr>
          <w:rFonts w:eastAsia="Calibri" w:cs="Arial"/>
          <w:szCs w:val="20"/>
          <w:lang w:val="sl-SI"/>
        </w:rPr>
        <w:t>.</w:t>
      </w:r>
    </w:p>
    <w:p w:rsidR="0057482E" w:rsidRPr="005771BD" w:rsidRDefault="0057482E" w:rsidP="0057482E">
      <w:pPr>
        <w:spacing w:line="276" w:lineRule="auto"/>
        <w:rPr>
          <w:rFonts w:eastAsiaTheme="minorHAnsi" w:cs="Arial"/>
          <w:b/>
          <w:szCs w:val="20"/>
          <w:u w:val="single"/>
          <w:lang w:val="sl-SI"/>
        </w:rPr>
      </w:pPr>
    </w:p>
    <w:p w:rsidR="0057482E" w:rsidRPr="005771BD" w:rsidRDefault="0057482E" w:rsidP="0057482E">
      <w:pPr>
        <w:spacing w:after="200" w:line="276" w:lineRule="auto"/>
        <w:rPr>
          <w:rFonts w:eastAsiaTheme="minorHAnsi" w:cs="Arial"/>
          <w:b/>
          <w:szCs w:val="20"/>
          <w:u w:val="single"/>
          <w:lang w:val="sl-SI"/>
        </w:rPr>
      </w:pPr>
      <w:r w:rsidRPr="005771BD">
        <w:rPr>
          <w:rFonts w:eastAsiaTheme="minorHAnsi" w:cs="Arial"/>
          <w:b/>
          <w:szCs w:val="20"/>
          <w:u w:val="single"/>
          <w:lang w:val="sl-SI"/>
        </w:rPr>
        <w:t>1</w:t>
      </w:r>
      <w:r w:rsidR="001A509D">
        <w:rPr>
          <w:rFonts w:eastAsiaTheme="minorHAnsi" w:cs="Arial"/>
          <w:b/>
          <w:szCs w:val="20"/>
          <w:u w:val="single"/>
          <w:lang w:val="sl-SI"/>
        </w:rPr>
        <w:t>6</w:t>
      </w:r>
      <w:r w:rsidRPr="005771BD">
        <w:rPr>
          <w:rFonts w:eastAsiaTheme="minorHAnsi" w:cs="Arial"/>
          <w:b/>
          <w:szCs w:val="20"/>
          <w:u w:val="single"/>
          <w:lang w:val="sl-SI"/>
        </w:rPr>
        <w:t>.4 Kakovost zraka</w:t>
      </w:r>
    </w:p>
    <w:p w:rsidR="0057482E" w:rsidRPr="005771BD" w:rsidRDefault="0057482E" w:rsidP="0057482E">
      <w:pPr>
        <w:spacing w:after="200" w:line="276" w:lineRule="auto"/>
        <w:jc w:val="both"/>
        <w:rPr>
          <w:rFonts w:cs="Arial"/>
          <w:szCs w:val="20"/>
          <w:lang w:val="sl-SI"/>
        </w:rPr>
      </w:pPr>
      <w:r w:rsidRPr="005771BD">
        <w:rPr>
          <w:rFonts w:eastAsiaTheme="minorHAnsi" w:cs="Arial"/>
          <w:szCs w:val="20"/>
          <w:lang w:val="sl-SI"/>
        </w:rPr>
        <w:t>V</w:t>
      </w:r>
      <w:r w:rsidRPr="005771BD">
        <w:rPr>
          <w:rFonts w:cs="Arial"/>
          <w:szCs w:val="20"/>
          <w:lang w:val="sl-SI"/>
        </w:rPr>
        <w:t xml:space="preserve">pliv onesnaženega zraka (zunanjega in notranjega) na zdravje človeka je zelo raznolik in pomembno </w:t>
      </w:r>
      <w:r>
        <w:rPr>
          <w:rFonts w:cs="Arial"/>
          <w:szCs w:val="20"/>
          <w:lang w:val="sl-SI"/>
        </w:rPr>
        <w:t>vpliva na</w:t>
      </w:r>
      <w:r w:rsidRPr="005771BD">
        <w:rPr>
          <w:rFonts w:cs="Arial"/>
          <w:szCs w:val="20"/>
          <w:lang w:val="sl-SI"/>
        </w:rPr>
        <w:t xml:space="preserve"> zdravje ljudi. Oblika in obseg zdravstvenih težav sta odvisna od vrste in stopnje onesnaženja zraka. Težave so najpogosteje v zgornjih dihalnih poteh (draženje sluznic, kašelj, plitkejše dihanje), lahko pride tudi do draženja očesne veznice in občutka utrujenosti. Pri bolnikih z astmo ali</w:t>
      </w:r>
      <w:r>
        <w:rPr>
          <w:rFonts w:cs="Arial"/>
          <w:szCs w:val="20"/>
          <w:lang w:val="sl-SI"/>
        </w:rPr>
        <w:t xml:space="preserve"> </w:t>
      </w:r>
      <w:r w:rsidRPr="005771BD">
        <w:rPr>
          <w:rFonts w:cs="Arial"/>
          <w:szCs w:val="20"/>
          <w:lang w:val="sl-SI"/>
        </w:rPr>
        <w:t xml:space="preserve">drugo kronično pljučno boleznijo se ob izpostavljenosti onesnaženemu zraku stanje pogosto poslabša (težji simptomi, potrebna močnejša terapija). Znaki velike stopnje onesnaženosti zraka so lahko tudi </w:t>
      </w:r>
      <w:r>
        <w:rPr>
          <w:rFonts w:cs="Arial"/>
          <w:szCs w:val="20"/>
          <w:lang w:val="sl-SI"/>
        </w:rPr>
        <w:t>nastanek</w:t>
      </w:r>
      <w:r w:rsidRPr="005771BD">
        <w:rPr>
          <w:rFonts w:cs="Arial"/>
          <w:szCs w:val="20"/>
          <w:lang w:val="sl-SI"/>
        </w:rPr>
        <w:t xml:space="preserve"> akutnega ali kroničnega vnetja spodnjih dihalnih poti in vnetje očesne veznice ter znak</w:t>
      </w:r>
      <w:r>
        <w:rPr>
          <w:rFonts w:cs="Arial"/>
          <w:szCs w:val="20"/>
          <w:lang w:val="sl-SI"/>
        </w:rPr>
        <w:t>ov</w:t>
      </w:r>
      <w:r w:rsidRPr="005771BD">
        <w:rPr>
          <w:rFonts w:cs="Arial"/>
          <w:szCs w:val="20"/>
          <w:lang w:val="sl-SI"/>
        </w:rPr>
        <w:t xml:space="preserve"> bolezni srca in ožilja. Zaznavanje zdravstvenih težav je zaradi razlik v občutljivosti posameznika, zlasti pri manjši oziroma zmerni onesnaženosti zraka, različno (EEA 2013).</w:t>
      </w:r>
    </w:p>
    <w:p w:rsidR="0057482E" w:rsidRPr="005771BD" w:rsidRDefault="0057482E" w:rsidP="0057482E">
      <w:pPr>
        <w:spacing w:after="200" w:line="276" w:lineRule="auto"/>
        <w:jc w:val="both"/>
        <w:rPr>
          <w:rFonts w:eastAsiaTheme="minorHAnsi" w:cs="Arial"/>
          <w:szCs w:val="20"/>
          <w:lang w:val="sl-SI"/>
        </w:rPr>
      </w:pPr>
      <w:r w:rsidRPr="005771BD">
        <w:rPr>
          <w:rFonts w:cs="Arial"/>
          <w:szCs w:val="20"/>
          <w:lang w:val="sl-SI"/>
        </w:rPr>
        <w:t>V mestnem okolju je zaradi večje gostote prebivalstva več ljudi izpostavljenih onesnaženosti zunanjega zraka. D</w:t>
      </w:r>
      <w:r w:rsidRPr="005771BD">
        <w:rPr>
          <w:rFonts w:eastAsiaTheme="minorHAnsi" w:cs="Arial"/>
          <w:szCs w:val="20"/>
          <w:lang w:val="sl-SI"/>
        </w:rPr>
        <w:t xml:space="preserve">olgotrajna izpostavljenost lahko povzroči kronične vnetne reakcije, zaradi katerih lahko pride do trajne okvare pljučnega parenhima oziroma zmanjšanja pljučne funkcije. </w:t>
      </w:r>
      <w:r w:rsidRPr="005771BD">
        <w:rPr>
          <w:rFonts w:cs="Arial"/>
          <w:szCs w:val="20"/>
          <w:lang w:val="sl-SI"/>
        </w:rPr>
        <w:t>Nekatere skupine prebivalstva so bolj ranljive zaradi starosti, nosečnosti, genetskih značilnosti in splošnega zdravstvenega stanja. Posebej so občutljivi dojenčki in otroci, starejši ljudje, ljudje oziroma bolniki z obolenji srca ali ožilja, boleznimi dihal, npr. astmo, kronično obstruktivno pljučno boleznijo, v nadaljevanju KOPB, in drugimi kroničnimi pljučnimi boleznimi, sladkorni bolniki, posamezniki, ki so fizično aktivni na prostem, npr. delavci v gradbeništvu, gozdarji, športniki, rekreativci,</w:t>
      </w:r>
      <w:r>
        <w:rPr>
          <w:rFonts w:cs="Arial"/>
          <w:szCs w:val="20"/>
          <w:lang w:val="sl-SI"/>
        </w:rPr>
        <w:t xml:space="preserve"> itd.</w:t>
      </w:r>
      <w:r w:rsidRPr="005771BD">
        <w:rPr>
          <w:rFonts w:cs="Arial"/>
          <w:szCs w:val="20"/>
          <w:lang w:val="sl-SI"/>
        </w:rPr>
        <w:t xml:space="preserve"> Dihanje onesnaženega zraka ima pri otrocih težje in dolgotrajne</w:t>
      </w:r>
      <w:r>
        <w:rPr>
          <w:rFonts w:cs="Arial"/>
          <w:szCs w:val="20"/>
          <w:lang w:val="sl-SI"/>
        </w:rPr>
        <w:t>jše</w:t>
      </w:r>
      <w:r w:rsidRPr="005771BD">
        <w:rPr>
          <w:rFonts w:cs="Arial"/>
          <w:szCs w:val="20"/>
          <w:lang w:val="sl-SI"/>
        </w:rPr>
        <w:t xml:space="preserve"> posledice kot pri odraslih, saj s</w:t>
      </w:r>
      <w:r>
        <w:rPr>
          <w:rFonts w:cs="Arial"/>
          <w:szCs w:val="20"/>
          <w:lang w:val="sl-SI"/>
        </w:rPr>
        <w:t>e</w:t>
      </w:r>
      <w:r w:rsidRPr="005771BD">
        <w:rPr>
          <w:rFonts w:cs="Arial"/>
          <w:szCs w:val="20"/>
          <w:lang w:val="sl-SI"/>
        </w:rPr>
        <w:t xml:space="preserve"> otrokove dihalne poti in pljuča </w:t>
      </w:r>
      <w:r>
        <w:rPr>
          <w:rFonts w:cs="Arial"/>
          <w:szCs w:val="20"/>
          <w:lang w:val="sl-SI"/>
        </w:rPr>
        <w:t>še razvijajo</w:t>
      </w:r>
      <w:r w:rsidRPr="005771BD">
        <w:rPr>
          <w:rFonts w:cs="Arial"/>
          <w:szCs w:val="20"/>
          <w:lang w:val="sl-SI"/>
        </w:rPr>
        <w:t xml:space="preserve">, poleg tega je pri otrocih količina vdihanega zraka glede na telesno maso bistveno večja kot pri odraslih. </w:t>
      </w:r>
      <w:r w:rsidRPr="005771BD">
        <w:rPr>
          <w:rFonts w:eastAsiaTheme="minorHAnsi" w:cs="Arial"/>
          <w:szCs w:val="20"/>
          <w:lang w:val="sl-SI"/>
        </w:rPr>
        <w:t xml:space="preserve">Izpostavljenost povišanim koncentracijam delcev je povezana z večjo obolevnostjo otrok zaradi astme in dokazano povzroča pljučnega raka (IARC 2012). </w:t>
      </w:r>
    </w:p>
    <w:p w:rsidR="0057482E" w:rsidRPr="005771BD" w:rsidRDefault="0057482E" w:rsidP="0057482E">
      <w:pPr>
        <w:autoSpaceDE w:val="0"/>
        <w:autoSpaceDN w:val="0"/>
        <w:adjustRightInd w:val="0"/>
        <w:spacing w:line="276" w:lineRule="auto"/>
        <w:jc w:val="both"/>
        <w:rPr>
          <w:rFonts w:cs="Arial"/>
          <w:b/>
          <w:szCs w:val="20"/>
          <w:lang w:val="sl-SI"/>
        </w:rPr>
      </w:pPr>
    </w:p>
    <w:p w:rsidR="0057482E" w:rsidRPr="005771BD" w:rsidRDefault="0057482E" w:rsidP="0057482E">
      <w:pPr>
        <w:autoSpaceDE w:val="0"/>
        <w:autoSpaceDN w:val="0"/>
        <w:adjustRightInd w:val="0"/>
        <w:spacing w:after="200" w:line="276" w:lineRule="auto"/>
        <w:jc w:val="both"/>
        <w:rPr>
          <w:rFonts w:cs="Arial"/>
          <w:b/>
          <w:szCs w:val="20"/>
          <w:lang w:val="sl-SI"/>
        </w:rPr>
      </w:pPr>
      <w:r w:rsidRPr="005771BD">
        <w:rPr>
          <w:rFonts w:cs="Arial"/>
          <w:b/>
          <w:szCs w:val="20"/>
          <w:lang w:val="sl-SI"/>
        </w:rPr>
        <w:t>1</w:t>
      </w:r>
      <w:r w:rsidR="001A509D">
        <w:rPr>
          <w:rFonts w:cs="Arial"/>
          <w:b/>
          <w:szCs w:val="20"/>
          <w:lang w:val="sl-SI"/>
        </w:rPr>
        <w:t>6</w:t>
      </w:r>
      <w:r w:rsidRPr="005771BD">
        <w:rPr>
          <w:rFonts w:cs="Arial"/>
          <w:b/>
          <w:szCs w:val="20"/>
          <w:lang w:val="sl-SI"/>
        </w:rPr>
        <w:t xml:space="preserve">.4.1 Vplivi delcev (PM) na zdravje </w:t>
      </w:r>
    </w:p>
    <w:p w:rsidR="0057482E" w:rsidRPr="005771BD" w:rsidRDefault="0057482E" w:rsidP="0057482E">
      <w:pPr>
        <w:spacing w:line="276" w:lineRule="auto"/>
        <w:jc w:val="both"/>
        <w:rPr>
          <w:rFonts w:eastAsiaTheme="minorHAnsi" w:cs="Arial"/>
          <w:szCs w:val="20"/>
          <w:lang w:val="sl-SI"/>
        </w:rPr>
      </w:pPr>
      <w:r>
        <w:rPr>
          <w:rFonts w:eastAsiaTheme="minorHAnsi" w:cs="Arial"/>
          <w:szCs w:val="20"/>
          <w:lang w:val="sl-SI"/>
        </w:rPr>
        <w:t>Glede</w:t>
      </w:r>
      <w:r w:rsidRPr="005771BD">
        <w:rPr>
          <w:rFonts w:eastAsiaTheme="minorHAnsi" w:cs="Arial"/>
          <w:szCs w:val="20"/>
          <w:lang w:val="sl-SI"/>
        </w:rPr>
        <w:t xml:space="preserve"> vplivov na zdravje sta zelo pomembn</w:t>
      </w:r>
      <w:r>
        <w:rPr>
          <w:rFonts w:eastAsiaTheme="minorHAnsi" w:cs="Arial"/>
          <w:szCs w:val="20"/>
          <w:lang w:val="sl-SI"/>
        </w:rPr>
        <w:t>i</w:t>
      </w:r>
      <w:r w:rsidRPr="005771BD">
        <w:rPr>
          <w:rFonts w:eastAsiaTheme="minorHAnsi" w:cs="Arial"/>
          <w:szCs w:val="20"/>
          <w:lang w:val="sl-SI"/>
        </w:rPr>
        <w:t xml:space="preserve"> velikost in sestava delcev. Delci, večji od 10 µm, se zadržijo v zgornjih dihalnih poteh (nos, obnosne votline). Delci, manjši od 10 µm, dosežejo spodnje dihalne poti, delci, manjši od 2,5 µm, prodrejo v pljučne mešičke, od koder lahko vstopijo v krvni obtok, medtem ko lahko ultra fini (ali nano) delci (premer pod 0,1 µm) v nosno</w:t>
      </w:r>
      <w:r>
        <w:rPr>
          <w:rFonts w:eastAsiaTheme="minorHAnsi" w:cs="Arial"/>
          <w:szCs w:val="20"/>
          <w:lang w:val="sl-SI"/>
        </w:rPr>
        <w:t>-</w:t>
      </w:r>
      <w:r w:rsidRPr="005771BD">
        <w:rPr>
          <w:rFonts w:eastAsiaTheme="minorHAnsi" w:cs="Arial"/>
          <w:szCs w:val="20"/>
          <w:lang w:val="sl-SI"/>
        </w:rPr>
        <w:t>žrelnem prostoru prek vohalnega živca vstopijo v možgane. Viri ultrafinih delcev v zunanjem zraku so poleg antropogenih dejavnosti (industrija, promet, kurišča, varjenje, brušenje, ognjemeti) tudi naravni vzroki (</w:t>
      </w:r>
      <w:r>
        <w:rPr>
          <w:rFonts w:eastAsiaTheme="minorHAnsi" w:cs="Arial"/>
          <w:szCs w:val="20"/>
          <w:lang w:val="sl-SI"/>
        </w:rPr>
        <w:t>izbruhi</w:t>
      </w:r>
      <w:r w:rsidRPr="005771BD">
        <w:rPr>
          <w:rFonts w:eastAsiaTheme="minorHAnsi" w:cs="Arial"/>
          <w:szCs w:val="20"/>
          <w:lang w:val="sl-SI"/>
        </w:rPr>
        <w:t xml:space="preserve"> vulkanov, erozija), v notranjem zraku pa zaradi prižiganja sveč, kajenja, kuhanja, kurjenja v kaminih, uporabe električnih aparatov (štedilnika, likalnika, sesalca, kodral</w:t>
      </w:r>
      <w:r>
        <w:rPr>
          <w:rFonts w:eastAsiaTheme="minorHAnsi" w:cs="Arial"/>
          <w:szCs w:val="20"/>
          <w:lang w:val="sl-SI"/>
        </w:rPr>
        <w:t>nika</w:t>
      </w:r>
      <w:r w:rsidRPr="005771BD">
        <w:rPr>
          <w:rFonts w:eastAsiaTheme="minorHAnsi" w:cs="Arial"/>
          <w:szCs w:val="20"/>
          <w:lang w:val="sl-SI"/>
        </w:rPr>
        <w:t xml:space="preserve"> las), uporabe osvežilcev zraka, laserskih </w:t>
      </w:r>
      <w:r>
        <w:rPr>
          <w:rFonts w:eastAsiaTheme="minorHAnsi" w:cs="Arial"/>
          <w:szCs w:val="20"/>
          <w:lang w:val="sl-SI"/>
        </w:rPr>
        <w:t>tiskalnikov</w:t>
      </w:r>
      <w:r w:rsidRPr="005771BD">
        <w:rPr>
          <w:rFonts w:eastAsiaTheme="minorHAnsi" w:cs="Arial"/>
          <w:szCs w:val="20"/>
          <w:lang w:val="sl-SI"/>
        </w:rPr>
        <w:t xml:space="preserve">. V veliki večini je glavna </w:t>
      </w:r>
      <w:r>
        <w:rPr>
          <w:rFonts w:eastAsiaTheme="minorHAnsi" w:cs="Arial"/>
          <w:szCs w:val="20"/>
          <w:lang w:val="sl-SI"/>
        </w:rPr>
        <w:t>sestavina</w:t>
      </w:r>
      <w:r w:rsidRPr="005771BD">
        <w:rPr>
          <w:rFonts w:eastAsiaTheme="minorHAnsi" w:cs="Arial"/>
          <w:szCs w:val="20"/>
          <w:lang w:val="sl-SI"/>
        </w:rPr>
        <w:t xml:space="preserve"> delcev ogljik, na katerega so lahko vezane tudi druge snovi</w:t>
      </w:r>
      <w:r>
        <w:rPr>
          <w:rFonts w:eastAsiaTheme="minorHAnsi" w:cs="Arial"/>
          <w:szCs w:val="20"/>
          <w:lang w:val="sl-SI"/>
        </w:rPr>
        <w:t xml:space="preserve"> iz</w:t>
      </w:r>
      <w:r w:rsidRPr="005771BD">
        <w:rPr>
          <w:rFonts w:eastAsiaTheme="minorHAnsi" w:cs="Arial"/>
          <w:szCs w:val="20"/>
          <w:lang w:val="sl-SI"/>
        </w:rPr>
        <w:t xml:space="preserve"> zrak</w:t>
      </w:r>
      <w:r>
        <w:rPr>
          <w:rFonts w:eastAsiaTheme="minorHAnsi" w:cs="Arial"/>
          <w:szCs w:val="20"/>
          <w:lang w:val="sl-SI"/>
        </w:rPr>
        <w:t>a</w:t>
      </w:r>
      <w:r w:rsidRPr="005771BD">
        <w:rPr>
          <w:rFonts w:eastAsiaTheme="minorHAnsi" w:cs="Arial"/>
          <w:szCs w:val="20"/>
          <w:lang w:val="sl-SI"/>
        </w:rPr>
        <w:t>, ki se lahko v dihalih sprostijo, poškodujejo pljučno tkivo in lahko preidejo v kri. Za zdravje so nevarne predvsem:</w:t>
      </w:r>
    </w:p>
    <w:p w:rsidR="0057482E" w:rsidRPr="005771BD" w:rsidRDefault="0057482E" w:rsidP="0057482E">
      <w:pPr>
        <w:numPr>
          <w:ilvl w:val="0"/>
          <w:numId w:val="69"/>
        </w:numPr>
        <w:spacing w:after="200" w:line="276" w:lineRule="auto"/>
        <w:ind w:left="284" w:hanging="284"/>
        <w:contextualSpacing/>
        <w:jc w:val="both"/>
        <w:rPr>
          <w:rFonts w:eastAsiaTheme="minorHAnsi" w:cs="Arial"/>
          <w:szCs w:val="20"/>
          <w:lang w:val="sl-SI"/>
        </w:rPr>
      </w:pPr>
      <w:r w:rsidRPr="005771BD">
        <w:rPr>
          <w:rFonts w:eastAsiaTheme="minorHAnsi" w:cs="Arial"/>
          <w:szCs w:val="20"/>
          <w:lang w:val="sl-SI"/>
        </w:rPr>
        <w:t>strupene kovine/elementi (železo, baker, svinec, kadmij, nikelj, arzen, živo srebro)</w:t>
      </w:r>
      <w:r>
        <w:rPr>
          <w:rFonts w:eastAsiaTheme="minorHAnsi" w:cs="Arial"/>
          <w:szCs w:val="20"/>
          <w:lang w:val="sl-SI"/>
        </w:rPr>
        <w:t>, ki</w:t>
      </w:r>
      <w:r w:rsidRPr="005771BD">
        <w:rPr>
          <w:rFonts w:eastAsiaTheme="minorHAnsi" w:cs="Arial"/>
          <w:szCs w:val="20"/>
          <w:lang w:val="sl-SI"/>
        </w:rPr>
        <w:t xml:space="preserve"> poškodujejo dedni material, povzročijo vnetje</w:t>
      </w:r>
      <w:r>
        <w:rPr>
          <w:rFonts w:eastAsiaTheme="minorHAnsi" w:cs="Arial"/>
          <w:szCs w:val="20"/>
          <w:lang w:val="sl-SI"/>
        </w:rPr>
        <w:t>,</w:t>
      </w:r>
    </w:p>
    <w:p w:rsidR="0057482E" w:rsidRPr="005771BD" w:rsidRDefault="0057482E" w:rsidP="0057482E">
      <w:pPr>
        <w:numPr>
          <w:ilvl w:val="0"/>
          <w:numId w:val="69"/>
        </w:numPr>
        <w:spacing w:after="200" w:line="276" w:lineRule="auto"/>
        <w:ind w:left="284" w:hanging="284"/>
        <w:jc w:val="both"/>
        <w:rPr>
          <w:rFonts w:eastAsiaTheme="minorHAnsi" w:cs="Arial"/>
          <w:szCs w:val="20"/>
          <w:lang w:val="sl-SI"/>
        </w:rPr>
      </w:pPr>
      <w:r w:rsidRPr="005771BD">
        <w:rPr>
          <w:rFonts w:eastAsiaTheme="minorHAnsi" w:cs="Arial"/>
          <w:szCs w:val="20"/>
          <w:lang w:val="sl-SI"/>
        </w:rPr>
        <w:t>organske spojine (npr. policiklični aromatski ogljikovodiki, PAH)</w:t>
      </w:r>
      <w:r>
        <w:rPr>
          <w:rFonts w:eastAsiaTheme="minorHAnsi" w:cs="Arial"/>
          <w:szCs w:val="20"/>
          <w:lang w:val="sl-SI"/>
        </w:rPr>
        <w:t xml:space="preserve">, ki </w:t>
      </w:r>
      <w:r w:rsidRPr="005771BD">
        <w:rPr>
          <w:rFonts w:eastAsiaTheme="minorHAnsi" w:cs="Arial"/>
          <w:szCs w:val="20"/>
          <w:lang w:val="sl-SI"/>
        </w:rPr>
        <w:t>poškodujejo dedni material, so rakotvorne).</w:t>
      </w:r>
    </w:p>
    <w:p w:rsidR="0057482E" w:rsidRPr="005771BD" w:rsidRDefault="0057482E" w:rsidP="0057482E">
      <w:pPr>
        <w:spacing w:after="200" w:line="276" w:lineRule="auto"/>
        <w:jc w:val="both"/>
        <w:rPr>
          <w:rFonts w:eastAsiaTheme="minorHAnsi" w:cs="Arial"/>
          <w:szCs w:val="20"/>
          <w:lang w:val="sl-SI"/>
        </w:rPr>
      </w:pPr>
      <w:r w:rsidRPr="005771BD">
        <w:rPr>
          <w:rFonts w:eastAsiaTheme="minorHAnsi" w:cs="Arial"/>
          <w:szCs w:val="20"/>
          <w:lang w:val="sl-SI"/>
        </w:rPr>
        <w:t>Delci sprožijo v dihalih oksidativni stres in vnetje, večjo odzivnost dihal, kašelj in oteženo dihanje ter povzročijo poslabšanje obstoječih akutnih in kroničnih bolezni dihal, npr. KOPB in astm</w:t>
      </w:r>
      <w:r>
        <w:rPr>
          <w:rFonts w:eastAsiaTheme="minorHAnsi" w:cs="Arial"/>
          <w:szCs w:val="20"/>
          <w:lang w:val="sl-SI"/>
        </w:rPr>
        <w:t>o</w:t>
      </w:r>
      <w:r w:rsidRPr="005771BD">
        <w:rPr>
          <w:rFonts w:eastAsiaTheme="minorHAnsi" w:cs="Arial"/>
          <w:szCs w:val="20"/>
          <w:lang w:val="sl-SI"/>
        </w:rPr>
        <w:t>. Delci, ki zaradi velikosti vstopijo v krvni obtok, vplivajo na večjo viskoznost krvi, kar lahko povzroči nastanek krvnih strdkov, povečan krvni tlak,</w:t>
      </w:r>
      <w:r>
        <w:rPr>
          <w:rFonts w:eastAsiaTheme="minorHAnsi" w:cs="Arial"/>
          <w:szCs w:val="20"/>
          <w:lang w:val="sl-SI"/>
        </w:rPr>
        <w:t xml:space="preserve"> </w:t>
      </w:r>
      <w:r w:rsidRPr="005771BD">
        <w:rPr>
          <w:rFonts w:eastAsiaTheme="minorHAnsi" w:cs="Arial"/>
          <w:szCs w:val="20"/>
          <w:lang w:val="sl-SI"/>
        </w:rPr>
        <w:t>ateroskleroz</w:t>
      </w:r>
      <w:r>
        <w:rPr>
          <w:rFonts w:eastAsiaTheme="minorHAnsi" w:cs="Arial"/>
          <w:szCs w:val="20"/>
          <w:lang w:val="sl-SI"/>
        </w:rPr>
        <w:t>o</w:t>
      </w:r>
      <w:r w:rsidRPr="005771BD">
        <w:rPr>
          <w:rFonts w:eastAsiaTheme="minorHAnsi" w:cs="Arial"/>
          <w:szCs w:val="20"/>
          <w:lang w:val="sl-SI"/>
        </w:rPr>
        <w:t xml:space="preserve"> in posledično motnje srčnega ritma, srčni infarkt in možgansko kap. Toksikološke študije nanodelcev so pokazale, da </w:t>
      </w:r>
      <w:r>
        <w:rPr>
          <w:rFonts w:eastAsiaTheme="minorHAnsi" w:cs="Arial"/>
          <w:szCs w:val="20"/>
          <w:lang w:val="sl-SI"/>
        </w:rPr>
        <w:t xml:space="preserve">delci, ki </w:t>
      </w:r>
      <w:r w:rsidRPr="005771BD">
        <w:rPr>
          <w:rFonts w:eastAsiaTheme="minorHAnsi" w:cs="Arial"/>
          <w:szCs w:val="20"/>
          <w:lang w:val="sl-SI"/>
        </w:rPr>
        <w:t>povzročajo oksidativni stres in vnetja v različnih tkivih in organih, lahko poškodujejo DNK in povzročajo nastanek tumorjev. Zelo malo je znanega o dolgoročnih učinkih nanodelcev na zdravje. Znano je, da so toksični za bakterije, alge, nevretenčarje in ribe ter sesalce (ENRHES 2009).</w:t>
      </w:r>
    </w:p>
    <w:p w:rsidR="0057482E" w:rsidRPr="005771BD" w:rsidRDefault="0057482E" w:rsidP="0057482E">
      <w:pPr>
        <w:spacing w:line="276" w:lineRule="auto"/>
        <w:jc w:val="both"/>
        <w:rPr>
          <w:rFonts w:eastAsiaTheme="minorHAnsi" w:cs="Arial"/>
          <w:b/>
          <w:szCs w:val="20"/>
          <w:lang w:val="sl-SI"/>
        </w:rPr>
      </w:pPr>
    </w:p>
    <w:p w:rsidR="0057482E" w:rsidRPr="005771BD" w:rsidRDefault="0057482E" w:rsidP="0057482E">
      <w:pPr>
        <w:spacing w:after="200" w:line="276" w:lineRule="auto"/>
        <w:jc w:val="both"/>
        <w:rPr>
          <w:rFonts w:eastAsiaTheme="minorHAnsi" w:cs="Arial"/>
          <w:b/>
          <w:szCs w:val="20"/>
          <w:lang w:val="sl-SI"/>
        </w:rPr>
      </w:pPr>
      <w:r w:rsidRPr="005771BD">
        <w:rPr>
          <w:rFonts w:eastAsiaTheme="minorHAnsi" w:cs="Arial"/>
          <w:b/>
          <w:szCs w:val="20"/>
          <w:lang w:val="sl-SI"/>
        </w:rPr>
        <w:t>1</w:t>
      </w:r>
      <w:r w:rsidR="001A509D">
        <w:rPr>
          <w:rFonts w:eastAsiaTheme="minorHAnsi" w:cs="Arial"/>
          <w:b/>
          <w:szCs w:val="20"/>
          <w:lang w:val="sl-SI"/>
        </w:rPr>
        <w:t>6</w:t>
      </w:r>
      <w:r w:rsidRPr="005771BD">
        <w:rPr>
          <w:rFonts w:eastAsiaTheme="minorHAnsi" w:cs="Arial"/>
          <w:b/>
          <w:szCs w:val="20"/>
          <w:lang w:val="sl-SI"/>
        </w:rPr>
        <w:t>.4.2 Okoljsko breme bolezni zaradi izpostavljenosti onesnaženemu zraku</w:t>
      </w:r>
    </w:p>
    <w:p w:rsidR="0057482E" w:rsidRPr="005771BD" w:rsidRDefault="0057482E" w:rsidP="0057482E">
      <w:pPr>
        <w:spacing w:after="200" w:line="276" w:lineRule="auto"/>
        <w:jc w:val="both"/>
        <w:rPr>
          <w:rFonts w:eastAsiaTheme="minorHAnsi" w:cs="Arial"/>
          <w:szCs w:val="20"/>
          <w:u w:val="single"/>
          <w:lang w:val="sl-SI"/>
        </w:rPr>
      </w:pPr>
      <w:r w:rsidRPr="005771BD">
        <w:rPr>
          <w:rFonts w:eastAsiaTheme="minorHAnsi" w:cs="Arial"/>
          <w:szCs w:val="20"/>
          <w:u w:val="single"/>
          <w:lang w:val="sl-SI"/>
        </w:rPr>
        <w:t>Stanje v svetu</w:t>
      </w:r>
    </w:p>
    <w:p w:rsidR="0057482E" w:rsidRPr="005771BD" w:rsidRDefault="0057482E" w:rsidP="0057482E">
      <w:pPr>
        <w:spacing w:after="200" w:line="276" w:lineRule="auto"/>
        <w:jc w:val="both"/>
        <w:rPr>
          <w:rFonts w:eastAsiaTheme="minorHAnsi" w:cs="Arial"/>
          <w:szCs w:val="20"/>
          <w:lang w:val="sl-SI"/>
        </w:rPr>
      </w:pPr>
      <w:r w:rsidRPr="005771BD">
        <w:rPr>
          <w:rFonts w:eastAsiaTheme="minorHAnsi" w:cs="Arial"/>
          <w:szCs w:val="20"/>
          <w:lang w:val="sl-SI"/>
        </w:rPr>
        <w:t>Bolezni dihal p</w:t>
      </w:r>
      <w:r>
        <w:rPr>
          <w:rFonts w:eastAsiaTheme="minorHAnsi" w:cs="Arial"/>
          <w:szCs w:val="20"/>
          <w:lang w:val="sl-SI"/>
        </w:rPr>
        <w:t>omenijo</w:t>
      </w:r>
      <w:r w:rsidRPr="005771BD">
        <w:rPr>
          <w:rFonts w:eastAsiaTheme="minorHAnsi" w:cs="Arial"/>
          <w:szCs w:val="20"/>
          <w:lang w:val="sl-SI"/>
        </w:rPr>
        <w:t xml:space="preserve"> več kot 6 % </w:t>
      </w:r>
      <w:r>
        <w:rPr>
          <w:rFonts w:eastAsiaTheme="minorHAnsi" w:cs="Arial"/>
          <w:szCs w:val="20"/>
          <w:lang w:val="sl-SI"/>
        </w:rPr>
        <w:t>svetovnega</w:t>
      </w:r>
      <w:r w:rsidRPr="005771BD">
        <w:rPr>
          <w:rFonts w:eastAsiaTheme="minorHAnsi" w:cs="Arial"/>
          <w:szCs w:val="20"/>
          <w:lang w:val="sl-SI"/>
        </w:rPr>
        <w:t xml:space="preserve"> bremena bolezni in so vzrok za več umrljivosti in obolevnosti kot vsa maligna obolenja skupaj. Bolezni dihal so vzrok za 13 % vseh obiskov v bolnišnicah (ARSO 2015d). Najpogostejša kronična bolezen pri otrocih in najpogostejši vzrok hospitalizacij za otroke do 15. leta je astma. V obdobju 1999</w:t>
      </w:r>
      <w:r>
        <w:rPr>
          <w:rFonts w:eastAsiaTheme="minorHAnsi" w:cs="Arial"/>
          <w:szCs w:val="20"/>
          <w:lang w:val="sl-SI"/>
        </w:rPr>
        <w:t>–</w:t>
      </w:r>
      <w:r w:rsidRPr="005771BD">
        <w:rPr>
          <w:rFonts w:eastAsiaTheme="minorHAnsi" w:cs="Arial"/>
          <w:szCs w:val="20"/>
          <w:lang w:val="sl-SI"/>
        </w:rPr>
        <w:t xml:space="preserve">2004 </w:t>
      </w:r>
      <w:r>
        <w:rPr>
          <w:rFonts w:eastAsiaTheme="minorHAnsi" w:cs="Arial"/>
          <w:szCs w:val="20"/>
          <w:lang w:val="sl-SI"/>
        </w:rPr>
        <w:t xml:space="preserve">se </w:t>
      </w:r>
      <w:r w:rsidRPr="005771BD">
        <w:rPr>
          <w:rFonts w:eastAsiaTheme="minorHAnsi" w:cs="Arial"/>
          <w:szCs w:val="20"/>
          <w:lang w:val="sl-SI"/>
        </w:rPr>
        <w:t xml:space="preserve">je v posameznih državah Evrope delež otrok, obolelih za astmo, </w:t>
      </w:r>
      <w:r>
        <w:rPr>
          <w:rFonts w:eastAsiaTheme="minorHAnsi" w:cs="Arial"/>
          <w:szCs w:val="20"/>
          <w:lang w:val="sl-SI"/>
        </w:rPr>
        <w:t xml:space="preserve">povečal </w:t>
      </w:r>
      <w:r w:rsidRPr="005771BD">
        <w:rPr>
          <w:rFonts w:eastAsiaTheme="minorHAnsi" w:cs="Arial"/>
          <w:szCs w:val="20"/>
          <w:lang w:val="sl-SI"/>
        </w:rPr>
        <w:t>od manj kot 5 % do več kot 20 % (ARSO 2015e).</w:t>
      </w:r>
    </w:p>
    <w:p w:rsidR="0057482E" w:rsidRPr="005771BD" w:rsidRDefault="0057482E" w:rsidP="0057482E">
      <w:pPr>
        <w:spacing w:after="200" w:line="276" w:lineRule="auto"/>
        <w:jc w:val="both"/>
        <w:rPr>
          <w:rFonts w:eastAsiaTheme="minorHAnsi" w:cs="Arial"/>
          <w:szCs w:val="20"/>
          <w:lang w:val="sl-SI"/>
        </w:rPr>
      </w:pPr>
      <w:r w:rsidRPr="005771BD">
        <w:rPr>
          <w:rFonts w:eastAsiaTheme="minorHAnsi" w:cs="Arial"/>
          <w:szCs w:val="20"/>
          <w:lang w:val="sl-SI"/>
        </w:rPr>
        <w:t xml:space="preserve">Po ocenah Svetovne zdravstvene organizacije je zaradi izpostavljenosti onesnaženemu zraku v letu 2012 v svetovnem merilu umrlo 3,7 milijona ljudi, kar </w:t>
      </w:r>
      <w:r>
        <w:rPr>
          <w:rFonts w:eastAsiaTheme="minorHAnsi" w:cs="Arial"/>
          <w:szCs w:val="20"/>
          <w:lang w:val="sl-SI"/>
        </w:rPr>
        <w:t>je</w:t>
      </w:r>
      <w:r w:rsidRPr="005771BD">
        <w:rPr>
          <w:rFonts w:eastAsiaTheme="minorHAnsi" w:cs="Arial"/>
          <w:szCs w:val="20"/>
          <w:lang w:val="sl-SI"/>
        </w:rPr>
        <w:t xml:space="preserve"> 6,7</w:t>
      </w:r>
      <w:r>
        <w:rPr>
          <w:rFonts w:eastAsiaTheme="minorHAnsi" w:cs="Arial"/>
          <w:szCs w:val="20"/>
          <w:lang w:val="sl-SI"/>
        </w:rPr>
        <w:t xml:space="preserve"> </w:t>
      </w:r>
      <w:r w:rsidRPr="005771BD">
        <w:rPr>
          <w:rFonts w:eastAsiaTheme="minorHAnsi" w:cs="Arial"/>
          <w:szCs w:val="20"/>
          <w:lang w:val="sl-SI"/>
        </w:rPr>
        <w:t xml:space="preserve">% vseh smrti. Ocenjuje se, da je </w:t>
      </w:r>
      <w:r>
        <w:rPr>
          <w:rFonts w:eastAsiaTheme="minorHAnsi" w:cs="Arial"/>
          <w:szCs w:val="20"/>
          <w:lang w:val="sl-SI"/>
        </w:rPr>
        <w:t xml:space="preserve">v svetu </w:t>
      </w:r>
      <w:r w:rsidRPr="005771BD">
        <w:rPr>
          <w:rFonts w:eastAsiaTheme="minorHAnsi" w:cs="Arial"/>
          <w:szCs w:val="20"/>
          <w:lang w:val="sl-SI"/>
        </w:rPr>
        <w:t xml:space="preserve">z izpostavljenostjo onesnaženemu zraku povezano 16 % smrti zaradi pljučnega raka, 11 % smrti zaradi KOPB, več kot 20 % smrti zaradi ishemične bolezni srca in kapi ter okoli 13 % smrti zaradi respiratornih infekcijskih bolezni (WHO 2014). V Evropi je umrljivost zaradi bolezni dihal upadla za 23 %, to je </w:t>
      </w:r>
      <w:r>
        <w:rPr>
          <w:rFonts w:eastAsiaTheme="minorHAnsi" w:cs="Arial"/>
          <w:szCs w:val="20"/>
          <w:lang w:val="sl-SI"/>
        </w:rPr>
        <w:t>z</w:t>
      </w:r>
      <w:r w:rsidRPr="005771BD">
        <w:rPr>
          <w:rFonts w:eastAsiaTheme="minorHAnsi" w:cs="Arial"/>
          <w:szCs w:val="20"/>
          <w:lang w:val="sl-SI"/>
        </w:rPr>
        <w:t xml:space="preserve"> 62,9/100.000 prebivalcev v letu 1999 na 48,5/100.000 prebivalcev v letu 2008 (ARSO 2015d). Od vseh umrlih dojenčkov jih v Evropi 12,9 % umre zaradi bolezni dihal. Umrljivost dojenčkov zaradi bolezni dihal je eden od kazalcev, ki posredno </w:t>
      </w:r>
      <w:r>
        <w:rPr>
          <w:rFonts w:eastAsiaTheme="minorHAnsi" w:cs="Arial"/>
          <w:szCs w:val="20"/>
          <w:lang w:val="sl-SI"/>
        </w:rPr>
        <w:t>kaže vpliv</w:t>
      </w:r>
      <w:r w:rsidRPr="005771BD">
        <w:rPr>
          <w:rFonts w:eastAsiaTheme="minorHAnsi" w:cs="Arial"/>
          <w:szCs w:val="20"/>
          <w:lang w:val="sl-SI"/>
        </w:rPr>
        <w:t xml:space="preserve"> izpostavljenosti negativnim okoljskim dejavnikom na zdravje otrok. Stopnja umrljivosti dojenčkov zaradi bolezni dihal je odvisna od različnih dejavnikov, vključno s kakovostjo notranjega in zunanjega zraka (ARSO 2015f). </w:t>
      </w:r>
    </w:p>
    <w:p w:rsidR="0057482E" w:rsidRPr="005771BD" w:rsidRDefault="0057482E" w:rsidP="0057482E">
      <w:pPr>
        <w:spacing w:after="200" w:line="276" w:lineRule="auto"/>
        <w:jc w:val="both"/>
        <w:rPr>
          <w:rFonts w:eastAsiaTheme="minorHAnsi" w:cs="Arial"/>
          <w:szCs w:val="20"/>
          <w:u w:val="single"/>
          <w:lang w:val="sl-SI"/>
        </w:rPr>
      </w:pPr>
      <w:r w:rsidRPr="005771BD">
        <w:rPr>
          <w:rFonts w:eastAsiaTheme="minorHAnsi" w:cs="Arial"/>
          <w:szCs w:val="20"/>
          <w:u w:val="single"/>
          <w:lang w:val="sl-SI"/>
        </w:rPr>
        <w:t>Stanje v Sloveniji</w:t>
      </w:r>
    </w:p>
    <w:p w:rsidR="0057482E" w:rsidRPr="005771BD" w:rsidRDefault="0057482E" w:rsidP="0057482E">
      <w:pPr>
        <w:spacing w:after="200" w:line="276" w:lineRule="auto"/>
        <w:jc w:val="both"/>
        <w:rPr>
          <w:rFonts w:eastAsiaTheme="minorHAnsi" w:cs="Arial"/>
          <w:szCs w:val="20"/>
          <w:lang w:val="sl-SI"/>
        </w:rPr>
      </w:pPr>
      <w:r w:rsidRPr="005771BD">
        <w:rPr>
          <w:rFonts w:eastAsiaTheme="minorHAnsi" w:cs="Arial"/>
          <w:szCs w:val="20"/>
          <w:lang w:val="sl-SI"/>
        </w:rPr>
        <w:t xml:space="preserve">Onesnaženost zunanjega zraka z delci je povezana z večjo obolevnostjo in umrljivostjo za boleznimi dihal </w:t>
      </w:r>
      <w:r>
        <w:rPr>
          <w:rFonts w:eastAsiaTheme="minorHAnsi" w:cs="Arial"/>
          <w:szCs w:val="20"/>
          <w:lang w:val="sl-SI"/>
        </w:rPr>
        <w:t>ter</w:t>
      </w:r>
      <w:r w:rsidRPr="005771BD">
        <w:rPr>
          <w:rFonts w:eastAsiaTheme="minorHAnsi" w:cs="Arial"/>
          <w:szCs w:val="20"/>
          <w:lang w:val="sl-SI"/>
        </w:rPr>
        <w:t xml:space="preserve"> boleznimi srca in ožilja. Tveganje se poveča za 1,01 za vsakih 10 μg/m</w:t>
      </w:r>
      <w:r w:rsidRPr="005771BD">
        <w:rPr>
          <w:rFonts w:eastAsiaTheme="minorHAnsi" w:cs="Arial"/>
          <w:szCs w:val="20"/>
          <w:vertAlign w:val="superscript"/>
          <w:lang w:val="sl-SI"/>
        </w:rPr>
        <w:t>3</w:t>
      </w:r>
      <w:r w:rsidRPr="005771BD">
        <w:rPr>
          <w:rFonts w:eastAsiaTheme="minorHAnsi" w:cs="Arial"/>
          <w:szCs w:val="20"/>
          <w:lang w:val="sl-SI"/>
        </w:rPr>
        <w:t>, zato vsako zmanjšanje koncentracije delcev v ozračju pomembno prispeva k izboljšanju zdravja prebivalcev (NIJZ 2016a).</w:t>
      </w:r>
    </w:p>
    <w:p w:rsidR="0057482E" w:rsidRPr="005771BD" w:rsidRDefault="0057482E" w:rsidP="0057482E">
      <w:pPr>
        <w:spacing w:after="200" w:line="276" w:lineRule="auto"/>
        <w:jc w:val="both"/>
        <w:rPr>
          <w:rFonts w:eastAsiaTheme="minorHAnsi" w:cs="Arial"/>
          <w:szCs w:val="20"/>
          <w:lang w:val="sl-SI"/>
        </w:rPr>
      </w:pPr>
      <w:r w:rsidRPr="005771BD">
        <w:rPr>
          <w:rFonts w:eastAsiaTheme="minorHAnsi" w:cs="Arial"/>
          <w:szCs w:val="20"/>
          <w:lang w:val="sl-SI"/>
        </w:rPr>
        <w:t>Analize kažejo, da je v Sloveniji približno štiri petine otrok izpostavljenih negativnim vplivom zaradi povečane letne koncentracije delcev (več kot 21 µg/m</w:t>
      </w:r>
      <w:r w:rsidRPr="005771BD">
        <w:rPr>
          <w:rFonts w:eastAsiaTheme="minorHAnsi" w:cs="Arial"/>
          <w:szCs w:val="20"/>
          <w:vertAlign w:val="superscript"/>
          <w:lang w:val="sl-SI"/>
        </w:rPr>
        <w:t>3</w:t>
      </w:r>
      <w:r w:rsidRPr="005771BD">
        <w:rPr>
          <w:rFonts w:eastAsiaTheme="minorHAnsi" w:cs="Arial"/>
          <w:szCs w:val="20"/>
          <w:lang w:val="sl-SI"/>
        </w:rPr>
        <w:t>). Število sprejemov v bolnišnico zaradi bolezni dihal otrok, starih od 0</w:t>
      </w:r>
      <w:r>
        <w:rPr>
          <w:rFonts w:eastAsiaTheme="minorHAnsi" w:cs="Arial"/>
          <w:szCs w:val="20"/>
          <w:lang w:val="sl-SI"/>
        </w:rPr>
        <w:t xml:space="preserve"> do </w:t>
      </w:r>
      <w:r w:rsidRPr="005771BD">
        <w:rPr>
          <w:rFonts w:eastAsiaTheme="minorHAnsi" w:cs="Arial"/>
          <w:szCs w:val="20"/>
          <w:lang w:val="sl-SI"/>
        </w:rPr>
        <w:t>15 let, predstavlja dobrih 15 % vseh sprejemov otrok v bolnišnico v Sloveniji, podatek o obsegu obolevnosti dihal zaradi onesnaženosti zraka se rutinsko ne spremlja, se pa lahko izračuna z modelnimi izračuni. To število bi bilo večje, če ti bolniki ne bi redno obiskovali in preje</w:t>
      </w:r>
      <w:r>
        <w:rPr>
          <w:rFonts w:eastAsiaTheme="minorHAnsi" w:cs="Arial"/>
          <w:szCs w:val="20"/>
          <w:lang w:val="sl-SI"/>
        </w:rPr>
        <w:t>ma</w:t>
      </w:r>
      <w:r w:rsidRPr="005771BD">
        <w:rPr>
          <w:rFonts w:eastAsiaTheme="minorHAnsi" w:cs="Arial"/>
          <w:szCs w:val="20"/>
          <w:lang w:val="sl-SI"/>
        </w:rPr>
        <w:t>li ustrezne terapije že pri svojih zdravnikih. Izračun Svetovne zdravstvene organizacije kaže, da bi se število sprejemov otrok (starih od 0</w:t>
      </w:r>
      <w:r>
        <w:rPr>
          <w:rFonts w:eastAsiaTheme="minorHAnsi" w:cs="Arial"/>
          <w:szCs w:val="20"/>
          <w:lang w:val="sl-SI"/>
        </w:rPr>
        <w:t xml:space="preserve"> do </w:t>
      </w:r>
      <w:r w:rsidRPr="005771BD">
        <w:rPr>
          <w:rFonts w:eastAsiaTheme="minorHAnsi" w:cs="Arial"/>
          <w:szCs w:val="20"/>
          <w:lang w:val="sl-SI"/>
        </w:rPr>
        <w:t>15 let) v bolnišnico zaradi bolezni dihal zmanjšalo za okoli 200, če bi bila povprečna letna koncentracija PM</w:t>
      </w:r>
      <w:r w:rsidRPr="005771BD">
        <w:rPr>
          <w:rFonts w:eastAsiaTheme="minorHAnsi" w:cs="Arial"/>
          <w:szCs w:val="20"/>
          <w:vertAlign w:val="subscript"/>
          <w:lang w:val="sl-SI"/>
        </w:rPr>
        <w:t>10</w:t>
      </w:r>
      <w:r w:rsidRPr="005771BD">
        <w:rPr>
          <w:rFonts w:eastAsiaTheme="minorHAnsi" w:cs="Arial"/>
          <w:szCs w:val="20"/>
          <w:lang w:val="sl-SI"/>
        </w:rPr>
        <w:t xml:space="preserve"> v Sloveniji manjša od 20 µg/m</w:t>
      </w:r>
      <w:r w:rsidRPr="005771BD">
        <w:rPr>
          <w:rFonts w:eastAsiaTheme="minorHAnsi" w:cs="Arial"/>
          <w:szCs w:val="20"/>
          <w:vertAlign w:val="superscript"/>
          <w:lang w:val="sl-SI"/>
        </w:rPr>
        <w:t>3</w:t>
      </w:r>
      <w:r w:rsidRPr="005771BD">
        <w:rPr>
          <w:rFonts w:eastAsiaTheme="minorHAnsi" w:cs="Arial"/>
          <w:szCs w:val="20"/>
          <w:lang w:val="sl-SI"/>
        </w:rPr>
        <w:t>. Z zmanjšanjem povprečne letne koncentracije delcev PM</w:t>
      </w:r>
      <w:r w:rsidRPr="005771BD">
        <w:rPr>
          <w:rFonts w:eastAsiaTheme="minorHAnsi" w:cs="Arial"/>
          <w:szCs w:val="20"/>
          <w:vertAlign w:val="subscript"/>
          <w:lang w:val="sl-SI"/>
        </w:rPr>
        <w:t>10</w:t>
      </w:r>
      <w:r w:rsidRPr="005771BD">
        <w:rPr>
          <w:rFonts w:eastAsiaTheme="minorHAnsi" w:cs="Arial"/>
          <w:szCs w:val="20"/>
          <w:lang w:val="sl-SI"/>
        </w:rPr>
        <w:t xml:space="preserve"> za 10 µg/m</w:t>
      </w:r>
      <w:r w:rsidRPr="005771BD">
        <w:rPr>
          <w:rFonts w:eastAsiaTheme="minorHAnsi" w:cs="Arial"/>
          <w:szCs w:val="20"/>
          <w:vertAlign w:val="superscript"/>
          <w:lang w:val="sl-SI"/>
        </w:rPr>
        <w:t>3</w:t>
      </w:r>
      <w:r w:rsidRPr="005771BD">
        <w:rPr>
          <w:rFonts w:eastAsiaTheme="minorHAnsi" w:cs="Arial"/>
          <w:szCs w:val="20"/>
          <w:lang w:val="sl-SI"/>
        </w:rPr>
        <w:t xml:space="preserve"> pa bi za 1,9 dni/leto/otroka skrajšali čas, ko imajo otroci, stari 5</w:t>
      </w:r>
      <w:r>
        <w:rPr>
          <w:rFonts w:eastAsiaTheme="minorHAnsi" w:cs="Arial"/>
          <w:szCs w:val="20"/>
          <w:lang w:val="sl-SI"/>
        </w:rPr>
        <w:t>–</w:t>
      </w:r>
      <w:r w:rsidRPr="005771BD">
        <w:rPr>
          <w:rFonts w:eastAsiaTheme="minorHAnsi" w:cs="Arial"/>
          <w:szCs w:val="20"/>
          <w:lang w:val="sl-SI"/>
        </w:rPr>
        <w:t xml:space="preserve">14 let, bolezni spodnjih dihal (sopenje, stiskanje v prsih, kratka sapa, kašelj) (NIJZ 2016a). </w:t>
      </w:r>
    </w:p>
    <w:p w:rsidR="0057482E" w:rsidRPr="005771BD" w:rsidRDefault="0057482E" w:rsidP="0057482E">
      <w:pPr>
        <w:spacing w:after="200" w:line="240" w:lineRule="auto"/>
        <w:jc w:val="both"/>
        <w:rPr>
          <w:rFonts w:eastAsiaTheme="minorHAnsi" w:cs="Arial"/>
          <w:i/>
          <w:szCs w:val="20"/>
          <w:lang w:val="sl-SI"/>
        </w:rPr>
      </w:pPr>
      <w:r w:rsidRPr="007F272F">
        <w:rPr>
          <w:rFonts w:eastAsiaTheme="minorHAnsi" w:cs="Arial"/>
          <w:i/>
          <w:noProof/>
          <w:szCs w:val="20"/>
          <w:lang w:val="sl-SI" w:eastAsia="sl-SI"/>
        </w:rPr>
        <w:drawing>
          <wp:inline distT="0" distB="0" distL="0" distR="0" wp14:anchorId="56415020" wp14:editId="22ABC86C">
            <wp:extent cx="5419725" cy="2877820"/>
            <wp:effectExtent l="0" t="0" r="9525" b="0"/>
            <wp:docPr id="652" name="Slika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419725" cy="2877820"/>
                    </a:xfrm>
                    <a:prstGeom prst="rect">
                      <a:avLst/>
                    </a:prstGeom>
                    <a:noFill/>
                  </pic:spPr>
                </pic:pic>
              </a:graphicData>
            </a:graphic>
          </wp:inline>
        </w:drawing>
      </w:r>
    </w:p>
    <w:p w:rsidR="0057482E" w:rsidRPr="005771BD" w:rsidRDefault="0057482E" w:rsidP="0057482E">
      <w:pPr>
        <w:spacing w:line="240" w:lineRule="auto"/>
        <w:jc w:val="center"/>
        <w:rPr>
          <w:rFonts w:eastAsiaTheme="minorHAnsi" w:cs="Arial"/>
          <w:i/>
          <w:szCs w:val="20"/>
          <w:lang w:val="sl-SI"/>
        </w:rPr>
      </w:pPr>
    </w:p>
    <w:p w:rsidR="0057482E" w:rsidRPr="005771BD" w:rsidRDefault="0057482E" w:rsidP="0057482E">
      <w:pPr>
        <w:spacing w:line="240" w:lineRule="auto"/>
        <w:jc w:val="both"/>
        <w:rPr>
          <w:rFonts w:eastAsiaTheme="minorHAnsi" w:cs="Arial"/>
          <w:bCs/>
          <w:i/>
          <w:szCs w:val="20"/>
          <w:lang w:val="sl-SI"/>
        </w:rPr>
      </w:pPr>
      <w:r w:rsidRPr="005771BD">
        <w:rPr>
          <w:rFonts w:eastAsiaTheme="minorHAnsi" w:cs="Arial"/>
          <w:i/>
          <w:szCs w:val="20"/>
          <w:lang w:val="sl-SI"/>
        </w:rPr>
        <w:t>Slika 1</w:t>
      </w:r>
      <w:r w:rsidR="001A509D">
        <w:rPr>
          <w:rFonts w:eastAsiaTheme="minorHAnsi" w:cs="Arial"/>
          <w:i/>
          <w:szCs w:val="20"/>
          <w:lang w:val="sl-SI"/>
        </w:rPr>
        <w:t>6</w:t>
      </w:r>
      <w:r w:rsidRPr="005771BD">
        <w:rPr>
          <w:rFonts w:eastAsiaTheme="minorHAnsi" w:cs="Arial"/>
          <w:i/>
          <w:szCs w:val="20"/>
          <w:lang w:val="sl-SI"/>
        </w:rPr>
        <w:t xml:space="preserve">.3: </w:t>
      </w:r>
      <w:r w:rsidRPr="005771BD">
        <w:rPr>
          <w:rFonts w:eastAsiaTheme="minorHAnsi" w:cs="Arial"/>
          <w:bCs/>
          <w:i/>
          <w:szCs w:val="20"/>
          <w:lang w:val="sl-SI"/>
        </w:rPr>
        <w:t>Izpostavljenost otrok (0</w:t>
      </w:r>
      <w:r>
        <w:rPr>
          <w:rFonts w:eastAsiaTheme="minorHAnsi" w:cs="Arial"/>
          <w:bCs/>
          <w:i/>
          <w:szCs w:val="20"/>
          <w:lang w:val="sl-SI"/>
        </w:rPr>
        <w:t>–</w:t>
      </w:r>
      <w:r w:rsidRPr="005771BD">
        <w:rPr>
          <w:rFonts w:eastAsiaTheme="minorHAnsi" w:cs="Arial"/>
          <w:bCs/>
          <w:i/>
          <w:szCs w:val="20"/>
          <w:lang w:val="sl-SI"/>
        </w:rPr>
        <w:t>15 let) povečanim koncentracijam delcev PM</w:t>
      </w:r>
      <w:r w:rsidRPr="005771BD">
        <w:rPr>
          <w:rFonts w:eastAsiaTheme="minorHAnsi" w:cs="Arial"/>
          <w:bCs/>
          <w:i/>
          <w:szCs w:val="20"/>
          <w:vertAlign w:val="subscript"/>
          <w:lang w:val="sl-SI"/>
        </w:rPr>
        <w:t>10</w:t>
      </w:r>
      <w:r w:rsidRPr="005771BD">
        <w:rPr>
          <w:rFonts w:eastAsiaTheme="minorHAnsi" w:cs="Arial"/>
          <w:bCs/>
          <w:i/>
          <w:szCs w:val="20"/>
          <w:lang w:val="sl-SI"/>
        </w:rPr>
        <w:t xml:space="preserve"> v zunanjem zraku, Slovenija, 2008</w:t>
      </w:r>
      <w:r>
        <w:rPr>
          <w:rFonts w:eastAsiaTheme="minorHAnsi" w:cs="Arial"/>
          <w:bCs/>
          <w:i/>
          <w:szCs w:val="20"/>
          <w:lang w:val="sl-SI"/>
        </w:rPr>
        <w:t>–</w:t>
      </w:r>
      <w:r w:rsidRPr="005771BD">
        <w:rPr>
          <w:rFonts w:eastAsiaTheme="minorHAnsi" w:cs="Arial"/>
          <w:bCs/>
          <w:i/>
          <w:szCs w:val="20"/>
          <w:lang w:val="sl-SI"/>
        </w:rPr>
        <w:t>2014 (mejna letna vrednost za PM</w:t>
      </w:r>
      <w:r w:rsidRPr="005771BD">
        <w:rPr>
          <w:rFonts w:eastAsiaTheme="minorHAnsi" w:cs="Arial"/>
          <w:bCs/>
          <w:i/>
          <w:szCs w:val="20"/>
          <w:vertAlign w:val="subscript"/>
          <w:lang w:val="sl-SI"/>
        </w:rPr>
        <w:t>10</w:t>
      </w:r>
      <w:r>
        <w:rPr>
          <w:rFonts w:eastAsiaTheme="minorHAnsi" w:cs="Arial"/>
          <w:bCs/>
          <w:i/>
          <w:szCs w:val="20"/>
          <w:vertAlign w:val="subscript"/>
          <w:lang w:val="sl-SI"/>
        </w:rPr>
        <w:t xml:space="preserve"> </w:t>
      </w:r>
      <w:r w:rsidRPr="005771BD">
        <w:rPr>
          <w:rFonts w:eastAsiaTheme="minorHAnsi" w:cs="Arial"/>
          <w:bCs/>
          <w:i/>
          <w:szCs w:val="20"/>
          <w:lang w:val="sl-SI"/>
        </w:rPr>
        <w:t>=</w:t>
      </w:r>
      <w:r>
        <w:rPr>
          <w:rFonts w:eastAsiaTheme="minorHAnsi" w:cs="Arial"/>
          <w:bCs/>
          <w:i/>
          <w:szCs w:val="20"/>
          <w:lang w:val="sl-SI"/>
        </w:rPr>
        <w:t xml:space="preserve"> </w:t>
      </w:r>
      <w:r w:rsidRPr="005771BD">
        <w:rPr>
          <w:rFonts w:eastAsiaTheme="minorHAnsi" w:cs="Arial"/>
          <w:bCs/>
          <w:i/>
          <w:szCs w:val="20"/>
          <w:lang w:val="sl-SI"/>
        </w:rPr>
        <w:t>40 µg/m</w:t>
      </w:r>
      <w:r w:rsidRPr="005771BD">
        <w:rPr>
          <w:rFonts w:eastAsiaTheme="minorHAnsi" w:cs="Arial"/>
          <w:bCs/>
          <w:i/>
          <w:szCs w:val="20"/>
          <w:vertAlign w:val="superscript"/>
          <w:lang w:val="sl-SI"/>
        </w:rPr>
        <w:t>3</w:t>
      </w:r>
      <w:r w:rsidRPr="005771BD">
        <w:rPr>
          <w:rFonts w:eastAsiaTheme="minorHAnsi" w:cs="Arial"/>
          <w:bCs/>
          <w:i/>
          <w:szCs w:val="20"/>
          <w:lang w:val="sl-SI"/>
        </w:rPr>
        <w:t>, po priporočilih WHO je mejna letna vrednost za PM</w:t>
      </w:r>
      <w:r w:rsidRPr="005771BD">
        <w:rPr>
          <w:rFonts w:eastAsiaTheme="minorHAnsi" w:cs="Arial"/>
          <w:bCs/>
          <w:i/>
          <w:szCs w:val="20"/>
          <w:vertAlign w:val="subscript"/>
          <w:lang w:val="sl-SI"/>
        </w:rPr>
        <w:t>10</w:t>
      </w:r>
      <w:r>
        <w:rPr>
          <w:rFonts w:eastAsiaTheme="minorHAnsi" w:cs="Arial"/>
          <w:bCs/>
          <w:i/>
          <w:szCs w:val="20"/>
          <w:vertAlign w:val="subscript"/>
          <w:lang w:val="sl-SI"/>
        </w:rPr>
        <w:t xml:space="preserve"> </w:t>
      </w:r>
      <w:r w:rsidRPr="005771BD">
        <w:rPr>
          <w:rFonts w:eastAsiaTheme="minorHAnsi" w:cs="Arial"/>
          <w:bCs/>
          <w:i/>
          <w:szCs w:val="20"/>
          <w:lang w:val="sl-SI"/>
        </w:rPr>
        <w:t>=</w:t>
      </w:r>
      <w:r>
        <w:rPr>
          <w:rFonts w:eastAsiaTheme="minorHAnsi" w:cs="Arial"/>
          <w:bCs/>
          <w:i/>
          <w:szCs w:val="20"/>
          <w:lang w:val="sl-SI"/>
        </w:rPr>
        <w:t xml:space="preserve"> </w:t>
      </w:r>
      <w:r w:rsidRPr="005771BD">
        <w:rPr>
          <w:rFonts w:eastAsiaTheme="minorHAnsi" w:cs="Arial"/>
          <w:bCs/>
          <w:i/>
          <w:szCs w:val="20"/>
          <w:lang w:val="sl-SI"/>
        </w:rPr>
        <w:t>20 µg/m</w:t>
      </w:r>
      <w:r w:rsidRPr="005771BD">
        <w:rPr>
          <w:rFonts w:eastAsiaTheme="minorHAnsi" w:cs="Arial"/>
          <w:bCs/>
          <w:i/>
          <w:szCs w:val="20"/>
          <w:vertAlign w:val="superscript"/>
          <w:lang w:val="sl-SI"/>
        </w:rPr>
        <w:t>3</w:t>
      </w:r>
      <w:r w:rsidRPr="005771BD">
        <w:rPr>
          <w:rFonts w:eastAsiaTheme="minorHAnsi" w:cs="Arial"/>
          <w:bCs/>
          <w:i/>
          <w:szCs w:val="20"/>
          <w:lang w:val="sl-SI"/>
        </w:rPr>
        <w:t xml:space="preserve">). </w:t>
      </w:r>
    </w:p>
    <w:p w:rsidR="0057482E" w:rsidRPr="005771BD" w:rsidRDefault="0057482E" w:rsidP="0057482E">
      <w:pPr>
        <w:spacing w:line="240" w:lineRule="auto"/>
        <w:jc w:val="both"/>
        <w:rPr>
          <w:rFonts w:eastAsiaTheme="minorHAnsi" w:cs="Arial"/>
          <w:sz w:val="18"/>
          <w:szCs w:val="18"/>
          <w:lang w:val="sl-SI"/>
        </w:rPr>
      </w:pPr>
      <w:r w:rsidRPr="005771BD">
        <w:rPr>
          <w:rFonts w:eastAsiaTheme="minorHAnsi" w:cs="Arial"/>
          <w:sz w:val="18"/>
          <w:szCs w:val="18"/>
          <w:lang w:val="sl-SI"/>
        </w:rPr>
        <w:t>Vir: SURS, 2016; ARSO, 2016 (povzeto po Kazalci okolja v Sloveniji; ZD03</w:t>
      </w:r>
      <w:r>
        <w:rPr>
          <w:rFonts w:eastAsiaTheme="minorHAnsi" w:cs="Arial"/>
          <w:sz w:val="18"/>
          <w:szCs w:val="18"/>
          <w:lang w:val="sl-SI"/>
        </w:rPr>
        <w:t xml:space="preserve"> –</w:t>
      </w:r>
      <w:r w:rsidRPr="005771BD">
        <w:rPr>
          <w:rFonts w:eastAsiaTheme="minorHAnsi" w:cs="Arial"/>
          <w:sz w:val="18"/>
          <w:szCs w:val="18"/>
          <w:lang w:val="sl-SI"/>
        </w:rPr>
        <w:t xml:space="preserve">  </w:t>
      </w:r>
      <w:r>
        <w:rPr>
          <w:rFonts w:eastAsiaTheme="minorHAnsi" w:cs="Arial"/>
          <w:sz w:val="18"/>
          <w:szCs w:val="18"/>
          <w:lang w:val="sl-SI"/>
        </w:rPr>
        <w:t>i</w:t>
      </w:r>
      <w:r w:rsidRPr="005771BD">
        <w:rPr>
          <w:rFonts w:eastAsiaTheme="minorHAnsi" w:cs="Arial"/>
          <w:sz w:val="18"/>
          <w:szCs w:val="18"/>
          <w:lang w:val="sl-SI"/>
        </w:rPr>
        <w:t>zpostavljenost prebivalcev in otrok onesnaženemu zraku zaradi delcev PM</w:t>
      </w:r>
      <w:r w:rsidRPr="005771BD">
        <w:rPr>
          <w:rFonts w:eastAsiaTheme="minorHAnsi" w:cs="Arial"/>
          <w:sz w:val="18"/>
          <w:szCs w:val="18"/>
          <w:vertAlign w:val="subscript"/>
          <w:lang w:val="sl-SI"/>
        </w:rPr>
        <w:t>10</w:t>
      </w:r>
      <w:r w:rsidRPr="005771BD">
        <w:rPr>
          <w:rFonts w:eastAsiaTheme="minorHAnsi" w:cs="Arial"/>
          <w:sz w:val="18"/>
          <w:szCs w:val="18"/>
          <w:lang w:val="sl-SI"/>
        </w:rPr>
        <w:t xml:space="preserve">,  </w:t>
      </w:r>
      <w:hyperlink r:id="rId317" w:history="1">
        <w:r w:rsidRPr="005771BD">
          <w:rPr>
            <w:rFonts w:eastAsiaTheme="minorHAnsi" w:cs="Arial"/>
            <w:color w:val="5F5F5F" w:themeColor="hyperlink"/>
            <w:sz w:val="18"/>
            <w:szCs w:val="18"/>
            <w:u w:val="single"/>
            <w:lang w:val="sl-SI"/>
          </w:rPr>
          <w:t>http://kazalci.arso.gov.si/?data=indicator&amp;ind_id=684</w:t>
        </w:r>
      </w:hyperlink>
      <w:r w:rsidRPr="005771BD">
        <w:rPr>
          <w:rFonts w:eastAsiaTheme="minorHAnsi" w:cs="Arial"/>
          <w:sz w:val="18"/>
          <w:szCs w:val="18"/>
          <w:lang w:val="sl-SI"/>
        </w:rPr>
        <w:t xml:space="preserve">) </w:t>
      </w:r>
    </w:p>
    <w:p w:rsidR="0057482E" w:rsidRPr="005771BD" w:rsidRDefault="0057482E" w:rsidP="0057482E">
      <w:pPr>
        <w:spacing w:line="240" w:lineRule="auto"/>
        <w:jc w:val="both"/>
        <w:rPr>
          <w:rFonts w:eastAsiaTheme="minorHAnsi" w:cs="Arial"/>
          <w:szCs w:val="20"/>
          <w:lang w:val="sl-SI"/>
        </w:rPr>
      </w:pPr>
    </w:p>
    <w:p w:rsidR="0057482E" w:rsidRPr="005771BD" w:rsidRDefault="0057482E" w:rsidP="0057482E">
      <w:pPr>
        <w:spacing w:line="240" w:lineRule="auto"/>
        <w:jc w:val="both"/>
        <w:rPr>
          <w:rFonts w:eastAsiaTheme="minorHAnsi" w:cs="Arial"/>
          <w:szCs w:val="20"/>
          <w:lang w:val="sl-SI"/>
        </w:rPr>
      </w:pPr>
      <w:r w:rsidRPr="005771BD">
        <w:rPr>
          <w:rFonts w:eastAsiaTheme="minorHAnsi" w:cs="Arial"/>
          <w:szCs w:val="20"/>
          <w:lang w:val="sl-SI"/>
        </w:rPr>
        <w:t xml:space="preserve">V Sloveniji </w:t>
      </w:r>
      <w:r>
        <w:rPr>
          <w:rFonts w:eastAsiaTheme="minorHAnsi" w:cs="Arial"/>
          <w:szCs w:val="20"/>
          <w:lang w:val="sl-SI"/>
        </w:rPr>
        <w:t xml:space="preserve">so </w:t>
      </w:r>
      <w:r w:rsidRPr="005771BD">
        <w:rPr>
          <w:rFonts w:eastAsiaTheme="minorHAnsi" w:cs="Arial"/>
          <w:szCs w:val="20"/>
          <w:lang w:val="sl-SI"/>
        </w:rPr>
        <w:t xml:space="preserve">na voljo podatki o številu sprejemov otrok v bolnišnico zaradi astme in </w:t>
      </w:r>
      <w:r>
        <w:rPr>
          <w:rFonts w:eastAsiaTheme="minorHAnsi" w:cs="Arial"/>
          <w:szCs w:val="20"/>
          <w:lang w:val="sl-SI"/>
        </w:rPr>
        <w:t>drugih</w:t>
      </w:r>
      <w:r w:rsidRPr="005771BD">
        <w:rPr>
          <w:rFonts w:eastAsiaTheme="minorHAnsi" w:cs="Arial"/>
          <w:szCs w:val="20"/>
          <w:lang w:val="sl-SI"/>
        </w:rPr>
        <w:t xml:space="preserve"> dihalnih obolenj. Največ tovrstnih sprejemov otrok je v Ljubljani in Mariboru. </w:t>
      </w:r>
    </w:p>
    <w:p w:rsidR="0057482E" w:rsidRPr="005771BD" w:rsidRDefault="0057482E" w:rsidP="0057482E">
      <w:pPr>
        <w:spacing w:line="240" w:lineRule="auto"/>
        <w:jc w:val="both"/>
        <w:rPr>
          <w:rFonts w:eastAsiaTheme="minorHAnsi" w:cs="Arial"/>
          <w:i/>
          <w:szCs w:val="20"/>
          <w:lang w:val="sl-SI"/>
        </w:rPr>
      </w:pPr>
    </w:p>
    <w:p w:rsidR="0057482E" w:rsidRPr="005771BD" w:rsidRDefault="0057482E" w:rsidP="0057482E">
      <w:pPr>
        <w:spacing w:line="240" w:lineRule="auto"/>
        <w:jc w:val="both"/>
        <w:rPr>
          <w:rFonts w:eastAsiaTheme="minorHAnsi" w:cs="Arial"/>
          <w:szCs w:val="20"/>
          <w:lang w:val="sl-SI"/>
        </w:rPr>
      </w:pPr>
      <w:r w:rsidRPr="007F272F">
        <w:rPr>
          <w:rFonts w:eastAsiaTheme="minorHAnsi" w:cs="Arial"/>
          <w:noProof/>
          <w:szCs w:val="20"/>
          <w:lang w:val="sl-SI" w:eastAsia="sl-SI"/>
        </w:rPr>
        <w:drawing>
          <wp:inline distT="0" distB="0" distL="0" distR="0" wp14:anchorId="3334A72F" wp14:editId="05FE88A6">
            <wp:extent cx="5773420" cy="2603500"/>
            <wp:effectExtent l="0" t="0" r="0" b="6350"/>
            <wp:docPr id="653" name="Slika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773420" cy="2603500"/>
                    </a:xfrm>
                    <a:prstGeom prst="rect">
                      <a:avLst/>
                    </a:prstGeom>
                    <a:noFill/>
                  </pic:spPr>
                </pic:pic>
              </a:graphicData>
            </a:graphic>
          </wp:inline>
        </w:drawing>
      </w:r>
    </w:p>
    <w:p w:rsidR="0057482E" w:rsidRPr="005771BD" w:rsidRDefault="0057482E" w:rsidP="0057482E">
      <w:pPr>
        <w:spacing w:line="240" w:lineRule="auto"/>
        <w:jc w:val="both"/>
        <w:rPr>
          <w:rFonts w:eastAsiaTheme="minorHAnsi" w:cs="Arial"/>
          <w:szCs w:val="20"/>
          <w:lang w:val="sl-SI"/>
        </w:rPr>
      </w:pPr>
    </w:p>
    <w:p w:rsidR="0057482E" w:rsidRPr="005771BD" w:rsidRDefault="0057482E" w:rsidP="0057482E">
      <w:pPr>
        <w:spacing w:line="240" w:lineRule="auto"/>
        <w:jc w:val="both"/>
        <w:rPr>
          <w:rFonts w:eastAsiaTheme="minorHAnsi" w:cs="Arial"/>
          <w:i/>
          <w:szCs w:val="20"/>
          <w:lang w:val="sl-SI"/>
        </w:rPr>
      </w:pPr>
      <w:r w:rsidRPr="005771BD">
        <w:rPr>
          <w:rFonts w:eastAsiaTheme="minorHAnsi" w:cs="Arial"/>
          <w:i/>
          <w:szCs w:val="20"/>
          <w:lang w:val="sl-SI"/>
        </w:rPr>
        <w:t>Slika 1</w:t>
      </w:r>
      <w:r w:rsidR="001A509D">
        <w:rPr>
          <w:rFonts w:eastAsiaTheme="minorHAnsi" w:cs="Arial"/>
          <w:i/>
          <w:szCs w:val="20"/>
          <w:lang w:val="sl-SI"/>
        </w:rPr>
        <w:t>6</w:t>
      </w:r>
      <w:r w:rsidRPr="005771BD">
        <w:rPr>
          <w:rFonts w:eastAsiaTheme="minorHAnsi" w:cs="Arial"/>
          <w:i/>
          <w:szCs w:val="20"/>
          <w:lang w:val="sl-SI"/>
        </w:rPr>
        <w:t xml:space="preserve">.4: </w:t>
      </w:r>
      <w:r w:rsidRPr="005771BD">
        <w:rPr>
          <w:rFonts w:eastAsia="Batang" w:cs="Arial"/>
          <w:i/>
          <w:szCs w:val="20"/>
          <w:lang w:val="sl-SI"/>
        </w:rPr>
        <w:t>Stopnja umrljivosti (število smrti/100.000 prebivalcev) zaradi bolezni dihal v Sloveniji, po statističnih regijah (NUTS3), 2005</w:t>
      </w:r>
      <w:r>
        <w:rPr>
          <w:rFonts w:eastAsia="Batang" w:cs="Arial"/>
          <w:i/>
          <w:szCs w:val="20"/>
          <w:lang w:val="sl-SI"/>
        </w:rPr>
        <w:t>–</w:t>
      </w:r>
      <w:r w:rsidRPr="005771BD">
        <w:rPr>
          <w:rFonts w:eastAsia="Batang" w:cs="Arial"/>
          <w:i/>
          <w:szCs w:val="20"/>
          <w:lang w:val="sl-SI"/>
        </w:rPr>
        <w:t>2009 in 2010</w:t>
      </w:r>
      <w:r>
        <w:rPr>
          <w:rFonts w:eastAsia="Batang" w:cs="Arial"/>
          <w:i/>
          <w:szCs w:val="20"/>
          <w:lang w:val="sl-SI"/>
        </w:rPr>
        <w:t>–</w:t>
      </w:r>
      <w:r w:rsidRPr="005771BD">
        <w:rPr>
          <w:rFonts w:eastAsia="Batang" w:cs="Arial"/>
          <w:i/>
          <w:szCs w:val="20"/>
          <w:lang w:val="sl-SI"/>
        </w:rPr>
        <w:t>2014</w:t>
      </w:r>
    </w:p>
    <w:p w:rsidR="0057482E" w:rsidRPr="005771BD" w:rsidRDefault="0057482E" w:rsidP="0057482E">
      <w:pPr>
        <w:spacing w:line="240" w:lineRule="auto"/>
        <w:rPr>
          <w:rFonts w:eastAsiaTheme="minorHAnsi" w:cs="Arial"/>
          <w:sz w:val="18"/>
          <w:szCs w:val="18"/>
          <w:lang w:val="sl-SI"/>
        </w:rPr>
      </w:pPr>
      <w:r w:rsidRPr="005771BD">
        <w:rPr>
          <w:rFonts w:eastAsiaTheme="minorHAnsi" w:cs="Arial"/>
          <w:sz w:val="18"/>
          <w:szCs w:val="18"/>
          <w:lang w:val="sl-SI"/>
        </w:rPr>
        <w:t>Vir: NIJZ, 2007-2014 (povzeto po Kazalci okolja v Sloveniji; ZD18</w:t>
      </w:r>
      <w:r>
        <w:rPr>
          <w:rFonts w:eastAsiaTheme="minorHAnsi" w:cs="Arial"/>
          <w:sz w:val="18"/>
          <w:szCs w:val="18"/>
          <w:lang w:val="sl-SI"/>
        </w:rPr>
        <w:t xml:space="preserve"> – </w:t>
      </w:r>
      <w:r w:rsidRPr="005771BD">
        <w:rPr>
          <w:rFonts w:eastAsiaTheme="minorHAnsi" w:cs="Arial"/>
          <w:sz w:val="18"/>
          <w:szCs w:val="18"/>
          <w:lang w:val="sl-SI"/>
        </w:rPr>
        <w:t xml:space="preserve"> </w:t>
      </w:r>
      <w:r>
        <w:rPr>
          <w:rFonts w:eastAsiaTheme="minorHAnsi" w:cs="Arial"/>
          <w:sz w:val="18"/>
          <w:szCs w:val="18"/>
          <w:lang w:val="sl-SI"/>
        </w:rPr>
        <w:t>u</w:t>
      </w:r>
      <w:r w:rsidRPr="005771BD">
        <w:rPr>
          <w:rFonts w:eastAsiaTheme="minorHAnsi" w:cs="Arial"/>
          <w:sz w:val="18"/>
          <w:szCs w:val="18"/>
          <w:lang w:val="sl-SI"/>
        </w:rPr>
        <w:t xml:space="preserve">mrljivost zaradi bolezni dihal, </w:t>
      </w:r>
      <w:hyperlink r:id="rId319" w:history="1">
        <w:r w:rsidRPr="005771BD">
          <w:rPr>
            <w:rFonts w:eastAsiaTheme="minorHAnsi" w:cs="Arial"/>
            <w:color w:val="5F5F5F" w:themeColor="hyperlink"/>
            <w:sz w:val="18"/>
            <w:szCs w:val="18"/>
            <w:u w:val="single"/>
            <w:lang w:val="sl-SI"/>
          </w:rPr>
          <w:t>http://kazalci.arso.gov.si/?data=indicator&amp;ind_id=725</w:t>
        </w:r>
      </w:hyperlink>
      <w:r w:rsidRPr="005771BD">
        <w:rPr>
          <w:rFonts w:eastAsiaTheme="minorHAnsi" w:cs="Arial"/>
          <w:sz w:val="18"/>
          <w:szCs w:val="18"/>
          <w:lang w:val="sl-SI"/>
        </w:rPr>
        <w:t xml:space="preserve">) </w:t>
      </w:r>
    </w:p>
    <w:p w:rsidR="0057482E" w:rsidRPr="005771BD" w:rsidRDefault="0057482E" w:rsidP="0057482E">
      <w:pPr>
        <w:spacing w:line="240" w:lineRule="auto"/>
        <w:jc w:val="both"/>
        <w:rPr>
          <w:rFonts w:eastAsiaTheme="minorHAnsi" w:cs="Arial"/>
          <w:szCs w:val="20"/>
          <w:lang w:val="sl-SI"/>
        </w:rPr>
      </w:pPr>
    </w:p>
    <w:p w:rsidR="0057482E" w:rsidRPr="005771BD" w:rsidRDefault="0057482E" w:rsidP="0057482E">
      <w:pPr>
        <w:spacing w:after="200" w:line="240" w:lineRule="auto"/>
        <w:jc w:val="both"/>
        <w:rPr>
          <w:rFonts w:eastAsiaTheme="minorHAnsi" w:cs="Arial"/>
          <w:szCs w:val="20"/>
          <w:lang w:val="sl-SI"/>
        </w:rPr>
      </w:pPr>
      <w:r w:rsidRPr="005771BD">
        <w:rPr>
          <w:rFonts w:eastAsiaTheme="minorHAnsi" w:cs="Arial"/>
          <w:szCs w:val="20"/>
          <w:lang w:val="sl-SI"/>
        </w:rPr>
        <w:t xml:space="preserve">Delež sprejemov v bolnišnico v letih 2002 </w:t>
      </w:r>
      <w:r>
        <w:rPr>
          <w:rFonts w:eastAsiaTheme="minorHAnsi" w:cs="Arial"/>
          <w:szCs w:val="20"/>
          <w:lang w:val="sl-SI"/>
        </w:rPr>
        <w:t>in</w:t>
      </w:r>
      <w:r w:rsidRPr="005771BD">
        <w:rPr>
          <w:rFonts w:eastAsiaTheme="minorHAnsi" w:cs="Arial"/>
          <w:szCs w:val="20"/>
          <w:lang w:val="sl-SI"/>
        </w:rPr>
        <w:t xml:space="preserve"> 2013 zaradi astme je pri otrocih</w:t>
      </w:r>
      <w:r>
        <w:rPr>
          <w:rFonts w:eastAsiaTheme="minorHAnsi" w:cs="Arial"/>
          <w:szCs w:val="20"/>
          <w:lang w:val="sl-SI"/>
        </w:rPr>
        <w:t>,</w:t>
      </w:r>
      <w:r w:rsidRPr="005771BD">
        <w:rPr>
          <w:rFonts w:eastAsiaTheme="minorHAnsi" w:cs="Arial"/>
          <w:szCs w:val="20"/>
          <w:lang w:val="sl-SI"/>
        </w:rPr>
        <w:t xml:space="preserve"> starih 0</w:t>
      </w:r>
      <w:r>
        <w:rPr>
          <w:rFonts w:eastAsiaTheme="minorHAnsi" w:cs="Arial"/>
          <w:szCs w:val="20"/>
          <w:lang w:val="sl-SI"/>
        </w:rPr>
        <w:t>–</w:t>
      </w:r>
      <w:r w:rsidRPr="005771BD">
        <w:rPr>
          <w:rFonts w:eastAsiaTheme="minorHAnsi" w:cs="Arial"/>
          <w:szCs w:val="20"/>
          <w:lang w:val="sl-SI"/>
        </w:rPr>
        <w:t>4 let</w:t>
      </w:r>
      <w:r>
        <w:rPr>
          <w:rFonts w:eastAsiaTheme="minorHAnsi" w:cs="Arial"/>
          <w:szCs w:val="20"/>
          <w:lang w:val="sl-SI"/>
        </w:rPr>
        <w:t>a</w:t>
      </w:r>
      <w:r w:rsidRPr="005771BD">
        <w:rPr>
          <w:rFonts w:eastAsiaTheme="minorHAnsi" w:cs="Arial"/>
          <w:szCs w:val="20"/>
          <w:lang w:val="sl-SI"/>
        </w:rPr>
        <w:t>, 0</w:t>
      </w:r>
      <w:r>
        <w:rPr>
          <w:rFonts w:eastAsiaTheme="minorHAnsi" w:cs="Arial"/>
          <w:szCs w:val="20"/>
          <w:lang w:val="sl-SI"/>
        </w:rPr>
        <w:t xml:space="preserve"> </w:t>
      </w:r>
      <w:r w:rsidRPr="005771BD">
        <w:rPr>
          <w:rFonts w:eastAsiaTheme="minorHAnsi" w:cs="Arial"/>
          <w:szCs w:val="20"/>
          <w:lang w:val="sl-SI"/>
        </w:rPr>
        <w:t>%</w:t>
      </w:r>
      <w:r>
        <w:rPr>
          <w:rFonts w:eastAsiaTheme="minorHAnsi" w:cs="Arial"/>
          <w:szCs w:val="20"/>
          <w:lang w:val="sl-SI"/>
        </w:rPr>
        <w:t>–</w:t>
      </w:r>
      <w:r w:rsidRPr="005771BD">
        <w:rPr>
          <w:rFonts w:eastAsiaTheme="minorHAnsi" w:cs="Arial"/>
          <w:szCs w:val="20"/>
          <w:lang w:val="sl-SI"/>
        </w:rPr>
        <w:t>1,8 %, pri otrocih, starih 5</w:t>
      </w:r>
      <w:r>
        <w:rPr>
          <w:rFonts w:eastAsiaTheme="minorHAnsi" w:cs="Arial"/>
          <w:szCs w:val="20"/>
          <w:lang w:val="sl-SI"/>
        </w:rPr>
        <w:t>–</w:t>
      </w:r>
      <w:r w:rsidRPr="005771BD">
        <w:rPr>
          <w:rFonts w:eastAsiaTheme="minorHAnsi" w:cs="Arial"/>
          <w:szCs w:val="20"/>
          <w:lang w:val="sl-SI"/>
        </w:rPr>
        <w:t>9 let</w:t>
      </w:r>
      <w:r>
        <w:rPr>
          <w:rFonts w:eastAsiaTheme="minorHAnsi" w:cs="Arial"/>
          <w:szCs w:val="20"/>
          <w:lang w:val="sl-SI"/>
        </w:rPr>
        <w:t>, je</w:t>
      </w:r>
      <w:r w:rsidRPr="005771BD">
        <w:rPr>
          <w:rFonts w:eastAsiaTheme="minorHAnsi" w:cs="Arial"/>
          <w:szCs w:val="20"/>
          <w:lang w:val="sl-SI"/>
        </w:rPr>
        <w:t xml:space="preserve"> 0 %</w:t>
      </w:r>
      <w:r>
        <w:rPr>
          <w:rFonts w:eastAsiaTheme="minorHAnsi" w:cs="Arial"/>
          <w:szCs w:val="20"/>
          <w:lang w:val="sl-SI"/>
        </w:rPr>
        <w:t>–</w:t>
      </w:r>
      <w:r w:rsidRPr="005771BD">
        <w:rPr>
          <w:rFonts w:eastAsiaTheme="minorHAnsi" w:cs="Arial"/>
          <w:szCs w:val="20"/>
          <w:lang w:val="sl-SI"/>
        </w:rPr>
        <w:t>1,5 %, pri otrocih, starih 10</w:t>
      </w:r>
      <w:r>
        <w:rPr>
          <w:rFonts w:eastAsiaTheme="minorHAnsi" w:cs="Arial"/>
          <w:szCs w:val="20"/>
          <w:lang w:val="sl-SI"/>
        </w:rPr>
        <w:t>–</w:t>
      </w:r>
      <w:r w:rsidRPr="005771BD">
        <w:rPr>
          <w:rFonts w:eastAsiaTheme="minorHAnsi" w:cs="Arial"/>
          <w:szCs w:val="20"/>
          <w:lang w:val="sl-SI"/>
        </w:rPr>
        <w:t>14 let, pa 0 %</w:t>
      </w:r>
      <w:r>
        <w:rPr>
          <w:rFonts w:eastAsiaTheme="minorHAnsi" w:cs="Arial"/>
          <w:szCs w:val="20"/>
          <w:lang w:val="sl-SI"/>
        </w:rPr>
        <w:t>–</w:t>
      </w:r>
      <w:r w:rsidRPr="005771BD">
        <w:rPr>
          <w:rFonts w:eastAsiaTheme="minorHAnsi" w:cs="Arial"/>
          <w:szCs w:val="20"/>
          <w:lang w:val="sl-SI"/>
        </w:rPr>
        <w:t>1,1 % (ARSO 2015e). Število sprejemov v bolnišnico zaradi astme je nizko, kar kaže na to, da so otroci z astmo v Sloveniji dobro vodeni ambulantno in prejemajo ustrezno terapijo, kar preprečuje tako poslabšanje astme, da bi bila potrebna hospitalizacija.</w:t>
      </w:r>
    </w:p>
    <w:p w:rsidR="0057482E" w:rsidRPr="005771BD" w:rsidRDefault="0057482E" w:rsidP="0057482E">
      <w:pPr>
        <w:spacing w:after="200" w:line="240" w:lineRule="auto"/>
        <w:jc w:val="both"/>
        <w:rPr>
          <w:rFonts w:eastAsiaTheme="minorHAnsi" w:cs="Arial"/>
          <w:szCs w:val="20"/>
          <w:lang w:val="sl-SI"/>
        </w:rPr>
      </w:pPr>
      <w:r w:rsidRPr="005771BD">
        <w:rPr>
          <w:rFonts w:eastAsiaTheme="minorHAnsi" w:cs="Arial"/>
          <w:szCs w:val="20"/>
          <w:lang w:val="sl-SI"/>
        </w:rPr>
        <w:t xml:space="preserve">V Sloveniji zaradi izpostavljenosti onesnaženemu zraku z delci na leto predčasno umre približno 1700 oseb, večinoma zaradi obolenj srca in obtočil (EEA 2015). Eden glavnih vzrokov umrljivosti zaradi bolezni dihal v Sloveniji je KOPB. Najvišja umrljivost zaradi bolezni dihal je v </w:t>
      </w:r>
      <w:r>
        <w:rPr>
          <w:rFonts w:eastAsiaTheme="minorHAnsi" w:cs="Arial"/>
          <w:szCs w:val="20"/>
          <w:lang w:val="sl-SI"/>
        </w:rPr>
        <w:t>z</w:t>
      </w:r>
      <w:r w:rsidRPr="005771BD">
        <w:rPr>
          <w:rFonts w:eastAsiaTheme="minorHAnsi" w:cs="Arial"/>
          <w:szCs w:val="20"/>
          <w:lang w:val="sl-SI"/>
        </w:rPr>
        <w:t xml:space="preserve">asavski regiji, najnižja v </w:t>
      </w:r>
      <w:r>
        <w:rPr>
          <w:rFonts w:eastAsiaTheme="minorHAnsi" w:cs="Arial"/>
          <w:szCs w:val="20"/>
          <w:lang w:val="sl-SI"/>
        </w:rPr>
        <w:t>o</w:t>
      </w:r>
      <w:r w:rsidRPr="005771BD">
        <w:rPr>
          <w:rFonts w:eastAsiaTheme="minorHAnsi" w:cs="Arial"/>
          <w:szCs w:val="20"/>
          <w:lang w:val="sl-SI"/>
        </w:rPr>
        <w:t>srednjeslovenski regiji (2010</w:t>
      </w:r>
      <w:r>
        <w:rPr>
          <w:rFonts w:eastAsiaTheme="minorHAnsi" w:cs="Arial"/>
          <w:szCs w:val="20"/>
          <w:lang w:val="sl-SI"/>
        </w:rPr>
        <w:t>–</w:t>
      </w:r>
      <w:r w:rsidRPr="005771BD">
        <w:rPr>
          <w:rFonts w:eastAsiaTheme="minorHAnsi" w:cs="Arial"/>
          <w:szCs w:val="20"/>
          <w:lang w:val="sl-SI"/>
        </w:rPr>
        <w:t xml:space="preserve">2014). Umrljivost zaradi dihal se v Sloveniji zmanjšuje, slika 4 (ARSO 2015d). V Sloveniji je zaradi bolezni dihal v letu 2013 </w:t>
      </w:r>
      <w:r>
        <w:rPr>
          <w:rFonts w:eastAsiaTheme="minorHAnsi" w:cs="Arial"/>
          <w:szCs w:val="20"/>
          <w:lang w:val="sl-SI"/>
        </w:rPr>
        <w:t>med vsemi umrlimi otroki,</w:t>
      </w:r>
      <w:r w:rsidRPr="00692724">
        <w:rPr>
          <w:rFonts w:eastAsiaTheme="minorHAnsi" w:cs="Arial"/>
          <w:szCs w:val="20"/>
          <w:lang w:val="sl-SI"/>
        </w:rPr>
        <w:t xml:space="preserve"> </w:t>
      </w:r>
      <w:r>
        <w:rPr>
          <w:rFonts w:eastAsiaTheme="minorHAnsi" w:cs="Arial"/>
          <w:szCs w:val="20"/>
          <w:lang w:val="sl-SI"/>
        </w:rPr>
        <w:t>starimi</w:t>
      </w:r>
      <w:r w:rsidRPr="005771BD">
        <w:rPr>
          <w:rFonts w:eastAsiaTheme="minorHAnsi" w:cs="Arial"/>
          <w:szCs w:val="20"/>
          <w:lang w:val="sl-SI"/>
        </w:rPr>
        <w:t xml:space="preserve"> 28</w:t>
      </w:r>
      <w:r>
        <w:rPr>
          <w:rFonts w:eastAsiaTheme="minorHAnsi" w:cs="Arial"/>
          <w:szCs w:val="20"/>
          <w:lang w:val="sl-SI"/>
        </w:rPr>
        <w:t>–</w:t>
      </w:r>
      <w:r w:rsidRPr="005771BD">
        <w:rPr>
          <w:rFonts w:eastAsiaTheme="minorHAnsi" w:cs="Arial"/>
          <w:szCs w:val="20"/>
          <w:lang w:val="sl-SI"/>
        </w:rPr>
        <w:t>364 dni</w:t>
      </w:r>
      <w:r>
        <w:rPr>
          <w:rFonts w:eastAsiaTheme="minorHAnsi" w:cs="Arial"/>
          <w:szCs w:val="20"/>
          <w:lang w:val="sl-SI"/>
        </w:rPr>
        <w:t xml:space="preserve">, </w:t>
      </w:r>
      <w:r w:rsidRPr="005771BD">
        <w:rPr>
          <w:rFonts w:eastAsiaTheme="minorHAnsi" w:cs="Arial"/>
          <w:szCs w:val="20"/>
          <w:lang w:val="sl-SI"/>
        </w:rPr>
        <w:t>umrlo 8,7 % dojenčkov, (ARSO 2015f).</w:t>
      </w:r>
    </w:p>
    <w:p w:rsidR="0057482E" w:rsidRPr="005771BD" w:rsidRDefault="0057482E" w:rsidP="0057482E">
      <w:pPr>
        <w:spacing w:after="200" w:line="240" w:lineRule="auto"/>
        <w:jc w:val="both"/>
        <w:rPr>
          <w:rFonts w:eastAsiaTheme="minorHAnsi" w:cs="Arial"/>
          <w:color w:val="000000" w:themeColor="text1"/>
          <w:szCs w:val="20"/>
          <w:lang w:val="sl-SI"/>
        </w:rPr>
      </w:pPr>
      <w:r w:rsidRPr="005771BD">
        <w:rPr>
          <w:rFonts w:eastAsiaTheme="minorHAnsi" w:cs="Arial"/>
          <w:szCs w:val="20"/>
          <w:lang w:val="sl-SI"/>
        </w:rPr>
        <w:t>Iz izračunov za obdobje 2012</w:t>
      </w:r>
      <w:r>
        <w:rPr>
          <w:rFonts w:eastAsiaTheme="minorHAnsi" w:cs="Arial"/>
          <w:szCs w:val="20"/>
          <w:lang w:val="sl-SI"/>
        </w:rPr>
        <w:t>–</w:t>
      </w:r>
      <w:r w:rsidRPr="005771BD">
        <w:rPr>
          <w:rFonts w:eastAsiaTheme="minorHAnsi" w:cs="Arial"/>
          <w:szCs w:val="20"/>
          <w:lang w:val="sl-SI"/>
        </w:rPr>
        <w:t xml:space="preserve">2014, pridobljenih z matematičnim modelom po metodologiji APHECOM, je razvidno, </w:t>
      </w:r>
      <w:r w:rsidRPr="005771BD">
        <w:rPr>
          <w:rFonts w:eastAsiaTheme="minorHAnsi" w:cs="Arial"/>
          <w:color w:val="000000" w:themeColor="text1"/>
          <w:szCs w:val="20"/>
          <w:lang w:val="sl-SI"/>
        </w:rPr>
        <w:t>da bi se v slovenskih mestih z najslabšo kakovostjo zraka ob zmanjšanju onesnaženosti zraka s PM</w:t>
      </w:r>
      <w:r w:rsidRPr="005771BD">
        <w:rPr>
          <w:rFonts w:eastAsiaTheme="minorHAnsi" w:cs="Arial"/>
          <w:color w:val="000000" w:themeColor="text1"/>
          <w:szCs w:val="20"/>
          <w:vertAlign w:val="subscript"/>
          <w:lang w:val="sl-SI"/>
        </w:rPr>
        <w:t xml:space="preserve">2,5 </w:t>
      </w:r>
      <w:r w:rsidRPr="005771BD">
        <w:rPr>
          <w:rFonts w:eastAsiaTheme="minorHAnsi" w:cs="Arial"/>
          <w:color w:val="000000" w:themeColor="text1"/>
          <w:szCs w:val="20"/>
          <w:lang w:val="sl-SI"/>
        </w:rPr>
        <w:t>na 10 µg/m</w:t>
      </w:r>
      <w:r w:rsidRPr="005771BD">
        <w:rPr>
          <w:rFonts w:eastAsiaTheme="minorHAnsi" w:cs="Arial"/>
          <w:color w:val="000000" w:themeColor="text1"/>
          <w:szCs w:val="20"/>
          <w:vertAlign w:val="superscript"/>
          <w:lang w:val="sl-SI"/>
        </w:rPr>
        <w:t xml:space="preserve">3 </w:t>
      </w:r>
      <w:r w:rsidRPr="005771BD">
        <w:rPr>
          <w:rFonts w:eastAsiaTheme="minorHAnsi" w:cs="Arial"/>
          <w:color w:val="000000" w:themeColor="text1"/>
          <w:szCs w:val="20"/>
          <w:lang w:val="sl-SI"/>
        </w:rPr>
        <w:t>(povprečna letna koncentracija), pričakovana življenjska doba podaljšala za 5,1 do 9,2 meseca (NIJZ 2016a).</w:t>
      </w:r>
    </w:p>
    <w:p w:rsidR="0057482E" w:rsidRPr="005771BD" w:rsidRDefault="0057482E" w:rsidP="0057482E">
      <w:pPr>
        <w:autoSpaceDE w:val="0"/>
        <w:autoSpaceDN w:val="0"/>
        <w:adjustRightInd w:val="0"/>
        <w:spacing w:line="276" w:lineRule="auto"/>
        <w:jc w:val="both"/>
        <w:rPr>
          <w:rFonts w:cs="Arial"/>
          <w:b/>
          <w:szCs w:val="20"/>
          <w:lang w:val="sl-SI"/>
        </w:rPr>
      </w:pPr>
    </w:p>
    <w:p w:rsidR="0057482E" w:rsidRPr="005771BD" w:rsidRDefault="0057482E" w:rsidP="0057482E">
      <w:pPr>
        <w:autoSpaceDE w:val="0"/>
        <w:autoSpaceDN w:val="0"/>
        <w:adjustRightInd w:val="0"/>
        <w:spacing w:after="200" w:line="276" w:lineRule="auto"/>
        <w:jc w:val="both"/>
        <w:rPr>
          <w:rFonts w:cs="Arial"/>
          <w:b/>
          <w:szCs w:val="20"/>
          <w:lang w:val="sl-SI"/>
        </w:rPr>
      </w:pPr>
      <w:r w:rsidRPr="005771BD">
        <w:rPr>
          <w:rFonts w:cs="Arial"/>
          <w:b/>
          <w:szCs w:val="20"/>
          <w:lang w:val="sl-SI"/>
        </w:rPr>
        <w:t>1</w:t>
      </w:r>
      <w:r w:rsidR="001A509D">
        <w:rPr>
          <w:rFonts w:cs="Arial"/>
          <w:b/>
          <w:szCs w:val="20"/>
          <w:lang w:val="sl-SI"/>
        </w:rPr>
        <w:t>6</w:t>
      </w:r>
      <w:r w:rsidRPr="005771BD">
        <w:rPr>
          <w:rFonts w:cs="Arial"/>
          <w:b/>
          <w:szCs w:val="20"/>
          <w:lang w:val="sl-SI"/>
        </w:rPr>
        <w:t xml:space="preserve">.4.3 Vplivi ozona na zdravje </w:t>
      </w:r>
    </w:p>
    <w:p w:rsidR="0057482E" w:rsidRPr="005771BD" w:rsidRDefault="0057482E" w:rsidP="0057482E">
      <w:pPr>
        <w:spacing w:after="200" w:line="276" w:lineRule="auto"/>
        <w:jc w:val="both"/>
        <w:rPr>
          <w:rFonts w:eastAsiaTheme="minorHAnsi" w:cs="Arial"/>
          <w:b/>
          <w:szCs w:val="20"/>
          <w:lang w:val="sl-SI" w:eastAsia="sl-SI"/>
        </w:rPr>
      </w:pPr>
      <w:r w:rsidRPr="005771BD">
        <w:rPr>
          <w:rFonts w:eastAsiaTheme="minorHAnsi" w:cs="Arial"/>
          <w:szCs w:val="20"/>
          <w:lang w:val="sl-SI" w:eastAsia="sl-SI"/>
        </w:rPr>
        <w:t xml:space="preserve">Ozon vdihujemo z zrakom, zato je poglavitna pot vstopa v telo prek dihal, ki jih ozon tudi najbolj prizadene. Mehanizmi poškodbe dihal z ozonom so zapleteni, vendar je osrednje dogajanje vnetje, ki je lahko akutno in prehodno, pri dolgotrajni izpostavljenosti pa lahko vnetje povzroči trajne strukturne patološke spremembe pljučnega tkiva oziroma dihal. V dihalih ozon tudi oslabi obrambni mehanizem dihal, poveča odzivnost dihal, povzroči poslabšanje astme ali nastanek astme na novo in zmanjšanje pljučne funkcije. Sistemski škodljivi učinke ozona se med drugim kažejo z vplivi na delovanje srca (motnjami srčnega ritma) </w:t>
      </w:r>
      <w:r>
        <w:rPr>
          <w:rFonts w:eastAsiaTheme="minorHAnsi" w:cs="Arial"/>
          <w:szCs w:val="20"/>
          <w:lang w:val="sl-SI" w:eastAsia="sl-SI"/>
        </w:rPr>
        <w:t>in</w:t>
      </w:r>
      <w:r w:rsidRPr="005771BD">
        <w:rPr>
          <w:rFonts w:eastAsiaTheme="minorHAnsi" w:cs="Arial"/>
          <w:szCs w:val="20"/>
          <w:lang w:val="sl-SI" w:eastAsia="sl-SI"/>
        </w:rPr>
        <w:t xml:space="preserve"> razvojem ateroskleroze. Onesnaženost zunanjega zraka z ozonom je povezana z večjo obolevnostjo in umrljivostjo zaradi škodljivih učinkov na dihala, srce in ožilje. Škodljivi učinki ozona so odvisni od časa izpostavljenosti (večji učinek pri daljši izpostavljenosti), koncentracije ozona v zraku (večji učinek pri višjih koncentracijah ozona), fizične aktivnosti (večji učinek pri večji fizični obremenitvi) (WHO 2013). </w:t>
      </w:r>
    </w:p>
    <w:p w:rsidR="0057482E" w:rsidRPr="005771BD" w:rsidRDefault="0057482E" w:rsidP="0057482E">
      <w:pPr>
        <w:autoSpaceDE w:val="0"/>
        <w:autoSpaceDN w:val="0"/>
        <w:adjustRightInd w:val="0"/>
        <w:spacing w:after="200" w:line="276" w:lineRule="auto"/>
        <w:jc w:val="both"/>
        <w:rPr>
          <w:rFonts w:cs="Arial"/>
          <w:szCs w:val="20"/>
          <w:u w:val="single"/>
          <w:lang w:val="sl-SI"/>
        </w:rPr>
      </w:pPr>
      <w:r w:rsidRPr="005771BD">
        <w:rPr>
          <w:rFonts w:cs="Arial"/>
          <w:szCs w:val="20"/>
          <w:u w:val="single"/>
          <w:lang w:val="sl-SI"/>
        </w:rPr>
        <w:t xml:space="preserve">Izpostavljenost ozonu na </w:t>
      </w:r>
      <w:r>
        <w:rPr>
          <w:rFonts w:cs="Arial"/>
          <w:szCs w:val="20"/>
          <w:u w:val="single"/>
          <w:lang w:val="sl-SI"/>
        </w:rPr>
        <w:t>podlagi</w:t>
      </w:r>
      <w:r w:rsidRPr="005771BD">
        <w:rPr>
          <w:rFonts w:cs="Arial"/>
          <w:szCs w:val="20"/>
          <w:u w:val="single"/>
          <w:lang w:val="sl-SI"/>
        </w:rPr>
        <w:t xml:space="preserve"> kazalca SOMO</w:t>
      </w:r>
      <w:r w:rsidRPr="005771BD">
        <w:rPr>
          <w:rFonts w:cs="Arial"/>
          <w:szCs w:val="20"/>
          <w:u w:val="single"/>
          <w:vertAlign w:val="subscript"/>
          <w:lang w:val="sl-SI"/>
        </w:rPr>
        <w:t>35</w:t>
      </w:r>
      <w:r w:rsidRPr="005771BD">
        <w:rPr>
          <w:rFonts w:cs="Arial"/>
          <w:szCs w:val="20"/>
          <w:u w:val="single"/>
          <w:lang w:val="sl-SI"/>
        </w:rPr>
        <w:t xml:space="preserve"> </w:t>
      </w:r>
    </w:p>
    <w:p w:rsidR="0057482E" w:rsidRPr="005771BD" w:rsidRDefault="0057482E" w:rsidP="0057482E">
      <w:pPr>
        <w:spacing w:after="240" w:line="240" w:lineRule="auto"/>
        <w:jc w:val="both"/>
        <w:rPr>
          <w:rFonts w:eastAsiaTheme="minorHAnsi" w:cs="Arial"/>
          <w:szCs w:val="20"/>
          <w:lang w:val="sl-SI" w:eastAsia="sl-SI"/>
        </w:rPr>
      </w:pPr>
      <w:r w:rsidRPr="005771BD">
        <w:rPr>
          <w:rFonts w:eastAsiaTheme="minorHAnsi" w:cs="Arial"/>
          <w:szCs w:val="20"/>
          <w:lang w:val="sl-SI" w:eastAsia="sl-SI"/>
        </w:rPr>
        <w:t>Kazalec SOMO</w:t>
      </w:r>
      <w:r w:rsidRPr="005771BD">
        <w:rPr>
          <w:rFonts w:eastAsiaTheme="minorHAnsi" w:cs="Arial"/>
          <w:szCs w:val="20"/>
          <w:vertAlign w:val="subscript"/>
          <w:lang w:val="sl-SI" w:eastAsia="sl-SI"/>
        </w:rPr>
        <w:t>35</w:t>
      </w:r>
      <w:r w:rsidRPr="005771BD">
        <w:rPr>
          <w:rFonts w:eastAsiaTheme="minorHAnsi" w:cs="Arial"/>
          <w:szCs w:val="20"/>
          <w:lang w:val="sl-SI" w:eastAsia="sl-SI"/>
        </w:rPr>
        <w:t xml:space="preserve"> (angl. Sum of Ozone Means Over 35 ppb) p</w:t>
      </w:r>
      <w:r>
        <w:rPr>
          <w:rFonts w:eastAsiaTheme="minorHAnsi" w:cs="Arial"/>
          <w:szCs w:val="20"/>
          <w:lang w:val="sl-SI" w:eastAsia="sl-SI"/>
        </w:rPr>
        <w:t>omeni</w:t>
      </w:r>
      <w:r w:rsidRPr="005771BD">
        <w:rPr>
          <w:rFonts w:eastAsiaTheme="minorHAnsi" w:cs="Arial"/>
          <w:szCs w:val="20"/>
          <w:lang w:val="sl-SI" w:eastAsia="sl-SI"/>
        </w:rPr>
        <w:t xml:space="preserve"> letno vsoto preseganj referenčne vrednosti 70 </w:t>
      </w:r>
      <w:r w:rsidRPr="005771BD">
        <w:rPr>
          <w:rFonts w:eastAsiaTheme="minorHAnsi" w:cs="Arial"/>
          <w:szCs w:val="20"/>
          <w:lang w:val="sl-SI" w:eastAsia="sl-SI"/>
        </w:rPr>
        <w:sym w:font="Symbol" w:char="F06D"/>
      </w:r>
      <w:r w:rsidRPr="005771BD">
        <w:rPr>
          <w:rFonts w:eastAsiaTheme="minorHAnsi" w:cs="Arial"/>
          <w:szCs w:val="20"/>
          <w:lang w:val="sl-SI" w:eastAsia="sl-SI"/>
        </w:rPr>
        <w:t>g/m</w:t>
      </w:r>
      <w:r w:rsidRPr="005771BD">
        <w:rPr>
          <w:rFonts w:eastAsiaTheme="minorHAnsi" w:cs="Arial"/>
          <w:szCs w:val="20"/>
          <w:vertAlign w:val="superscript"/>
          <w:lang w:val="sl-SI" w:eastAsia="sl-SI"/>
        </w:rPr>
        <w:t>3</w:t>
      </w:r>
      <w:r w:rsidRPr="005771BD">
        <w:rPr>
          <w:rFonts w:eastAsiaTheme="minorHAnsi" w:cs="Arial"/>
          <w:szCs w:val="20"/>
          <w:lang w:val="sl-SI" w:eastAsia="sl-SI"/>
        </w:rPr>
        <w:t>, izračunane kot največja dnevna 8-urna drseča srednja koncentracija ozona v enem letu (UNECE 2004). V skladu z metodologijo WHO (Martuzzi in sod. 2006) se kazalec uporablja pri ocenjevanju vplivov ozona na zdravje, pri čemer p</w:t>
      </w:r>
      <w:r>
        <w:rPr>
          <w:rFonts w:eastAsiaTheme="minorHAnsi" w:cs="Arial"/>
          <w:szCs w:val="20"/>
          <w:lang w:val="sl-SI" w:eastAsia="sl-SI"/>
        </w:rPr>
        <w:t>omeni</w:t>
      </w:r>
      <w:r w:rsidRPr="005771BD">
        <w:rPr>
          <w:rFonts w:eastAsiaTheme="minorHAnsi" w:cs="Arial"/>
          <w:szCs w:val="20"/>
          <w:lang w:val="sl-SI" w:eastAsia="sl-SI"/>
        </w:rPr>
        <w:t xml:space="preserve"> vrednost kazalca SOMO</w:t>
      </w:r>
      <w:r w:rsidRPr="005771BD">
        <w:rPr>
          <w:rFonts w:eastAsiaTheme="minorHAnsi" w:cs="Arial"/>
          <w:szCs w:val="20"/>
          <w:vertAlign w:val="subscript"/>
          <w:lang w:val="sl-SI" w:eastAsia="sl-SI"/>
        </w:rPr>
        <w:t>35</w:t>
      </w:r>
      <w:r w:rsidRPr="005771BD">
        <w:rPr>
          <w:rFonts w:eastAsiaTheme="minorHAnsi" w:cs="Arial"/>
          <w:szCs w:val="20"/>
          <w:lang w:val="sl-SI" w:eastAsia="sl-SI"/>
        </w:rPr>
        <w:t xml:space="preserve"> povprečno dnevno izpostavljenost ozonu nad referenčno vrednostjo. Enota za kazalec je </w:t>
      </w:r>
      <w:r w:rsidRPr="005771BD">
        <w:rPr>
          <w:rFonts w:eastAsiaTheme="minorHAnsi" w:cs="Arial"/>
          <w:szCs w:val="20"/>
          <w:lang w:val="sl-SI" w:eastAsia="sl-SI"/>
        </w:rPr>
        <w:sym w:font="Symbol" w:char="F06D"/>
      </w:r>
      <w:r w:rsidRPr="005771BD">
        <w:rPr>
          <w:rFonts w:eastAsiaTheme="minorHAnsi" w:cs="Arial"/>
          <w:szCs w:val="20"/>
          <w:lang w:val="sl-SI" w:eastAsia="sl-SI"/>
        </w:rPr>
        <w:t>g/m</w:t>
      </w:r>
      <w:r w:rsidRPr="005771BD">
        <w:rPr>
          <w:rFonts w:eastAsiaTheme="minorHAnsi" w:cs="Arial"/>
          <w:szCs w:val="20"/>
          <w:vertAlign w:val="superscript"/>
          <w:lang w:val="sl-SI" w:eastAsia="sl-SI"/>
        </w:rPr>
        <w:t>3</w:t>
      </w:r>
      <w:r w:rsidRPr="005771BD">
        <w:rPr>
          <w:rFonts w:eastAsiaTheme="minorHAnsi" w:cs="Arial"/>
          <w:szCs w:val="20"/>
          <w:lang w:val="sl-SI" w:eastAsia="sl-SI"/>
        </w:rPr>
        <w:t xml:space="preserve"> na dan (ali krajše </w:t>
      </w:r>
      <w:r w:rsidRPr="005771BD">
        <w:rPr>
          <w:rFonts w:eastAsiaTheme="minorHAnsi" w:cs="Arial"/>
          <w:szCs w:val="20"/>
          <w:lang w:val="sl-SI" w:eastAsia="sl-SI"/>
        </w:rPr>
        <w:sym w:font="Symbol" w:char="F06D"/>
      </w:r>
      <w:r w:rsidRPr="005771BD">
        <w:rPr>
          <w:rFonts w:eastAsiaTheme="minorHAnsi" w:cs="Arial"/>
          <w:szCs w:val="20"/>
          <w:lang w:val="sl-SI" w:eastAsia="sl-SI"/>
        </w:rPr>
        <w:t>g/m</w:t>
      </w:r>
      <w:r w:rsidRPr="005771BD">
        <w:rPr>
          <w:rFonts w:eastAsiaTheme="minorHAnsi" w:cs="Arial"/>
          <w:szCs w:val="20"/>
          <w:vertAlign w:val="superscript"/>
          <w:lang w:val="sl-SI" w:eastAsia="sl-SI"/>
        </w:rPr>
        <w:t>3</w:t>
      </w:r>
      <w:r w:rsidRPr="005771BD">
        <w:rPr>
          <w:rFonts w:eastAsiaTheme="minorHAnsi" w:cs="Arial"/>
          <w:szCs w:val="20"/>
          <w:lang w:val="sl-SI" w:eastAsia="sl-SI"/>
        </w:rPr>
        <w:t xml:space="preserve">.d). </w:t>
      </w:r>
    </w:p>
    <w:p w:rsidR="0057482E" w:rsidRPr="005771BD" w:rsidRDefault="0057482E" w:rsidP="0057482E">
      <w:pPr>
        <w:spacing w:after="240" w:line="240" w:lineRule="auto"/>
        <w:jc w:val="both"/>
        <w:rPr>
          <w:rFonts w:eastAsiaTheme="minorHAnsi" w:cs="Arial"/>
          <w:szCs w:val="20"/>
          <w:lang w:val="sl-SI" w:eastAsia="sl-SI"/>
        </w:rPr>
      </w:pPr>
      <w:r w:rsidRPr="005771BD">
        <w:rPr>
          <w:rFonts w:eastAsiaTheme="minorHAnsi" w:cs="Arial"/>
          <w:szCs w:val="20"/>
          <w:lang w:val="sl-SI" w:eastAsia="sl-SI"/>
        </w:rPr>
        <w:t>Iz slike 1</w:t>
      </w:r>
      <w:r w:rsidR="00107DE0">
        <w:rPr>
          <w:rFonts w:eastAsiaTheme="minorHAnsi" w:cs="Arial"/>
          <w:szCs w:val="20"/>
          <w:lang w:val="sl-SI" w:eastAsia="sl-SI"/>
        </w:rPr>
        <w:t>6</w:t>
      </w:r>
      <w:r w:rsidRPr="005771BD">
        <w:rPr>
          <w:rFonts w:eastAsiaTheme="minorHAnsi" w:cs="Arial"/>
          <w:szCs w:val="20"/>
          <w:lang w:val="sl-SI" w:eastAsia="sl-SI"/>
        </w:rPr>
        <w:t xml:space="preserve">.5 je razvidno, da so glede </w:t>
      </w:r>
      <w:r>
        <w:rPr>
          <w:rFonts w:eastAsiaTheme="minorHAnsi" w:cs="Arial"/>
          <w:szCs w:val="20"/>
          <w:lang w:val="sl-SI" w:eastAsia="sl-SI"/>
        </w:rPr>
        <w:t>možne</w:t>
      </w:r>
      <w:r w:rsidRPr="005771BD">
        <w:rPr>
          <w:rFonts w:eastAsiaTheme="minorHAnsi" w:cs="Arial"/>
          <w:szCs w:val="20"/>
          <w:lang w:val="sl-SI" w:eastAsia="sl-SI"/>
        </w:rPr>
        <w:t xml:space="preserve"> izpostavljenosti ljudi ozonu problematična predvsem merilna mesta v mestnem okolju. Med temi najbolj izstopata merilni mesti Nova Gorica in Koper (merilno mesto je v DMKZ vključeno od leta 2007). Največja vrednost kazalca v mestnem okolju je bila v obdobju 2002</w:t>
      </w:r>
      <w:r>
        <w:rPr>
          <w:rFonts w:eastAsiaTheme="minorHAnsi" w:cs="Arial"/>
          <w:szCs w:val="20"/>
          <w:lang w:val="sl-SI" w:eastAsia="sl-SI"/>
        </w:rPr>
        <w:t>–</w:t>
      </w:r>
      <w:r w:rsidRPr="005771BD">
        <w:rPr>
          <w:rFonts w:eastAsiaTheme="minorHAnsi" w:cs="Arial"/>
          <w:szCs w:val="20"/>
          <w:lang w:val="sl-SI" w:eastAsia="sl-SI"/>
        </w:rPr>
        <w:t xml:space="preserve">2015 izračunana v Novi Gorici, in sicer v letu 2003, ko je znašala 32 </w:t>
      </w:r>
      <w:r w:rsidRPr="005771BD">
        <w:rPr>
          <w:rFonts w:eastAsiaTheme="minorHAnsi" w:cs="Arial"/>
          <w:szCs w:val="20"/>
          <w:lang w:val="sl-SI" w:eastAsia="sl-SI"/>
        </w:rPr>
        <w:sym w:font="Symbol" w:char="F06D"/>
      </w:r>
      <w:r w:rsidRPr="005771BD">
        <w:rPr>
          <w:rFonts w:eastAsiaTheme="minorHAnsi" w:cs="Arial"/>
          <w:szCs w:val="20"/>
          <w:lang w:val="sl-SI" w:eastAsia="sl-SI"/>
        </w:rPr>
        <w:t>g/m</w:t>
      </w:r>
      <w:r w:rsidRPr="005771BD">
        <w:rPr>
          <w:rFonts w:eastAsiaTheme="minorHAnsi" w:cs="Arial"/>
          <w:szCs w:val="20"/>
          <w:vertAlign w:val="superscript"/>
          <w:lang w:val="sl-SI" w:eastAsia="sl-SI"/>
        </w:rPr>
        <w:t>3</w:t>
      </w:r>
      <w:r w:rsidRPr="005771BD">
        <w:rPr>
          <w:rFonts w:eastAsiaTheme="minorHAnsi" w:cs="Arial"/>
          <w:szCs w:val="20"/>
          <w:lang w:val="sl-SI" w:eastAsia="sl-SI"/>
        </w:rPr>
        <w:t>.d., od leta 2007 pa so največje vrednosti kazalca izračunane v Kopru. Na tem merilnem mestu je bila največja vrednost kazalca SOMO</w:t>
      </w:r>
      <w:r w:rsidRPr="005771BD">
        <w:rPr>
          <w:rFonts w:eastAsiaTheme="minorHAnsi" w:cs="Arial"/>
          <w:szCs w:val="20"/>
          <w:vertAlign w:val="subscript"/>
          <w:lang w:val="sl-SI" w:eastAsia="sl-SI"/>
        </w:rPr>
        <w:t>35</w:t>
      </w:r>
      <w:r w:rsidRPr="005771BD">
        <w:rPr>
          <w:rFonts w:eastAsiaTheme="minorHAnsi" w:cs="Arial"/>
          <w:szCs w:val="20"/>
          <w:lang w:val="sl-SI" w:eastAsia="sl-SI"/>
        </w:rPr>
        <w:t xml:space="preserve"> izračunana v letu 2012</w:t>
      </w:r>
      <w:r>
        <w:rPr>
          <w:rFonts w:eastAsiaTheme="minorHAnsi" w:cs="Arial"/>
          <w:szCs w:val="20"/>
          <w:lang w:val="sl-SI" w:eastAsia="sl-SI"/>
        </w:rPr>
        <w:t>,</w:t>
      </w:r>
      <w:r w:rsidRPr="005771BD">
        <w:rPr>
          <w:rFonts w:eastAsiaTheme="minorHAnsi" w:cs="Arial"/>
          <w:szCs w:val="20"/>
          <w:lang w:val="sl-SI" w:eastAsia="sl-SI"/>
        </w:rPr>
        <w:t xml:space="preserve"> in sicer 28 </w:t>
      </w:r>
      <w:r w:rsidRPr="005771BD">
        <w:rPr>
          <w:rFonts w:eastAsiaTheme="minorHAnsi" w:cs="Arial"/>
          <w:szCs w:val="20"/>
          <w:lang w:val="sl-SI" w:eastAsia="sl-SI"/>
        </w:rPr>
        <w:sym w:font="Symbol" w:char="F06D"/>
      </w:r>
      <w:r w:rsidRPr="005771BD">
        <w:rPr>
          <w:rFonts w:eastAsiaTheme="minorHAnsi" w:cs="Arial"/>
          <w:szCs w:val="20"/>
          <w:lang w:val="sl-SI" w:eastAsia="sl-SI"/>
        </w:rPr>
        <w:t>g/m</w:t>
      </w:r>
      <w:r w:rsidRPr="005771BD">
        <w:rPr>
          <w:rFonts w:eastAsiaTheme="minorHAnsi" w:cs="Arial"/>
          <w:szCs w:val="20"/>
          <w:vertAlign w:val="superscript"/>
          <w:lang w:val="sl-SI" w:eastAsia="sl-SI"/>
        </w:rPr>
        <w:t>3</w:t>
      </w:r>
      <w:r w:rsidRPr="005771BD">
        <w:rPr>
          <w:rFonts w:eastAsiaTheme="minorHAnsi" w:cs="Arial"/>
          <w:szCs w:val="20"/>
          <w:lang w:val="sl-SI" w:eastAsia="sl-SI"/>
        </w:rPr>
        <w:t xml:space="preserve">.d. </w:t>
      </w:r>
    </w:p>
    <w:p w:rsidR="0057482E" w:rsidRPr="005771BD" w:rsidRDefault="0057482E" w:rsidP="0057482E">
      <w:pPr>
        <w:spacing w:after="240" w:line="276" w:lineRule="auto"/>
        <w:jc w:val="both"/>
        <w:rPr>
          <w:rFonts w:eastAsiaTheme="minorHAnsi" w:cs="Arial"/>
          <w:szCs w:val="20"/>
          <w:lang w:val="sl-SI" w:eastAsia="sl-SI"/>
        </w:rPr>
      </w:pPr>
    </w:p>
    <w:p w:rsidR="0057482E" w:rsidRPr="005771BD" w:rsidRDefault="0057482E" w:rsidP="0057482E">
      <w:pPr>
        <w:spacing w:after="200" w:line="276" w:lineRule="auto"/>
        <w:jc w:val="both"/>
        <w:rPr>
          <w:rFonts w:eastAsiaTheme="minorHAnsi" w:cs="Arial"/>
          <w:szCs w:val="20"/>
          <w:lang w:val="sl-SI" w:eastAsia="sl-SI"/>
        </w:rPr>
      </w:pPr>
      <w:r w:rsidRPr="007F272F">
        <w:rPr>
          <w:rFonts w:eastAsiaTheme="minorHAnsi" w:cs="Arial"/>
          <w:noProof/>
          <w:szCs w:val="20"/>
          <w:lang w:val="sl-SI" w:eastAsia="sl-SI"/>
        </w:rPr>
        <w:drawing>
          <wp:inline distT="0" distB="0" distL="0" distR="0" wp14:anchorId="10CD023A" wp14:editId="23DB2E35">
            <wp:extent cx="5189516" cy="2914524"/>
            <wp:effectExtent l="0" t="0" r="0" b="635"/>
            <wp:docPr id="654" name="Slika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184390" cy="2911645"/>
                    </a:xfrm>
                    <a:prstGeom prst="rect">
                      <a:avLst/>
                    </a:prstGeom>
                    <a:noFill/>
                  </pic:spPr>
                </pic:pic>
              </a:graphicData>
            </a:graphic>
          </wp:inline>
        </w:drawing>
      </w:r>
    </w:p>
    <w:p w:rsidR="0057482E" w:rsidRPr="005771BD" w:rsidRDefault="0057482E" w:rsidP="0057482E">
      <w:pPr>
        <w:tabs>
          <w:tab w:val="left" w:pos="1134"/>
        </w:tabs>
        <w:spacing w:line="240" w:lineRule="auto"/>
        <w:rPr>
          <w:rFonts w:eastAsiaTheme="minorHAnsi" w:cs="Arial"/>
          <w:i/>
          <w:szCs w:val="20"/>
          <w:lang w:val="sl-SI" w:eastAsia="sl-SI"/>
        </w:rPr>
      </w:pPr>
      <w:r w:rsidRPr="005771BD">
        <w:rPr>
          <w:rFonts w:eastAsiaTheme="minorHAnsi" w:cs="Arial"/>
          <w:i/>
          <w:szCs w:val="20"/>
          <w:lang w:val="sl-SI" w:eastAsia="sl-SI"/>
        </w:rPr>
        <w:t>Slika 1</w:t>
      </w:r>
      <w:r w:rsidR="001A509D">
        <w:rPr>
          <w:rFonts w:eastAsiaTheme="minorHAnsi" w:cs="Arial"/>
          <w:i/>
          <w:szCs w:val="20"/>
          <w:lang w:val="sl-SI" w:eastAsia="sl-SI"/>
        </w:rPr>
        <w:t>6</w:t>
      </w:r>
      <w:r w:rsidRPr="005771BD">
        <w:rPr>
          <w:rFonts w:eastAsiaTheme="minorHAnsi" w:cs="Arial"/>
          <w:i/>
          <w:szCs w:val="20"/>
          <w:lang w:val="sl-SI" w:eastAsia="sl-SI"/>
        </w:rPr>
        <w:t>.5. Vrednosti kazalca SOMO</w:t>
      </w:r>
      <w:r w:rsidRPr="005771BD">
        <w:rPr>
          <w:rFonts w:eastAsiaTheme="minorHAnsi" w:cs="Arial"/>
          <w:i/>
          <w:szCs w:val="20"/>
          <w:vertAlign w:val="subscript"/>
          <w:lang w:val="sl-SI" w:eastAsia="sl-SI"/>
        </w:rPr>
        <w:t>35</w:t>
      </w:r>
      <w:r w:rsidRPr="005771BD">
        <w:rPr>
          <w:rFonts w:eastAsiaTheme="minorHAnsi" w:cs="Arial"/>
          <w:i/>
          <w:szCs w:val="20"/>
          <w:lang w:val="sl-SI" w:eastAsia="sl-SI"/>
        </w:rPr>
        <w:t xml:space="preserve">, </w:t>
      </w:r>
      <w:r w:rsidRPr="005771BD">
        <w:rPr>
          <w:rFonts w:eastAsiaTheme="minorHAnsi" w:cs="Arial"/>
          <w:i/>
          <w:szCs w:val="20"/>
          <w:lang w:val="sl-SI" w:eastAsia="sl-SI"/>
        </w:rPr>
        <w:sym w:font="Symbol" w:char="F06D"/>
      </w:r>
      <w:r w:rsidRPr="005771BD">
        <w:rPr>
          <w:rFonts w:eastAsiaTheme="minorHAnsi" w:cs="Arial"/>
          <w:i/>
          <w:szCs w:val="20"/>
          <w:lang w:val="sl-SI" w:eastAsia="sl-SI"/>
        </w:rPr>
        <w:t>g/m</w:t>
      </w:r>
      <w:r w:rsidRPr="005771BD">
        <w:rPr>
          <w:rFonts w:eastAsiaTheme="minorHAnsi" w:cs="Arial"/>
          <w:i/>
          <w:szCs w:val="20"/>
          <w:vertAlign w:val="superscript"/>
          <w:lang w:val="sl-SI" w:eastAsia="sl-SI"/>
        </w:rPr>
        <w:t>3</w:t>
      </w:r>
      <w:r w:rsidRPr="005771BD">
        <w:rPr>
          <w:rFonts w:eastAsiaTheme="minorHAnsi" w:cs="Arial"/>
          <w:i/>
          <w:szCs w:val="20"/>
          <w:lang w:val="sl-SI" w:eastAsia="sl-SI"/>
        </w:rPr>
        <w:t xml:space="preserve">.d, na stalnih </w:t>
      </w:r>
      <w:r>
        <w:rPr>
          <w:rFonts w:eastAsiaTheme="minorHAnsi" w:cs="Arial"/>
          <w:i/>
          <w:szCs w:val="20"/>
          <w:lang w:val="sl-SI" w:eastAsia="sl-SI"/>
        </w:rPr>
        <w:t>samodejnih</w:t>
      </w:r>
      <w:r w:rsidRPr="005771BD">
        <w:rPr>
          <w:rFonts w:eastAsiaTheme="minorHAnsi" w:cs="Arial"/>
          <w:i/>
          <w:szCs w:val="20"/>
          <w:lang w:val="sl-SI" w:eastAsia="sl-SI"/>
        </w:rPr>
        <w:t xml:space="preserve"> merilnih mestih v Sloveniji od 2002 do 2015 (NIJZ 2016b)</w:t>
      </w:r>
    </w:p>
    <w:p w:rsidR="0057482E" w:rsidRPr="005771BD" w:rsidRDefault="0057482E" w:rsidP="0057482E">
      <w:pPr>
        <w:tabs>
          <w:tab w:val="left" w:pos="1134"/>
        </w:tabs>
        <w:spacing w:line="240" w:lineRule="auto"/>
        <w:rPr>
          <w:rFonts w:eastAsiaTheme="minorHAnsi" w:cs="Arial"/>
          <w:sz w:val="18"/>
          <w:szCs w:val="18"/>
          <w:lang w:val="sl-SI" w:eastAsia="sl-SI"/>
        </w:rPr>
      </w:pPr>
      <w:r w:rsidRPr="005771BD">
        <w:rPr>
          <w:rFonts w:eastAsiaTheme="minorHAnsi" w:cs="Arial"/>
          <w:sz w:val="18"/>
          <w:szCs w:val="18"/>
          <w:lang w:val="sl-SI" w:eastAsia="sl-SI"/>
        </w:rPr>
        <w:t>Vir podatkov: ARSO 2002</w:t>
      </w:r>
      <w:r>
        <w:rPr>
          <w:rFonts w:eastAsiaTheme="minorHAnsi" w:cs="Arial"/>
          <w:sz w:val="18"/>
          <w:szCs w:val="18"/>
          <w:lang w:val="sl-SI" w:eastAsia="sl-SI"/>
        </w:rPr>
        <w:t>–</w:t>
      </w:r>
      <w:r w:rsidRPr="005771BD">
        <w:rPr>
          <w:rFonts w:eastAsiaTheme="minorHAnsi" w:cs="Arial"/>
          <w:sz w:val="18"/>
          <w:szCs w:val="18"/>
          <w:lang w:val="sl-SI" w:eastAsia="sl-SI"/>
        </w:rPr>
        <w:t>2015</w:t>
      </w:r>
    </w:p>
    <w:p w:rsidR="0057482E" w:rsidRPr="005771BD" w:rsidRDefault="0057482E" w:rsidP="0057482E">
      <w:pPr>
        <w:tabs>
          <w:tab w:val="left" w:pos="1134"/>
        </w:tabs>
        <w:spacing w:line="240" w:lineRule="auto"/>
        <w:rPr>
          <w:rFonts w:eastAsiaTheme="minorHAnsi" w:cs="Arial"/>
          <w:szCs w:val="20"/>
          <w:lang w:val="sl-SI" w:eastAsia="sl-SI"/>
        </w:rPr>
      </w:pPr>
    </w:p>
    <w:p w:rsidR="0057482E" w:rsidRPr="005771BD" w:rsidRDefault="0057482E" w:rsidP="0057482E">
      <w:pPr>
        <w:spacing w:line="240" w:lineRule="auto"/>
        <w:jc w:val="both"/>
        <w:rPr>
          <w:rFonts w:eastAsiaTheme="minorHAnsi" w:cs="Arial"/>
          <w:szCs w:val="20"/>
          <w:lang w:val="sl-SI" w:eastAsia="sl-SI"/>
        </w:rPr>
      </w:pPr>
    </w:p>
    <w:p w:rsidR="0057482E" w:rsidRPr="005771BD" w:rsidRDefault="0057482E" w:rsidP="0057482E">
      <w:pPr>
        <w:spacing w:after="200" w:line="240" w:lineRule="auto"/>
        <w:jc w:val="both"/>
        <w:rPr>
          <w:rFonts w:eastAsiaTheme="minorHAnsi" w:cs="Arial"/>
          <w:szCs w:val="20"/>
          <w:lang w:val="sl-SI" w:eastAsia="sl-SI"/>
        </w:rPr>
      </w:pPr>
      <w:r w:rsidRPr="005771BD">
        <w:rPr>
          <w:rFonts w:eastAsiaTheme="minorHAnsi" w:cs="Arial"/>
          <w:szCs w:val="20"/>
          <w:lang w:val="sl-SI" w:eastAsia="sl-SI"/>
        </w:rPr>
        <w:t xml:space="preserve">Podatki različnih merilnih mest niso neposredno primerljivi zaradi različnih </w:t>
      </w:r>
      <w:r>
        <w:rPr>
          <w:rFonts w:eastAsiaTheme="minorHAnsi" w:cs="Arial"/>
          <w:szCs w:val="20"/>
          <w:lang w:val="sl-SI" w:eastAsia="sl-SI"/>
        </w:rPr>
        <w:t>vrst</w:t>
      </w:r>
      <w:r w:rsidRPr="005771BD">
        <w:rPr>
          <w:rFonts w:eastAsiaTheme="minorHAnsi" w:cs="Arial"/>
          <w:szCs w:val="20"/>
          <w:lang w:val="sl-SI" w:eastAsia="sl-SI"/>
        </w:rPr>
        <w:t xml:space="preserve"> lokacij glede na vpliv virov onesnaženja in drugih </w:t>
      </w:r>
      <w:r>
        <w:rPr>
          <w:rFonts w:eastAsiaTheme="minorHAnsi" w:cs="Arial"/>
          <w:szCs w:val="20"/>
          <w:lang w:val="sl-SI" w:eastAsia="sl-SI"/>
        </w:rPr>
        <w:t>posebnih razmer</w:t>
      </w:r>
      <w:r w:rsidRPr="005771BD">
        <w:rPr>
          <w:rFonts w:eastAsiaTheme="minorHAnsi" w:cs="Arial"/>
          <w:szCs w:val="20"/>
          <w:lang w:val="sl-SI" w:eastAsia="sl-SI"/>
        </w:rPr>
        <w:t>. Zato so na sliki 1</w:t>
      </w:r>
      <w:r w:rsidR="00107DE0">
        <w:rPr>
          <w:rFonts w:eastAsiaTheme="minorHAnsi" w:cs="Arial"/>
          <w:szCs w:val="20"/>
          <w:lang w:val="sl-SI" w:eastAsia="sl-SI"/>
        </w:rPr>
        <w:t>6</w:t>
      </w:r>
      <w:r w:rsidRPr="005771BD">
        <w:rPr>
          <w:rFonts w:eastAsiaTheme="minorHAnsi" w:cs="Arial"/>
          <w:szCs w:val="20"/>
          <w:lang w:val="sl-SI" w:eastAsia="sl-SI"/>
        </w:rPr>
        <w:t>.6 vrednosti SOMO</w:t>
      </w:r>
      <w:r w:rsidRPr="005771BD">
        <w:rPr>
          <w:rFonts w:eastAsiaTheme="minorHAnsi" w:cs="Arial"/>
          <w:szCs w:val="20"/>
          <w:vertAlign w:val="subscript"/>
          <w:lang w:val="sl-SI" w:eastAsia="sl-SI"/>
        </w:rPr>
        <w:t>35</w:t>
      </w:r>
      <w:r w:rsidRPr="005771BD">
        <w:rPr>
          <w:rFonts w:eastAsiaTheme="minorHAnsi" w:cs="Arial"/>
          <w:szCs w:val="20"/>
          <w:lang w:val="sl-SI" w:eastAsia="sl-SI"/>
        </w:rPr>
        <w:t xml:space="preserve"> prikazane kot drseča 3-letna povprečja v obdobju 2002</w:t>
      </w:r>
      <w:r>
        <w:rPr>
          <w:rFonts w:eastAsiaTheme="minorHAnsi" w:cs="Arial"/>
          <w:szCs w:val="20"/>
          <w:lang w:val="sl-SI" w:eastAsia="sl-SI"/>
        </w:rPr>
        <w:t>–</w:t>
      </w:r>
      <w:r w:rsidRPr="005771BD">
        <w:rPr>
          <w:rFonts w:eastAsiaTheme="minorHAnsi" w:cs="Arial"/>
          <w:szCs w:val="20"/>
          <w:lang w:val="sl-SI" w:eastAsia="sl-SI"/>
        </w:rPr>
        <w:t xml:space="preserve">2015 po značilnostih lokacije oziroma merilnih mestih, razvrščenih v različne </w:t>
      </w:r>
      <w:r>
        <w:rPr>
          <w:rFonts w:eastAsiaTheme="minorHAnsi" w:cs="Arial"/>
          <w:szCs w:val="20"/>
          <w:lang w:val="sl-SI" w:eastAsia="sl-SI"/>
        </w:rPr>
        <w:t>vrste</w:t>
      </w:r>
      <w:r w:rsidRPr="005771BD">
        <w:rPr>
          <w:rFonts w:eastAsiaTheme="minorHAnsi" w:cs="Arial"/>
          <w:szCs w:val="20"/>
          <w:lang w:val="sl-SI" w:eastAsia="sl-SI"/>
        </w:rPr>
        <w:t xml:space="preserve"> merilnih mest, oziroma območjih in aglomeracijah, določenih z Uredbo o kakovosti zunanjega zraka (Uradni list RS, št. 8/2015).</w:t>
      </w:r>
    </w:p>
    <w:p w:rsidR="0057482E" w:rsidRPr="005771BD" w:rsidRDefault="0057482E" w:rsidP="0057482E">
      <w:pPr>
        <w:spacing w:line="240" w:lineRule="auto"/>
        <w:jc w:val="both"/>
        <w:rPr>
          <w:rFonts w:eastAsiaTheme="minorHAnsi" w:cs="Arial"/>
          <w:szCs w:val="20"/>
          <w:lang w:val="sl-SI" w:eastAsia="sl-SI"/>
        </w:rPr>
      </w:pPr>
    </w:p>
    <w:p w:rsidR="0057482E" w:rsidRPr="005771BD" w:rsidRDefault="0057482E" w:rsidP="0057482E">
      <w:pPr>
        <w:tabs>
          <w:tab w:val="left" w:pos="1134"/>
          <w:tab w:val="center" w:pos="4536"/>
        </w:tabs>
        <w:spacing w:after="60" w:line="276" w:lineRule="auto"/>
        <w:jc w:val="center"/>
        <w:rPr>
          <w:rFonts w:eastAsiaTheme="minorHAnsi" w:cs="Arial"/>
          <w:szCs w:val="20"/>
          <w:lang w:val="sl-SI"/>
        </w:rPr>
      </w:pPr>
      <w:r w:rsidRPr="007F272F">
        <w:rPr>
          <w:rFonts w:eastAsiaTheme="minorHAnsi" w:cs="Arial"/>
          <w:noProof/>
          <w:szCs w:val="20"/>
          <w:lang w:val="sl-SI" w:eastAsia="sl-SI"/>
        </w:rPr>
        <w:drawing>
          <wp:inline distT="0" distB="0" distL="0" distR="0" wp14:anchorId="2A887781" wp14:editId="505D57F2">
            <wp:extent cx="5535930" cy="2865120"/>
            <wp:effectExtent l="0" t="0" r="7620" b="0"/>
            <wp:docPr id="655" name="Slika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535930" cy="2865120"/>
                    </a:xfrm>
                    <a:prstGeom prst="rect">
                      <a:avLst/>
                    </a:prstGeom>
                    <a:noFill/>
                  </pic:spPr>
                </pic:pic>
              </a:graphicData>
            </a:graphic>
          </wp:inline>
        </w:drawing>
      </w:r>
    </w:p>
    <w:p w:rsidR="0057482E" w:rsidRPr="005771BD" w:rsidRDefault="0057482E" w:rsidP="0057482E">
      <w:pPr>
        <w:spacing w:line="240" w:lineRule="auto"/>
        <w:jc w:val="both"/>
        <w:rPr>
          <w:rFonts w:eastAsiaTheme="minorHAnsi" w:cs="Arial"/>
          <w:i/>
          <w:szCs w:val="20"/>
          <w:lang w:val="sl-SI" w:eastAsia="sl-SI"/>
        </w:rPr>
      </w:pPr>
      <w:r w:rsidRPr="005771BD">
        <w:rPr>
          <w:rFonts w:eastAsiaTheme="minorHAnsi" w:cs="Arial"/>
          <w:i/>
          <w:szCs w:val="20"/>
          <w:lang w:val="sl-SI" w:eastAsia="sl-SI"/>
        </w:rPr>
        <w:t>Slika 1</w:t>
      </w:r>
      <w:r w:rsidR="001A509D">
        <w:rPr>
          <w:rFonts w:eastAsiaTheme="minorHAnsi" w:cs="Arial"/>
          <w:i/>
          <w:szCs w:val="20"/>
          <w:lang w:val="sl-SI" w:eastAsia="sl-SI"/>
        </w:rPr>
        <w:t>6</w:t>
      </w:r>
      <w:r w:rsidRPr="005771BD">
        <w:rPr>
          <w:rFonts w:eastAsiaTheme="minorHAnsi" w:cs="Arial"/>
          <w:i/>
          <w:szCs w:val="20"/>
          <w:lang w:val="sl-SI" w:eastAsia="sl-SI"/>
        </w:rPr>
        <w:t>.6. Drseča 3-letna povprečja vrednosti kazalca SOMO</w:t>
      </w:r>
      <w:r w:rsidRPr="005771BD">
        <w:rPr>
          <w:rFonts w:eastAsiaTheme="minorHAnsi" w:cs="Arial"/>
          <w:i/>
          <w:szCs w:val="20"/>
          <w:vertAlign w:val="subscript"/>
          <w:lang w:val="sl-SI" w:eastAsia="sl-SI"/>
        </w:rPr>
        <w:t>35</w:t>
      </w:r>
      <w:r w:rsidRPr="005771BD">
        <w:rPr>
          <w:rFonts w:eastAsiaTheme="minorHAnsi" w:cs="Arial"/>
          <w:i/>
          <w:szCs w:val="20"/>
          <w:lang w:val="sl-SI" w:eastAsia="sl-SI"/>
        </w:rPr>
        <w:t xml:space="preserve"> po </w:t>
      </w:r>
      <w:r>
        <w:rPr>
          <w:rFonts w:eastAsiaTheme="minorHAnsi" w:cs="Arial"/>
          <w:i/>
          <w:szCs w:val="20"/>
          <w:lang w:val="sl-SI" w:eastAsia="sl-SI"/>
        </w:rPr>
        <w:t>vrstah</w:t>
      </w:r>
      <w:r w:rsidRPr="005771BD">
        <w:rPr>
          <w:rFonts w:eastAsiaTheme="minorHAnsi" w:cs="Arial"/>
          <w:i/>
          <w:szCs w:val="20"/>
          <w:lang w:val="sl-SI" w:eastAsia="sl-SI"/>
        </w:rPr>
        <w:t xml:space="preserve"> merilnih mest DMKZ za obdobje 2002</w:t>
      </w:r>
      <w:r>
        <w:rPr>
          <w:rFonts w:eastAsiaTheme="minorHAnsi" w:cs="Arial"/>
          <w:i/>
          <w:szCs w:val="20"/>
          <w:lang w:val="sl-SI" w:eastAsia="sl-SI"/>
        </w:rPr>
        <w:t>–</w:t>
      </w:r>
      <w:r w:rsidRPr="005771BD">
        <w:rPr>
          <w:rFonts w:eastAsiaTheme="minorHAnsi" w:cs="Arial"/>
          <w:i/>
          <w:szCs w:val="20"/>
          <w:lang w:val="sl-SI" w:eastAsia="sl-SI"/>
        </w:rPr>
        <w:t>2015 (NIJZ 2016b).</w:t>
      </w:r>
    </w:p>
    <w:p w:rsidR="0057482E" w:rsidRPr="005771BD" w:rsidRDefault="0057482E" w:rsidP="0057482E">
      <w:pPr>
        <w:tabs>
          <w:tab w:val="left" w:pos="1134"/>
        </w:tabs>
        <w:spacing w:line="240" w:lineRule="auto"/>
        <w:rPr>
          <w:rFonts w:eastAsiaTheme="minorHAnsi" w:cs="Arial"/>
          <w:sz w:val="18"/>
          <w:szCs w:val="18"/>
          <w:lang w:val="sl-SI" w:eastAsia="sl-SI"/>
        </w:rPr>
      </w:pPr>
      <w:r w:rsidRPr="005771BD">
        <w:rPr>
          <w:rFonts w:eastAsiaTheme="minorHAnsi" w:cs="Arial"/>
          <w:sz w:val="18"/>
          <w:szCs w:val="18"/>
          <w:lang w:val="sl-SI" w:eastAsia="sl-SI"/>
        </w:rPr>
        <w:t>Vir podatkov: ARSO 2002</w:t>
      </w:r>
      <w:r>
        <w:rPr>
          <w:rFonts w:eastAsiaTheme="minorHAnsi" w:cs="Arial"/>
          <w:sz w:val="18"/>
          <w:szCs w:val="18"/>
          <w:lang w:val="sl-SI" w:eastAsia="sl-SI"/>
        </w:rPr>
        <w:t>–</w:t>
      </w:r>
      <w:r w:rsidRPr="005771BD">
        <w:rPr>
          <w:rFonts w:eastAsiaTheme="minorHAnsi" w:cs="Arial"/>
          <w:sz w:val="18"/>
          <w:szCs w:val="18"/>
          <w:lang w:val="sl-SI" w:eastAsia="sl-SI"/>
        </w:rPr>
        <w:t>2015</w:t>
      </w:r>
    </w:p>
    <w:p w:rsidR="0057482E" w:rsidRPr="005771BD" w:rsidRDefault="0057482E" w:rsidP="0057482E">
      <w:pPr>
        <w:spacing w:after="60" w:line="276" w:lineRule="auto"/>
        <w:jc w:val="both"/>
        <w:rPr>
          <w:rFonts w:eastAsiaTheme="minorHAnsi" w:cs="Arial"/>
          <w:szCs w:val="20"/>
          <w:lang w:val="sl-SI" w:eastAsia="sl-SI"/>
        </w:rPr>
      </w:pPr>
    </w:p>
    <w:p w:rsidR="0057482E" w:rsidRPr="005771BD" w:rsidRDefault="0057482E" w:rsidP="0057482E">
      <w:pPr>
        <w:spacing w:after="200" w:line="240" w:lineRule="auto"/>
        <w:jc w:val="both"/>
        <w:rPr>
          <w:rFonts w:eastAsiaTheme="minorHAnsi" w:cs="Arial"/>
          <w:szCs w:val="20"/>
          <w:lang w:val="sl-SI" w:eastAsia="sl-SI"/>
        </w:rPr>
      </w:pPr>
      <w:r w:rsidRPr="005771BD">
        <w:rPr>
          <w:rFonts w:eastAsiaTheme="minorHAnsi" w:cs="Arial"/>
          <w:szCs w:val="20"/>
          <w:lang w:val="sl-SI" w:eastAsia="sl-SI"/>
        </w:rPr>
        <w:t>Mestno ozadje-SIP na sliki 1</w:t>
      </w:r>
      <w:r w:rsidR="00107DE0">
        <w:rPr>
          <w:rFonts w:eastAsiaTheme="minorHAnsi" w:cs="Arial"/>
          <w:szCs w:val="20"/>
          <w:lang w:val="sl-SI" w:eastAsia="sl-SI"/>
        </w:rPr>
        <w:t>6</w:t>
      </w:r>
      <w:r w:rsidRPr="005771BD">
        <w:rPr>
          <w:rFonts w:eastAsiaTheme="minorHAnsi" w:cs="Arial"/>
          <w:szCs w:val="20"/>
          <w:lang w:val="sl-SI" w:eastAsia="sl-SI"/>
        </w:rPr>
        <w:t xml:space="preserve">.6 </w:t>
      </w:r>
      <w:r>
        <w:rPr>
          <w:rFonts w:eastAsiaTheme="minorHAnsi" w:cs="Arial"/>
          <w:szCs w:val="20"/>
          <w:lang w:val="sl-SI" w:eastAsia="sl-SI"/>
        </w:rPr>
        <w:t>sta</w:t>
      </w:r>
      <w:r w:rsidRPr="005771BD">
        <w:rPr>
          <w:rFonts w:eastAsiaTheme="minorHAnsi" w:cs="Arial"/>
          <w:szCs w:val="20"/>
          <w:lang w:val="sl-SI" w:eastAsia="sl-SI"/>
        </w:rPr>
        <w:t xml:space="preserve"> meriln</w:t>
      </w:r>
      <w:r>
        <w:rPr>
          <w:rFonts w:eastAsiaTheme="minorHAnsi" w:cs="Arial"/>
          <w:szCs w:val="20"/>
          <w:lang w:val="sl-SI" w:eastAsia="sl-SI"/>
        </w:rPr>
        <w:t>i</w:t>
      </w:r>
      <w:r w:rsidRPr="005771BD">
        <w:rPr>
          <w:rFonts w:eastAsiaTheme="minorHAnsi" w:cs="Arial"/>
          <w:szCs w:val="20"/>
          <w:lang w:val="sl-SI" w:eastAsia="sl-SI"/>
        </w:rPr>
        <w:t xml:space="preserve"> mest</w:t>
      </w:r>
      <w:r>
        <w:rPr>
          <w:rFonts w:eastAsiaTheme="minorHAnsi" w:cs="Arial"/>
          <w:szCs w:val="20"/>
          <w:lang w:val="sl-SI" w:eastAsia="sl-SI"/>
        </w:rPr>
        <w:t>i</w:t>
      </w:r>
      <w:r w:rsidRPr="005771BD">
        <w:rPr>
          <w:rFonts w:eastAsiaTheme="minorHAnsi" w:cs="Arial"/>
          <w:szCs w:val="20"/>
          <w:lang w:val="sl-SI" w:eastAsia="sl-SI"/>
        </w:rPr>
        <w:t xml:space="preserve"> Nova Gorica in Koper, mestno ozadje-SIC predstavljajo merilna mesta Ljubljana Bežigrad, Celje in Hrastnik, predmestno ozadje predstavlja merilno mesto Trbovlje, podeželsko ozadje predstavljata dve merilni mesti Otlica in Iskrba, mestno-prometn</w:t>
      </w:r>
      <w:r>
        <w:rPr>
          <w:rFonts w:eastAsiaTheme="minorHAnsi" w:cs="Arial"/>
          <w:szCs w:val="20"/>
          <w:lang w:val="sl-SI" w:eastAsia="sl-SI"/>
        </w:rPr>
        <w:t>a vrsta</w:t>
      </w:r>
      <w:r w:rsidRPr="005771BD">
        <w:rPr>
          <w:rFonts w:eastAsiaTheme="minorHAnsi" w:cs="Arial"/>
          <w:szCs w:val="20"/>
          <w:lang w:val="sl-SI" w:eastAsia="sl-SI"/>
        </w:rPr>
        <w:t xml:space="preserve"> merilnega mesta sta merilni mesti Maribor center in Zagorje, kmetijsko-podeželsk</w:t>
      </w:r>
      <w:r>
        <w:rPr>
          <w:rFonts w:eastAsiaTheme="minorHAnsi" w:cs="Arial"/>
          <w:szCs w:val="20"/>
          <w:lang w:val="sl-SI" w:eastAsia="sl-SI"/>
        </w:rPr>
        <w:t>a vrsta</w:t>
      </w:r>
      <w:r w:rsidRPr="005771BD">
        <w:rPr>
          <w:rFonts w:eastAsiaTheme="minorHAnsi" w:cs="Arial"/>
          <w:szCs w:val="20"/>
          <w:lang w:val="sl-SI" w:eastAsia="sl-SI"/>
        </w:rPr>
        <w:t xml:space="preserve"> merilnega mesta pa </w:t>
      </w:r>
      <w:r>
        <w:rPr>
          <w:rFonts w:eastAsiaTheme="minorHAnsi" w:cs="Arial"/>
          <w:szCs w:val="20"/>
          <w:lang w:val="sl-SI" w:eastAsia="sl-SI"/>
        </w:rPr>
        <w:t>je</w:t>
      </w:r>
      <w:r w:rsidRPr="005771BD">
        <w:rPr>
          <w:rFonts w:eastAsiaTheme="minorHAnsi" w:cs="Arial"/>
          <w:szCs w:val="20"/>
          <w:lang w:val="sl-SI" w:eastAsia="sl-SI"/>
        </w:rPr>
        <w:t xml:space="preserve"> merilno mesto Murska Sobota Rakičan. Iz slike 6 je razvidno, da so vrednosti kazalca SOMO</w:t>
      </w:r>
      <w:r w:rsidRPr="005771BD">
        <w:rPr>
          <w:rFonts w:eastAsiaTheme="minorHAnsi" w:cs="Arial"/>
          <w:szCs w:val="20"/>
          <w:vertAlign w:val="subscript"/>
          <w:lang w:val="sl-SI" w:eastAsia="sl-SI"/>
        </w:rPr>
        <w:t>35</w:t>
      </w:r>
      <w:r w:rsidRPr="005771BD">
        <w:rPr>
          <w:rFonts w:eastAsiaTheme="minorHAnsi" w:cs="Arial"/>
          <w:szCs w:val="20"/>
          <w:lang w:val="sl-SI" w:eastAsia="sl-SI"/>
        </w:rPr>
        <w:t xml:space="preserve"> največje na merilnih mestih, ki </w:t>
      </w:r>
      <w:r>
        <w:rPr>
          <w:rFonts w:eastAsiaTheme="minorHAnsi" w:cs="Arial"/>
          <w:szCs w:val="20"/>
          <w:lang w:val="sl-SI" w:eastAsia="sl-SI"/>
        </w:rPr>
        <w:t>so</w:t>
      </w:r>
      <w:r w:rsidRPr="005771BD">
        <w:rPr>
          <w:rFonts w:eastAsiaTheme="minorHAnsi" w:cs="Arial"/>
          <w:szCs w:val="20"/>
          <w:lang w:val="sl-SI" w:eastAsia="sl-SI"/>
        </w:rPr>
        <w:t xml:space="preserve"> mestno ozadje na območju SIP, to je na merilnih mestih Koper in Nova Gorica. Glede na to je izpostavljenost prebivalcev ozonu  v Sloveniji največja na območju Kopra in Nove Gorice.</w:t>
      </w:r>
    </w:p>
    <w:p w:rsidR="0057482E" w:rsidRPr="005771BD" w:rsidRDefault="0057482E" w:rsidP="0057482E">
      <w:pPr>
        <w:spacing w:after="200" w:line="240" w:lineRule="auto"/>
        <w:jc w:val="both"/>
        <w:rPr>
          <w:rFonts w:eastAsiaTheme="minorHAnsi" w:cs="Arial"/>
          <w:szCs w:val="20"/>
          <w:lang w:val="sl-SI" w:eastAsia="sl-SI"/>
        </w:rPr>
      </w:pPr>
      <w:r w:rsidRPr="005771BD">
        <w:rPr>
          <w:rFonts w:eastAsiaTheme="minorHAnsi" w:cs="Arial"/>
          <w:szCs w:val="20"/>
          <w:lang w:val="sl-SI" w:eastAsia="sl-SI"/>
        </w:rPr>
        <w:t>Sliki 1</w:t>
      </w:r>
      <w:r w:rsidR="00107DE0">
        <w:rPr>
          <w:rFonts w:eastAsiaTheme="minorHAnsi" w:cs="Arial"/>
          <w:szCs w:val="20"/>
          <w:lang w:val="sl-SI" w:eastAsia="sl-SI"/>
        </w:rPr>
        <w:t>6</w:t>
      </w:r>
      <w:r w:rsidRPr="005771BD">
        <w:rPr>
          <w:rFonts w:eastAsiaTheme="minorHAnsi" w:cs="Arial"/>
          <w:szCs w:val="20"/>
          <w:lang w:val="sl-SI" w:eastAsia="sl-SI"/>
        </w:rPr>
        <w:t>.7 in 1</w:t>
      </w:r>
      <w:r w:rsidR="00107DE0">
        <w:rPr>
          <w:rFonts w:eastAsiaTheme="minorHAnsi" w:cs="Arial"/>
          <w:szCs w:val="20"/>
          <w:lang w:val="sl-SI" w:eastAsia="sl-SI"/>
        </w:rPr>
        <w:t>6</w:t>
      </w:r>
      <w:r w:rsidRPr="005771BD">
        <w:rPr>
          <w:rFonts w:eastAsiaTheme="minorHAnsi" w:cs="Arial"/>
          <w:szCs w:val="20"/>
          <w:lang w:val="sl-SI" w:eastAsia="sl-SI"/>
        </w:rPr>
        <w:t>.8 prikazujeta prispevek h kazalcu SOMO</w:t>
      </w:r>
      <w:r w:rsidRPr="005771BD">
        <w:rPr>
          <w:rFonts w:eastAsiaTheme="minorHAnsi" w:cs="Arial"/>
          <w:szCs w:val="20"/>
          <w:vertAlign w:val="subscript"/>
          <w:lang w:val="sl-SI" w:eastAsia="sl-SI"/>
        </w:rPr>
        <w:t>35</w:t>
      </w:r>
      <w:r w:rsidRPr="005771BD">
        <w:rPr>
          <w:rFonts w:eastAsiaTheme="minorHAnsi" w:cs="Arial"/>
          <w:szCs w:val="20"/>
          <w:lang w:val="sl-SI" w:eastAsia="sl-SI"/>
        </w:rPr>
        <w:t xml:space="preserve">. Ta je največji v poletnih mesecih, ko so preseganja največje dnevne 8-urne drseče srednje koncentracije ozona nad referenčno vrednostjo praviloma najpogostejša. Ocena vplivov ozona na zdravje (breme bolezni) se v nadaljevanju posledično osredotoča na prebivalce območja merilnih postaj Koper in Nova Gorica oziroma obeh </w:t>
      </w:r>
      <w:r>
        <w:rPr>
          <w:rFonts w:eastAsiaTheme="minorHAnsi" w:cs="Arial"/>
          <w:szCs w:val="20"/>
          <w:lang w:val="sl-SI" w:eastAsia="sl-SI"/>
        </w:rPr>
        <w:t>u</w:t>
      </w:r>
      <w:r w:rsidRPr="005771BD">
        <w:rPr>
          <w:rFonts w:eastAsiaTheme="minorHAnsi" w:cs="Arial"/>
          <w:szCs w:val="20"/>
          <w:lang w:val="sl-SI" w:eastAsia="sl-SI"/>
        </w:rPr>
        <w:t>pravnih enot (UE).</w:t>
      </w:r>
    </w:p>
    <w:p w:rsidR="0057482E" w:rsidRPr="005771BD" w:rsidRDefault="0057482E" w:rsidP="0057482E">
      <w:pPr>
        <w:spacing w:line="240" w:lineRule="auto"/>
        <w:jc w:val="both"/>
        <w:rPr>
          <w:rFonts w:eastAsiaTheme="minorHAnsi" w:cs="Arial"/>
          <w:szCs w:val="20"/>
          <w:lang w:val="sl-SI"/>
        </w:rPr>
      </w:pPr>
      <w:r w:rsidRPr="007F272F">
        <w:rPr>
          <w:rFonts w:eastAsiaTheme="minorHAnsi" w:cs="Arial"/>
          <w:noProof/>
          <w:szCs w:val="20"/>
          <w:lang w:val="sl-SI" w:eastAsia="sl-SI"/>
        </w:rPr>
        <w:drawing>
          <wp:inline distT="0" distB="0" distL="0" distR="0" wp14:anchorId="2803AEB7" wp14:editId="3052671E">
            <wp:extent cx="5986780" cy="1828800"/>
            <wp:effectExtent l="0" t="0" r="0" b="0"/>
            <wp:docPr id="656" name="Slika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986780" cy="1828800"/>
                    </a:xfrm>
                    <a:prstGeom prst="rect">
                      <a:avLst/>
                    </a:prstGeom>
                    <a:noFill/>
                  </pic:spPr>
                </pic:pic>
              </a:graphicData>
            </a:graphic>
          </wp:inline>
        </w:drawing>
      </w:r>
    </w:p>
    <w:p w:rsidR="0057482E" w:rsidRPr="005771BD" w:rsidRDefault="0057482E" w:rsidP="0057482E">
      <w:pPr>
        <w:spacing w:after="60" w:line="276" w:lineRule="auto"/>
        <w:jc w:val="both"/>
        <w:rPr>
          <w:rFonts w:eastAsiaTheme="minorHAnsi" w:cs="Arial"/>
          <w:szCs w:val="20"/>
          <w:lang w:val="sl-SI"/>
        </w:rPr>
      </w:pPr>
    </w:p>
    <w:p w:rsidR="0057482E" w:rsidRPr="005771BD" w:rsidRDefault="0057482E" w:rsidP="0057482E">
      <w:pPr>
        <w:spacing w:line="240" w:lineRule="auto"/>
        <w:rPr>
          <w:rFonts w:eastAsiaTheme="minorHAnsi" w:cs="Arial"/>
          <w:i/>
          <w:szCs w:val="20"/>
          <w:lang w:val="sl-SI"/>
        </w:rPr>
      </w:pPr>
      <w:r w:rsidRPr="005771BD">
        <w:rPr>
          <w:rFonts w:eastAsiaTheme="minorHAnsi" w:cs="Arial"/>
          <w:i/>
          <w:szCs w:val="20"/>
          <w:lang w:val="sl-SI"/>
        </w:rPr>
        <w:t>Slika 1</w:t>
      </w:r>
      <w:r w:rsidR="001A509D">
        <w:rPr>
          <w:rFonts w:eastAsiaTheme="minorHAnsi" w:cs="Arial"/>
          <w:i/>
          <w:szCs w:val="20"/>
          <w:lang w:val="sl-SI"/>
        </w:rPr>
        <w:t>6</w:t>
      </w:r>
      <w:r w:rsidRPr="005771BD">
        <w:rPr>
          <w:rFonts w:eastAsiaTheme="minorHAnsi" w:cs="Arial"/>
          <w:i/>
          <w:szCs w:val="20"/>
          <w:lang w:val="sl-SI"/>
        </w:rPr>
        <w:t>.7: Prispevek h kazalcu SOMO</w:t>
      </w:r>
      <w:r w:rsidRPr="005771BD">
        <w:rPr>
          <w:rFonts w:eastAsiaTheme="minorHAnsi" w:cs="Arial"/>
          <w:i/>
          <w:szCs w:val="20"/>
          <w:vertAlign w:val="subscript"/>
          <w:lang w:val="sl-SI"/>
        </w:rPr>
        <w:t>35</w:t>
      </w:r>
      <w:r w:rsidRPr="005771BD">
        <w:rPr>
          <w:rFonts w:eastAsiaTheme="minorHAnsi" w:cs="Arial"/>
          <w:i/>
          <w:szCs w:val="20"/>
          <w:lang w:val="sl-SI"/>
        </w:rPr>
        <w:t xml:space="preserve"> na merilni postaji Koper v letu 2015 kot preseganja (rdeče) največjih dnevnih 8-urnih drsečih povprečij nad 70 µg/m</w:t>
      </w:r>
      <w:r w:rsidRPr="005771BD">
        <w:rPr>
          <w:rFonts w:eastAsiaTheme="minorHAnsi" w:cs="Arial"/>
          <w:i/>
          <w:szCs w:val="20"/>
          <w:vertAlign w:val="superscript"/>
          <w:lang w:val="sl-SI"/>
        </w:rPr>
        <w:t xml:space="preserve">3 </w:t>
      </w:r>
      <w:r w:rsidRPr="005771BD">
        <w:rPr>
          <w:rFonts w:eastAsiaTheme="minorHAnsi" w:cs="Arial"/>
          <w:i/>
          <w:szCs w:val="20"/>
          <w:lang w:val="sl-SI"/>
        </w:rPr>
        <w:t>(modro)</w:t>
      </w:r>
      <w:r w:rsidRPr="005771BD">
        <w:rPr>
          <w:rFonts w:eastAsiaTheme="minorHAnsi" w:cs="Arial"/>
          <w:i/>
          <w:szCs w:val="20"/>
          <w:vertAlign w:val="superscript"/>
          <w:lang w:val="sl-SI"/>
        </w:rPr>
        <w:t xml:space="preserve"> </w:t>
      </w:r>
      <w:r w:rsidRPr="005771BD">
        <w:rPr>
          <w:rFonts w:eastAsiaTheme="minorHAnsi" w:cs="Arial"/>
          <w:i/>
          <w:szCs w:val="20"/>
          <w:lang w:val="sl-SI"/>
        </w:rPr>
        <w:t>(NIJZ 2016c).</w:t>
      </w:r>
    </w:p>
    <w:p w:rsidR="0057482E" w:rsidRPr="005771BD" w:rsidRDefault="0057482E" w:rsidP="0057482E">
      <w:pPr>
        <w:tabs>
          <w:tab w:val="left" w:pos="1134"/>
        </w:tabs>
        <w:spacing w:line="240" w:lineRule="auto"/>
        <w:rPr>
          <w:rFonts w:eastAsiaTheme="minorHAnsi" w:cs="Arial"/>
          <w:sz w:val="18"/>
          <w:szCs w:val="18"/>
          <w:lang w:val="sl-SI" w:eastAsia="sl-SI"/>
        </w:rPr>
      </w:pPr>
      <w:r w:rsidRPr="005771BD">
        <w:rPr>
          <w:rFonts w:eastAsiaTheme="minorHAnsi" w:cs="Arial"/>
          <w:sz w:val="18"/>
          <w:szCs w:val="18"/>
          <w:lang w:val="sl-SI" w:eastAsia="sl-SI"/>
        </w:rPr>
        <w:t>Vir podatkov: ARSO 2002</w:t>
      </w:r>
      <w:r>
        <w:rPr>
          <w:rFonts w:eastAsiaTheme="minorHAnsi" w:cs="Arial"/>
          <w:sz w:val="18"/>
          <w:szCs w:val="18"/>
          <w:lang w:val="sl-SI" w:eastAsia="sl-SI"/>
        </w:rPr>
        <w:t>–</w:t>
      </w:r>
      <w:r w:rsidRPr="005771BD">
        <w:rPr>
          <w:rFonts w:eastAsiaTheme="minorHAnsi" w:cs="Arial"/>
          <w:sz w:val="18"/>
          <w:szCs w:val="18"/>
          <w:lang w:val="sl-SI" w:eastAsia="sl-SI"/>
        </w:rPr>
        <w:t>2015</w:t>
      </w:r>
    </w:p>
    <w:p w:rsidR="0057482E" w:rsidRPr="005771BD" w:rsidRDefault="0057482E" w:rsidP="0057482E">
      <w:pPr>
        <w:spacing w:after="60" w:line="276" w:lineRule="auto"/>
        <w:ind w:left="360"/>
        <w:jc w:val="center"/>
        <w:rPr>
          <w:rFonts w:eastAsiaTheme="minorHAnsi" w:cs="Arial"/>
          <w:szCs w:val="20"/>
          <w:lang w:val="sl-SI"/>
        </w:rPr>
      </w:pPr>
    </w:p>
    <w:p w:rsidR="0057482E" w:rsidRPr="005771BD" w:rsidRDefault="0057482E" w:rsidP="0057482E">
      <w:pPr>
        <w:spacing w:after="60" w:line="276" w:lineRule="auto"/>
        <w:jc w:val="center"/>
        <w:rPr>
          <w:rFonts w:eastAsiaTheme="minorHAnsi" w:cs="Arial"/>
          <w:szCs w:val="20"/>
          <w:lang w:val="sl-SI"/>
        </w:rPr>
      </w:pPr>
      <w:r w:rsidRPr="007F272F">
        <w:rPr>
          <w:rFonts w:eastAsiaTheme="minorHAnsi" w:cs="Arial"/>
          <w:noProof/>
          <w:szCs w:val="20"/>
          <w:lang w:val="sl-SI" w:eastAsia="sl-SI"/>
        </w:rPr>
        <w:drawing>
          <wp:inline distT="0" distB="0" distL="0" distR="0" wp14:anchorId="644AAC0F" wp14:editId="1FB7A434">
            <wp:extent cx="5785485" cy="1810385"/>
            <wp:effectExtent l="0" t="0" r="5715" b="0"/>
            <wp:docPr id="657" name="Slika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785485" cy="1810385"/>
                    </a:xfrm>
                    <a:prstGeom prst="rect">
                      <a:avLst/>
                    </a:prstGeom>
                    <a:noFill/>
                  </pic:spPr>
                </pic:pic>
              </a:graphicData>
            </a:graphic>
          </wp:inline>
        </w:drawing>
      </w:r>
    </w:p>
    <w:p w:rsidR="0057482E" w:rsidRPr="005771BD" w:rsidRDefault="0057482E" w:rsidP="0057482E">
      <w:pPr>
        <w:spacing w:after="60" w:line="276" w:lineRule="auto"/>
        <w:rPr>
          <w:rFonts w:eastAsiaTheme="minorHAnsi" w:cs="Arial"/>
          <w:szCs w:val="20"/>
          <w:lang w:val="sl-SI"/>
        </w:rPr>
      </w:pPr>
    </w:p>
    <w:p w:rsidR="0057482E" w:rsidRPr="005771BD" w:rsidRDefault="0057482E" w:rsidP="0057482E">
      <w:pPr>
        <w:spacing w:line="240" w:lineRule="auto"/>
        <w:rPr>
          <w:rFonts w:eastAsiaTheme="minorHAnsi" w:cs="Arial"/>
          <w:i/>
          <w:szCs w:val="20"/>
          <w:lang w:val="sl-SI"/>
        </w:rPr>
      </w:pPr>
      <w:r w:rsidRPr="005771BD">
        <w:rPr>
          <w:rFonts w:eastAsiaTheme="minorHAnsi" w:cs="Arial"/>
          <w:i/>
          <w:szCs w:val="20"/>
          <w:lang w:val="sl-SI"/>
        </w:rPr>
        <w:t>Slika 1</w:t>
      </w:r>
      <w:r w:rsidR="001A509D">
        <w:rPr>
          <w:rFonts w:eastAsiaTheme="minorHAnsi" w:cs="Arial"/>
          <w:i/>
          <w:szCs w:val="20"/>
          <w:lang w:val="sl-SI"/>
        </w:rPr>
        <w:t>6</w:t>
      </w:r>
      <w:r w:rsidRPr="005771BD">
        <w:rPr>
          <w:rFonts w:eastAsiaTheme="minorHAnsi" w:cs="Arial"/>
          <w:i/>
          <w:szCs w:val="20"/>
          <w:lang w:val="sl-SI"/>
        </w:rPr>
        <w:t>.8: Prispevek h kazalcu SOMO35 na merilni postaji Nova Gorica v letu 2015 kot preseganja (rdeče) največjih dnevnih 8-urnih drsečih povprečij nad 70 µg/m</w:t>
      </w:r>
      <w:r w:rsidRPr="005771BD">
        <w:rPr>
          <w:rFonts w:eastAsiaTheme="minorHAnsi" w:cs="Arial"/>
          <w:i/>
          <w:szCs w:val="20"/>
          <w:vertAlign w:val="superscript"/>
          <w:lang w:val="sl-SI"/>
        </w:rPr>
        <w:t xml:space="preserve">3 </w:t>
      </w:r>
      <w:r w:rsidRPr="005771BD">
        <w:rPr>
          <w:rFonts w:eastAsiaTheme="minorHAnsi" w:cs="Arial"/>
          <w:i/>
          <w:szCs w:val="20"/>
          <w:lang w:val="sl-SI"/>
        </w:rPr>
        <w:t>(modro) (NIJZ, 2016c).</w:t>
      </w:r>
    </w:p>
    <w:p w:rsidR="0057482E" w:rsidRPr="005771BD" w:rsidRDefault="0057482E" w:rsidP="0057482E">
      <w:pPr>
        <w:tabs>
          <w:tab w:val="left" w:pos="1134"/>
        </w:tabs>
        <w:spacing w:line="240" w:lineRule="auto"/>
        <w:rPr>
          <w:rFonts w:eastAsiaTheme="minorHAnsi" w:cs="Arial"/>
          <w:sz w:val="16"/>
          <w:szCs w:val="16"/>
          <w:lang w:val="sl-SI" w:eastAsia="sl-SI"/>
        </w:rPr>
      </w:pPr>
      <w:r w:rsidRPr="005771BD">
        <w:rPr>
          <w:rFonts w:eastAsiaTheme="minorHAnsi" w:cs="Arial"/>
          <w:sz w:val="16"/>
          <w:szCs w:val="16"/>
          <w:lang w:val="sl-SI" w:eastAsia="sl-SI"/>
        </w:rPr>
        <w:t>Vir podatkov: ARSO, 2002</w:t>
      </w:r>
      <w:r>
        <w:rPr>
          <w:rFonts w:eastAsiaTheme="minorHAnsi" w:cs="Arial"/>
          <w:sz w:val="16"/>
          <w:szCs w:val="16"/>
          <w:lang w:val="sl-SI" w:eastAsia="sl-SI"/>
        </w:rPr>
        <w:t>–</w:t>
      </w:r>
      <w:r w:rsidRPr="005771BD">
        <w:rPr>
          <w:rFonts w:eastAsiaTheme="minorHAnsi" w:cs="Arial"/>
          <w:sz w:val="16"/>
          <w:szCs w:val="16"/>
          <w:lang w:val="sl-SI" w:eastAsia="sl-SI"/>
        </w:rPr>
        <w:t>2015</w:t>
      </w:r>
    </w:p>
    <w:p w:rsidR="0057482E" w:rsidRPr="005771BD" w:rsidRDefault="0057482E" w:rsidP="0057482E">
      <w:pPr>
        <w:spacing w:after="60" w:line="276" w:lineRule="auto"/>
        <w:rPr>
          <w:rFonts w:eastAsiaTheme="minorHAnsi" w:cs="Arial"/>
          <w:szCs w:val="20"/>
          <w:lang w:val="sl-SI"/>
        </w:rPr>
      </w:pPr>
    </w:p>
    <w:p w:rsidR="0057482E" w:rsidRPr="005771BD" w:rsidRDefault="0057482E" w:rsidP="0057482E">
      <w:pPr>
        <w:spacing w:after="200" w:line="276" w:lineRule="auto"/>
        <w:rPr>
          <w:rFonts w:eastAsiaTheme="minorHAnsi" w:cs="Arial"/>
          <w:i/>
          <w:szCs w:val="20"/>
          <w:u w:val="single"/>
          <w:lang w:val="sl-SI"/>
        </w:rPr>
      </w:pPr>
      <w:r w:rsidRPr="005771BD">
        <w:rPr>
          <w:rFonts w:eastAsiaTheme="minorHAnsi" w:cs="Arial"/>
          <w:i/>
          <w:szCs w:val="20"/>
          <w:u w:val="single"/>
          <w:lang w:val="sl-SI"/>
        </w:rPr>
        <w:t>Breme bolezni zaradi ozona na območju SIP</w:t>
      </w:r>
    </w:p>
    <w:p w:rsidR="0057482E" w:rsidRPr="005771BD" w:rsidRDefault="0057482E" w:rsidP="0057482E">
      <w:pPr>
        <w:spacing w:after="200" w:line="240" w:lineRule="auto"/>
        <w:jc w:val="both"/>
        <w:rPr>
          <w:rFonts w:eastAsiaTheme="minorHAnsi" w:cs="Arial"/>
          <w:szCs w:val="20"/>
          <w:lang w:val="sl-SI" w:eastAsia="sl-SI"/>
        </w:rPr>
      </w:pPr>
      <w:r w:rsidRPr="005771BD">
        <w:rPr>
          <w:rFonts w:eastAsiaTheme="minorHAnsi" w:cs="Arial"/>
          <w:szCs w:val="20"/>
          <w:lang w:val="sl-SI" w:eastAsia="sl-SI"/>
        </w:rPr>
        <w:t>V skladu z metodologijo WHO (Martuzzi in sod. 2006) so pri oceni uporabljeni ustrezni demografski in zdravstveni podatki ter z epidemiološkimi raziskavami pridobljeni podatki o stopnji relativnega tveganja za opazovane zdravstvene izide (npr. umrljivost brez zunanjih vzrokov, umrljivost zaradi srčno žilnih bolezni, sprejemi v bolnišnico zaradi bolezni dihal) zaradi izpostavljenosti ozonu. Ocenjeno število primerov opazovanih zdravstvenih izidov, ki jih lahko pripišemo izpostavljenosti ozonu (pripadajoči primeri), je prikazano v preglednici 1</w:t>
      </w:r>
      <w:r w:rsidR="00107DE0">
        <w:rPr>
          <w:rFonts w:eastAsiaTheme="minorHAnsi" w:cs="Arial"/>
          <w:szCs w:val="20"/>
          <w:lang w:val="sl-SI" w:eastAsia="sl-SI"/>
        </w:rPr>
        <w:t>6</w:t>
      </w:r>
      <w:r w:rsidRPr="005771BD">
        <w:rPr>
          <w:rFonts w:eastAsiaTheme="minorHAnsi" w:cs="Arial"/>
          <w:szCs w:val="20"/>
          <w:lang w:val="sl-SI" w:eastAsia="sl-SI"/>
        </w:rPr>
        <w:t xml:space="preserve">.1. Prikazano je dejansko število primerov opazovanih zdravstvenih izidov na območju UE Koper in UE Nova Gorica ter ocenjeni pripadajoči primeri oziroma opazovani zdravstveni izidi, ki jih lahko pripišemo povečanju stopnje povprečne dnevne izpostavljenosti nad referenčno vrednostjo 70 </w:t>
      </w:r>
      <w:r w:rsidRPr="005771BD">
        <w:rPr>
          <w:rFonts w:eastAsiaTheme="minorHAnsi" w:cs="Arial"/>
          <w:szCs w:val="20"/>
          <w:lang w:val="sl-SI" w:eastAsia="sl-SI"/>
        </w:rPr>
        <w:sym w:font="Symbol" w:char="F06D"/>
      </w:r>
      <w:r w:rsidRPr="005771BD">
        <w:rPr>
          <w:rFonts w:eastAsiaTheme="minorHAnsi" w:cs="Arial"/>
          <w:szCs w:val="20"/>
          <w:lang w:val="sl-SI" w:eastAsia="sl-SI"/>
        </w:rPr>
        <w:t>g/m</w:t>
      </w:r>
      <w:r w:rsidRPr="005771BD">
        <w:rPr>
          <w:rFonts w:eastAsiaTheme="minorHAnsi" w:cs="Arial"/>
          <w:szCs w:val="20"/>
          <w:vertAlign w:val="superscript"/>
          <w:lang w:val="sl-SI" w:eastAsia="sl-SI"/>
        </w:rPr>
        <w:t>3</w:t>
      </w:r>
      <w:r w:rsidRPr="005771BD">
        <w:rPr>
          <w:rFonts w:eastAsiaTheme="minorHAnsi" w:cs="Arial"/>
          <w:szCs w:val="20"/>
          <w:lang w:val="sl-SI" w:eastAsia="sl-SI"/>
        </w:rPr>
        <w:t xml:space="preserve"> </w:t>
      </w:r>
      <w:r>
        <w:rPr>
          <w:rFonts w:eastAsiaTheme="minorHAnsi" w:cs="Arial"/>
          <w:szCs w:val="20"/>
          <w:lang w:val="sl-SI" w:eastAsia="sl-SI"/>
        </w:rPr>
        <w:t xml:space="preserve">, </w:t>
      </w:r>
      <w:r w:rsidRPr="005771BD">
        <w:rPr>
          <w:rFonts w:eastAsiaTheme="minorHAnsi" w:cs="Arial"/>
          <w:szCs w:val="20"/>
          <w:lang w:val="sl-SI" w:eastAsia="sl-SI"/>
        </w:rPr>
        <w:t>ter stopnja opazovanih zdravstvenih izidov (N/1000 prebivalcev).</w:t>
      </w:r>
    </w:p>
    <w:p w:rsidR="0057482E" w:rsidRPr="005771BD" w:rsidRDefault="0057482E" w:rsidP="0057482E">
      <w:pPr>
        <w:spacing w:after="200" w:line="240" w:lineRule="auto"/>
        <w:jc w:val="both"/>
        <w:rPr>
          <w:rFonts w:eastAsiaTheme="minorHAnsi" w:cs="Arial"/>
          <w:szCs w:val="20"/>
          <w:lang w:val="sl-SI" w:eastAsia="sl-SI"/>
        </w:rPr>
      </w:pPr>
      <w:r w:rsidRPr="005771BD">
        <w:rPr>
          <w:rFonts w:eastAsiaTheme="minorHAnsi" w:cs="Arial"/>
          <w:szCs w:val="20"/>
          <w:lang w:val="sl-SI" w:eastAsia="sl-SI"/>
        </w:rPr>
        <w:t>Mediana celotne umrljivosti (brez zunanjih vzrokov), ki jo lahko pripišemo izpostavljenosti ozonu na območju UE Koper in UE Nova Gorica, je v opazovanem obdobju 2007</w:t>
      </w:r>
      <w:r>
        <w:rPr>
          <w:rFonts w:eastAsiaTheme="minorHAnsi" w:cs="Arial"/>
          <w:szCs w:val="20"/>
          <w:lang w:val="sl-SI" w:eastAsia="sl-SI"/>
        </w:rPr>
        <w:t>–</w:t>
      </w:r>
      <w:r w:rsidRPr="005771BD">
        <w:rPr>
          <w:rFonts w:eastAsiaTheme="minorHAnsi" w:cs="Arial"/>
          <w:szCs w:val="20"/>
          <w:lang w:val="sl-SI" w:eastAsia="sl-SI"/>
        </w:rPr>
        <w:t xml:space="preserve">2013 v vseh starostnih skupinah 3 primere na leto, spodnja in zgornja vrednost za 95 % interval zaupanja pa </w:t>
      </w:r>
      <w:r>
        <w:rPr>
          <w:rFonts w:eastAsiaTheme="minorHAnsi" w:cs="Arial"/>
          <w:szCs w:val="20"/>
          <w:lang w:val="sl-SI" w:eastAsia="sl-SI"/>
        </w:rPr>
        <w:t>je en primer</w:t>
      </w:r>
      <w:r w:rsidRPr="005771BD">
        <w:rPr>
          <w:rFonts w:eastAsiaTheme="minorHAnsi" w:cs="Arial"/>
          <w:szCs w:val="20"/>
          <w:lang w:val="sl-SI" w:eastAsia="sl-SI"/>
        </w:rPr>
        <w:t xml:space="preserve"> oziroma </w:t>
      </w:r>
      <w:r>
        <w:rPr>
          <w:rFonts w:eastAsiaTheme="minorHAnsi" w:cs="Arial"/>
          <w:szCs w:val="20"/>
          <w:lang w:val="sl-SI" w:eastAsia="sl-SI"/>
        </w:rPr>
        <w:t>so štirje</w:t>
      </w:r>
      <w:r w:rsidRPr="005771BD">
        <w:rPr>
          <w:rFonts w:eastAsiaTheme="minorHAnsi" w:cs="Arial"/>
          <w:szCs w:val="20"/>
          <w:lang w:val="sl-SI" w:eastAsia="sl-SI"/>
        </w:rPr>
        <w:t xml:space="preserve"> primer</w:t>
      </w:r>
      <w:r>
        <w:rPr>
          <w:rFonts w:eastAsiaTheme="minorHAnsi" w:cs="Arial"/>
          <w:szCs w:val="20"/>
          <w:lang w:val="sl-SI" w:eastAsia="sl-SI"/>
        </w:rPr>
        <w:t>i</w:t>
      </w:r>
      <w:r w:rsidRPr="005771BD">
        <w:rPr>
          <w:rFonts w:eastAsiaTheme="minorHAnsi" w:cs="Arial"/>
          <w:szCs w:val="20"/>
          <w:lang w:val="sl-SI" w:eastAsia="sl-SI"/>
        </w:rPr>
        <w:t xml:space="preserve"> na leto. V opazovanem obdobju se je pripadajoča stopnja celotne umrljivosti </w:t>
      </w:r>
      <w:r>
        <w:rPr>
          <w:rFonts w:eastAsiaTheme="minorHAnsi" w:cs="Arial"/>
          <w:szCs w:val="20"/>
          <w:lang w:val="sl-SI" w:eastAsia="sl-SI"/>
        </w:rPr>
        <w:t>nekoliko</w:t>
      </w:r>
      <w:r w:rsidRPr="005771BD">
        <w:rPr>
          <w:rFonts w:eastAsiaTheme="minorHAnsi" w:cs="Arial"/>
          <w:szCs w:val="20"/>
          <w:lang w:val="sl-SI" w:eastAsia="sl-SI"/>
        </w:rPr>
        <w:t xml:space="preserve"> povečevala (R</w:t>
      </w:r>
      <w:r w:rsidRPr="005771BD">
        <w:rPr>
          <w:rFonts w:eastAsiaTheme="minorHAnsi" w:cs="Arial"/>
          <w:szCs w:val="20"/>
          <w:vertAlign w:val="superscript"/>
          <w:lang w:val="sl-SI" w:eastAsia="sl-SI"/>
        </w:rPr>
        <w:t>2</w:t>
      </w:r>
      <w:r w:rsidRPr="005771BD">
        <w:rPr>
          <w:rFonts w:eastAsiaTheme="minorHAnsi" w:cs="Arial"/>
          <w:szCs w:val="20"/>
          <w:vertAlign w:val="subscript"/>
          <w:lang w:val="sl-SI" w:eastAsia="sl-SI"/>
        </w:rPr>
        <w:t xml:space="preserve">KP </w:t>
      </w:r>
      <w:r>
        <w:rPr>
          <w:rFonts w:eastAsiaTheme="minorHAnsi" w:cs="Arial"/>
          <w:szCs w:val="20"/>
          <w:vertAlign w:val="subscript"/>
          <w:lang w:val="sl-SI" w:eastAsia="sl-SI"/>
        </w:rPr>
        <w:t xml:space="preserve"> </w:t>
      </w:r>
      <w:r w:rsidRPr="005771BD">
        <w:rPr>
          <w:rFonts w:eastAsiaTheme="minorHAnsi" w:cs="Arial"/>
          <w:szCs w:val="20"/>
          <w:lang w:val="sl-SI" w:eastAsia="sl-SI"/>
        </w:rPr>
        <w:t>=</w:t>
      </w:r>
      <w:r>
        <w:rPr>
          <w:rFonts w:eastAsiaTheme="minorHAnsi" w:cs="Arial"/>
          <w:szCs w:val="20"/>
          <w:lang w:val="sl-SI" w:eastAsia="sl-SI"/>
        </w:rPr>
        <w:t xml:space="preserve"> </w:t>
      </w:r>
      <w:r w:rsidRPr="005771BD">
        <w:rPr>
          <w:rFonts w:eastAsiaTheme="minorHAnsi" w:cs="Arial"/>
          <w:szCs w:val="20"/>
          <w:lang w:val="sl-SI" w:eastAsia="sl-SI"/>
        </w:rPr>
        <w:t>0,40; R</w:t>
      </w:r>
      <w:r w:rsidRPr="005771BD">
        <w:rPr>
          <w:rFonts w:eastAsiaTheme="minorHAnsi" w:cs="Arial"/>
          <w:szCs w:val="20"/>
          <w:vertAlign w:val="superscript"/>
          <w:lang w:val="sl-SI" w:eastAsia="sl-SI"/>
        </w:rPr>
        <w:t>2</w:t>
      </w:r>
      <w:r w:rsidRPr="005771BD">
        <w:rPr>
          <w:rFonts w:eastAsiaTheme="minorHAnsi" w:cs="Arial"/>
          <w:szCs w:val="20"/>
          <w:vertAlign w:val="subscript"/>
          <w:lang w:val="sl-SI" w:eastAsia="sl-SI"/>
        </w:rPr>
        <w:t xml:space="preserve">NG </w:t>
      </w:r>
      <w:r>
        <w:rPr>
          <w:rFonts w:eastAsiaTheme="minorHAnsi" w:cs="Arial"/>
          <w:szCs w:val="20"/>
          <w:vertAlign w:val="subscript"/>
          <w:lang w:val="sl-SI" w:eastAsia="sl-SI"/>
        </w:rPr>
        <w:t xml:space="preserve"> </w:t>
      </w:r>
      <w:r w:rsidRPr="005771BD">
        <w:rPr>
          <w:rFonts w:eastAsiaTheme="minorHAnsi" w:cs="Arial"/>
          <w:szCs w:val="20"/>
          <w:lang w:val="sl-SI" w:eastAsia="sl-SI"/>
        </w:rPr>
        <w:t>=</w:t>
      </w:r>
      <w:r>
        <w:rPr>
          <w:rFonts w:eastAsiaTheme="minorHAnsi" w:cs="Arial"/>
          <w:szCs w:val="20"/>
          <w:lang w:val="sl-SI" w:eastAsia="sl-SI"/>
        </w:rPr>
        <w:t xml:space="preserve"> </w:t>
      </w:r>
      <w:r w:rsidRPr="005771BD">
        <w:rPr>
          <w:rFonts w:eastAsiaTheme="minorHAnsi" w:cs="Arial"/>
          <w:szCs w:val="20"/>
          <w:lang w:val="sl-SI" w:eastAsia="sl-SI"/>
        </w:rPr>
        <w:t xml:space="preserve">0,51). </w:t>
      </w:r>
    </w:p>
    <w:p w:rsidR="0057482E" w:rsidRPr="005771BD" w:rsidRDefault="0057482E" w:rsidP="0057482E">
      <w:pPr>
        <w:tabs>
          <w:tab w:val="left" w:pos="3969"/>
        </w:tabs>
        <w:spacing w:after="120" w:line="240" w:lineRule="auto"/>
        <w:jc w:val="both"/>
        <w:rPr>
          <w:rFonts w:eastAsiaTheme="minorHAnsi" w:cs="Arial"/>
          <w:i/>
          <w:szCs w:val="20"/>
          <w:lang w:val="sl-SI"/>
        </w:rPr>
      </w:pPr>
      <w:r w:rsidRPr="005771BD">
        <w:rPr>
          <w:rFonts w:eastAsiaTheme="minorHAnsi" w:cs="Arial"/>
          <w:i/>
          <w:szCs w:val="20"/>
          <w:lang w:val="sl-SI"/>
        </w:rPr>
        <w:t>Preglednica 1</w:t>
      </w:r>
      <w:r w:rsidR="001A509D">
        <w:rPr>
          <w:rFonts w:eastAsiaTheme="minorHAnsi" w:cs="Arial"/>
          <w:i/>
          <w:szCs w:val="20"/>
          <w:lang w:val="sl-SI"/>
        </w:rPr>
        <w:t>6</w:t>
      </w:r>
      <w:r w:rsidRPr="005771BD">
        <w:rPr>
          <w:rFonts w:eastAsiaTheme="minorHAnsi" w:cs="Arial"/>
          <w:i/>
          <w:szCs w:val="20"/>
          <w:lang w:val="sl-SI"/>
        </w:rPr>
        <w:t>.1. Opazovani zdravstveni izidi po vzrokih, ki jih lahko pripišemo izpostavljenosti ozonu glede na SOMO</w:t>
      </w:r>
      <w:r w:rsidRPr="005771BD">
        <w:rPr>
          <w:rFonts w:eastAsiaTheme="minorHAnsi" w:cs="Arial"/>
          <w:i/>
          <w:szCs w:val="20"/>
          <w:vertAlign w:val="subscript"/>
          <w:lang w:val="sl-SI"/>
        </w:rPr>
        <w:t>35</w:t>
      </w:r>
      <w:r w:rsidRPr="005771BD">
        <w:rPr>
          <w:rFonts w:eastAsiaTheme="minorHAnsi" w:cs="Arial"/>
          <w:i/>
          <w:szCs w:val="20"/>
          <w:lang w:val="sl-SI"/>
        </w:rPr>
        <w:t xml:space="preserve"> na območju UE Koper in Nova Gorica (srednja vrednost za obdobje 2007</w:t>
      </w:r>
      <w:r>
        <w:rPr>
          <w:rFonts w:eastAsiaTheme="minorHAnsi" w:cs="Arial"/>
          <w:i/>
          <w:szCs w:val="20"/>
          <w:lang w:val="sl-SI"/>
        </w:rPr>
        <w:t>–</w:t>
      </w:r>
      <w:r w:rsidRPr="005771BD">
        <w:rPr>
          <w:rFonts w:eastAsiaTheme="minorHAnsi" w:cs="Arial"/>
          <w:i/>
          <w:szCs w:val="20"/>
          <w:lang w:val="sl-SI"/>
        </w:rPr>
        <w:t>2013) v primerjavi z dejanskim številom primerov v istem obdobju (srednja vrednost ter spodnja in zgornja vrednost za 95 % interval zaupanja za obdobje 2007</w:t>
      </w:r>
      <w:r>
        <w:rPr>
          <w:rFonts w:eastAsiaTheme="minorHAnsi" w:cs="Arial"/>
          <w:i/>
          <w:szCs w:val="20"/>
          <w:lang w:val="sl-SI"/>
        </w:rPr>
        <w:t>–</w:t>
      </w:r>
      <w:r w:rsidRPr="005771BD">
        <w:rPr>
          <w:rFonts w:eastAsiaTheme="minorHAnsi" w:cs="Arial"/>
          <w:i/>
          <w:szCs w:val="20"/>
          <w:lang w:val="sl-SI"/>
        </w:rPr>
        <w:t>2013) (NIJZ 2016c)</w:t>
      </w:r>
    </w:p>
    <w:tbl>
      <w:tblPr>
        <w:tblStyle w:val="Tabelamrea12"/>
        <w:tblW w:w="9214" w:type="dxa"/>
        <w:tblInd w:w="-34" w:type="dxa"/>
        <w:tblLayout w:type="fixed"/>
        <w:tblLook w:val="04A0" w:firstRow="1" w:lastRow="0" w:firstColumn="1" w:lastColumn="0" w:noHBand="0" w:noVBand="1"/>
      </w:tblPr>
      <w:tblGrid>
        <w:gridCol w:w="567"/>
        <w:gridCol w:w="2977"/>
        <w:gridCol w:w="1134"/>
        <w:gridCol w:w="992"/>
        <w:gridCol w:w="1134"/>
        <w:gridCol w:w="1134"/>
        <w:gridCol w:w="1276"/>
      </w:tblGrid>
      <w:tr w:rsidR="0057482E" w:rsidRPr="005771BD" w:rsidTr="00E71CC6">
        <w:trPr>
          <w:trHeight w:val="1088"/>
        </w:trPr>
        <w:tc>
          <w:tcPr>
            <w:tcW w:w="3544" w:type="dxa"/>
            <w:gridSpan w:val="2"/>
            <w:vMerge w:val="restart"/>
            <w:tcBorders>
              <w:top w:val="single" w:sz="4" w:space="0" w:color="auto"/>
              <w:left w:val="single" w:sz="4" w:space="0" w:color="auto"/>
              <w:bottom w:val="nil"/>
              <w:right w:val="single" w:sz="4" w:space="0" w:color="auto"/>
            </w:tcBorders>
            <w:shd w:val="clear" w:color="auto" w:fill="F2F2F2" w:themeFill="background1" w:themeFillShade="F2"/>
            <w:vAlign w:val="center"/>
          </w:tcPr>
          <w:p w:rsidR="0057482E" w:rsidRPr="005771BD" w:rsidRDefault="0057482E" w:rsidP="00E71CC6">
            <w:pPr>
              <w:tabs>
                <w:tab w:val="left" w:pos="3969"/>
              </w:tabs>
              <w:spacing w:after="60" w:line="276" w:lineRule="auto"/>
              <w:jc w:val="center"/>
              <w:rPr>
                <w:rFonts w:cs="Arial"/>
                <w:sz w:val="20"/>
                <w:szCs w:val="20"/>
                <w:lang w:val="sl-SI"/>
              </w:rPr>
            </w:pPr>
            <w:r w:rsidRPr="005771BD">
              <w:rPr>
                <w:rFonts w:cs="Arial"/>
                <w:szCs w:val="20"/>
                <w:lang w:val="sl-SI"/>
              </w:rPr>
              <w:t>Vzrok</w:t>
            </w:r>
          </w:p>
        </w:tc>
        <w:tc>
          <w:tcPr>
            <w:tcW w:w="1134" w:type="dxa"/>
            <w:tcBorders>
              <w:left w:val="single" w:sz="4" w:space="0" w:color="auto"/>
            </w:tcBorders>
            <w:shd w:val="clear" w:color="auto" w:fill="F2F2F2" w:themeFill="background1" w:themeFillShade="F2"/>
            <w:vAlign w:val="center"/>
          </w:tcPr>
          <w:p w:rsidR="0057482E" w:rsidRPr="005771BD" w:rsidRDefault="0057482E" w:rsidP="00E71CC6">
            <w:pPr>
              <w:tabs>
                <w:tab w:val="left" w:pos="3969"/>
              </w:tabs>
              <w:spacing w:after="60" w:line="276" w:lineRule="auto"/>
              <w:jc w:val="center"/>
              <w:rPr>
                <w:rFonts w:cs="Arial"/>
                <w:sz w:val="20"/>
                <w:szCs w:val="20"/>
                <w:lang w:val="sl-SI" w:eastAsia="sl-SI"/>
              </w:rPr>
            </w:pPr>
            <w:r w:rsidRPr="005771BD">
              <w:rPr>
                <w:rFonts w:cs="Arial"/>
                <w:bCs/>
                <w:kern w:val="24"/>
                <w:szCs w:val="20"/>
                <w:lang w:val="sl-SI" w:eastAsia="sl-SI"/>
              </w:rPr>
              <w:t>Dejansko število primerov</w:t>
            </w:r>
          </w:p>
        </w:tc>
        <w:tc>
          <w:tcPr>
            <w:tcW w:w="2126" w:type="dxa"/>
            <w:gridSpan w:val="2"/>
            <w:shd w:val="clear" w:color="auto" w:fill="F2F2F2" w:themeFill="background1" w:themeFillShade="F2"/>
            <w:vAlign w:val="center"/>
          </w:tcPr>
          <w:p w:rsidR="0057482E" w:rsidRPr="005771BD" w:rsidRDefault="0057482E" w:rsidP="00E71CC6">
            <w:pPr>
              <w:tabs>
                <w:tab w:val="left" w:pos="3969"/>
              </w:tabs>
              <w:spacing w:after="60" w:line="276" w:lineRule="auto"/>
              <w:jc w:val="center"/>
              <w:rPr>
                <w:rFonts w:cs="Arial"/>
                <w:sz w:val="20"/>
                <w:szCs w:val="20"/>
                <w:lang w:val="sl-SI"/>
              </w:rPr>
            </w:pPr>
            <w:r w:rsidRPr="005771BD">
              <w:rPr>
                <w:rFonts w:cs="Arial"/>
                <w:bCs/>
                <w:kern w:val="24"/>
                <w:szCs w:val="20"/>
                <w:lang w:val="sl-SI" w:eastAsia="sl-SI"/>
              </w:rPr>
              <w:t>Pripadajoči primeri</w:t>
            </w:r>
          </w:p>
        </w:tc>
        <w:tc>
          <w:tcPr>
            <w:tcW w:w="2410" w:type="dxa"/>
            <w:gridSpan w:val="2"/>
            <w:shd w:val="clear" w:color="auto" w:fill="F2F2F2" w:themeFill="background1" w:themeFillShade="F2"/>
            <w:vAlign w:val="center"/>
          </w:tcPr>
          <w:p w:rsidR="0057482E" w:rsidRPr="005771BD" w:rsidRDefault="0057482E" w:rsidP="00E71CC6">
            <w:pPr>
              <w:tabs>
                <w:tab w:val="left" w:pos="3969"/>
              </w:tabs>
              <w:spacing w:after="60" w:line="276" w:lineRule="auto"/>
              <w:jc w:val="center"/>
              <w:rPr>
                <w:rFonts w:cs="Arial"/>
                <w:sz w:val="20"/>
                <w:szCs w:val="20"/>
                <w:lang w:val="sl-SI"/>
              </w:rPr>
            </w:pPr>
            <w:r w:rsidRPr="005771BD">
              <w:rPr>
                <w:rFonts w:cs="Arial"/>
                <w:bCs/>
                <w:kern w:val="24"/>
                <w:szCs w:val="20"/>
                <w:lang w:val="sl-SI" w:eastAsia="sl-SI"/>
              </w:rPr>
              <w:t>Pripadajoča s</w:t>
            </w:r>
            <w:r w:rsidRPr="005771BD">
              <w:rPr>
                <w:rFonts w:cs="Arial"/>
                <w:szCs w:val="20"/>
                <w:lang w:val="sl-SI" w:eastAsia="sl-SI"/>
              </w:rPr>
              <w:t>topnja, ‰</w:t>
            </w:r>
          </w:p>
        </w:tc>
      </w:tr>
      <w:tr w:rsidR="0057482E" w:rsidRPr="005771BD" w:rsidTr="00E71CC6">
        <w:trPr>
          <w:trHeight w:val="495"/>
        </w:trPr>
        <w:tc>
          <w:tcPr>
            <w:tcW w:w="3544" w:type="dxa"/>
            <w:gridSpan w:val="2"/>
            <w:vMerge/>
            <w:tcBorders>
              <w:left w:val="single" w:sz="4" w:space="0" w:color="auto"/>
              <w:bottom w:val="nil"/>
              <w:right w:val="single" w:sz="4" w:space="0" w:color="auto"/>
            </w:tcBorders>
            <w:shd w:val="clear" w:color="auto" w:fill="F2F2F2" w:themeFill="background1" w:themeFillShade="F2"/>
          </w:tcPr>
          <w:p w:rsidR="0057482E" w:rsidRPr="005771BD" w:rsidRDefault="0057482E" w:rsidP="00E71CC6">
            <w:pPr>
              <w:tabs>
                <w:tab w:val="left" w:pos="3969"/>
              </w:tabs>
              <w:spacing w:after="60" w:line="276" w:lineRule="auto"/>
              <w:rPr>
                <w:rFonts w:cs="Arial"/>
                <w:sz w:val="20"/>
                <w:szCs w:val="20"/>
                <w:lang w:val="sl-SI"/>
              </w:rPr>
            </w:pPr>
          </w:p>
        </w:tc>
        <w:tc>
          <w:tcPr>
            <w:tcW w:w="1134" w:type="dxa"/>
            <w:tcBorders>
              <w:left w:val="single" w:sz="4" w:space="0" w:color="auto"/>
            </w:tcBorders>
            <w:shd w:val="clear" w:color="auto" w:fill="F2F2F2" w:themeFill="background1" w:themeFillShade="F2"/>
            <w:vAlign w:val="center"/>
          </w:tcPr>
          <w:p w:rsidR="0057482E" w:rsidRPr="005771BD" w:rsidRDefault="0057482E" w:rsidP="00E71CC6">
            <w:pPr>
              <w:tabs>
                <w:tab w:val="left" w:pos="3969"/>
              </w:tabs>
              <w:spacing w:after="60" w:line="276" w:lineRule="auto"/>
              <w:jc w:val="center"/>
              <w:rPr>
                <w:rFonts w:cs="Arial"/>
                <w:sz w:val="20"/>
                <w:szCs w:val="20"/>
                <w:lang w:val="sl-SI"/>
              </w:rPr>
            </w:pPr>
            <w:r w:rsidRPr="005771BD">
              <w:rPr>
                <w:rFonts w:cs="Arial"/>
                <w:szCs w:val="20"/>
                <w:lang w:val="sl-SI"/>
              </w:rPr>
              <w:t xml:space="preserve">Mediana </w:t>
            </w:r>
          </w:p>
        </w:tc>
        <w:tc>
          <w:tcPr>
            <w:tcW w:w="992" w:type="dxa"/>
            <w:tcBorders>
              <w:right w:val="single" w:sz="4" w:space="0" w:color="FFFFFF"/>
            </w:tcBorders>
            <w:shd w:val="clear" w:color="auto" w:fill="F2F2F2" w:themeFill="background1" w:themeFillShade="F2"/>
            <w:vAlign w:val="center"/>
          </w:tcPr>
          <w:p w:rsidR="0057482E" w:rsidRPr="005771BD" w:rsidRDefault="0057482E" w:rsidP="00E71CC6">
            <w:pPr>
              <w:tabs>
                <w:tab w:val="left" w:pos="3969"/>
              </w:tabs>
              <w:spacing w:after="60" w:line="276" w:lineRule="auto"/>
              <w:jc w:val="center"/>
              <w:rPr>
                <w:rFonts w:cs="Arial"/>
                <w:sz w:val="20"/>
                <w:szCs w:val="20"/>
                <w:lang w:val="sl-SI"/>
              </w:rPr>
            </w:pPr>
            <w:r w:rsidRPr="005771BD">
              <w:rPr>
                <w:rFonts w:cs="Arial"/>
                <w:szCs w:val="20"/>
                <w:lang w:val="sl-SI"/>
              </w:rPr>
              <w:t>Mediana</w:t>
            </w:r>
          </w:p>
        </w:tc>
        <w:tc>
          <w:tcPr>
            <w:tcW w:w="1134" w:type="dxa"/>
            <w:tcBorders>
              <w:left w:val="single" w:sz="4" w:space="0" w:color="FFFFFF"/>
            </w:tcBorders>
            <w:shd w:val="clear" w:color="auto" w:fill="F2F2F2" w:themeFill="background1" w:themeFillShade="F2"/>
            <w:vAlign w:val="center"/>
          </w:tcPr>
          <w:p w:rsidR="0057482E" w:rsidRPr="005771BD" w:rsidRDefault="0057482E" w:rsidP="00E71CC6">
            <w:pPr>
              <w:tabs>
                <w:tab w:val="left" w:pos="3969"/>
              </w:tabs>
              <w:spacing w:after="60" w:line="276" w:lineRule="auto"/>
              <w:jc w:val="center"/>
              <w:rPr>
                <w:rFonts w:cs="Arial"/>
                <w:sz w:val="20"/>
                <w:szCs w:val="20"/>
                <w:lang w:val="sl-SI"/>
              </w:rPr>
            </w:pPr>
            <w:r w:rsidRPr="005771BD">
              <w:rPr>
                <w:rFonts w:cs="Arial"/>
                <w:szCs w:val="20"/>
                <w:lang w:val="sl-SI"/>
              </w:rPr>
              <w:t>95 % IZ</w:t>
            </w:r>
          </w:p>
        </w:tc>
        <w:tc>
          <w:tcPr>
            <w:tcW w:w="1134" w:type="dxa"/>
            <w:tcBorders>
              <w:right w:val="single" w:sz="4" w:space="0" w:color="FFFFFF"/>
            </w:tcBorders>
            <w:shd w:val="clear" w:color="auto" w:fill="F2F2F2" w:themeFill="background1" w:themeFillShade="F2"/>
            <w:vAlign w:val="center"/>
          </w:tcPr>
          <w:p w:rsidR="0057482E" w:rsidRPr="005771BD" w:rsidRDefault="0057482E" w:rsidP="00E71CC6">
            <w:pPr>
              <w:tabs>
                <w:tab w:val="left" w:pos="3969"/>
              </w:tabs>
              <w:spacing w:after="60" w:line="276" w:lineRule="auto"/>
              <w:jc w:val="center"/>
              <w:rPr>
                <w:rFonts w:cs="Arial"/>
                <w:sz w:val="20"/>
                <w:szCs w:val="20"/>
                <w:lang w:val="sl-SI"/>
              </w:rPr>
            </w:pPr>
            <w:r w:rsidRPr="005771BD">
              <w:rPr>
                <w:rFonts w:cs="Arial"/>
                <w:szCs w:val="20"/>
                <w:lang w:val="sl-SI"/>
              </w:rPr>
              <w:t>Mediana</w:t>
            </w:r>
          </w:p>
        </w:tc>
        <w:tc>
          <w:tcPr>
            <w:tcW w:w="1276" w:type="dxa"/>
            <w:tcBorders>
              <w:left w:val="single" w:sz="4" w:space="0" w:color="FFFFFF"/>
            </w:tcBorders>
            <w:shd w:val="clear" w:color="auto" w:fill="F2F2F2" w:themeFill="background1" w:themeFillShade="F2"/>
            <w:vAlign w:val="center"/>
          </w:tcPr>
          <w:p w:rsidR="0057482E" w:rsidRPr="005771BD" w:rsidRDefault="0057482E" w:rsidP="00E71CC6">
            <w:pPr>
              <w:tabs>
                <w:tab w:val="left" w:pos="3969"/>
              </w:tabs>
              <w:spacing w:after="60" w:line="276" w:lineRule="auto"/>
              <w:jc w:val="center"/>
              <w:rPr>
                <w:rFonts w:cs="Arial"/>
                <w:sz w:val="20"/>
                <w:szCs w:val="20"/>
                <w:lang w:val="sl-SI"/>
              </w:rPr>
            </w:pPr>
            <w:r w:rsidRPr="005771BD">
              <w:rPr>
                <w:rFonts w:cs="Arial"/>
                <w:szCs w:val="20"/>
                <w:lang w:val="sl-SI"/>
              </w:rPr>
              <w:t>95 % IZ</w:t>
            </w:r>
          </w:p>
        </w:tc>
      </w:tr>
      <w:tr w:rsidR="0057482E" w:rsidRPr="005771BD" w:rsidTr="00E71CC6">
        <w:tc>
          <w:tcPr>
            <w:tcW w:w="567" w:type="dxa"/>
            <w:vMerge w:val="restart"/>
            <w:tcBorders>
              <w:top w:val="single" w:sz="4" w:space="0" w:color="auto"/>
              <w:left w:val="single" w:sz="4" w:space="0" w:color="auto"/>
            </w:tcBorders>
            <w:shd w:val="clear" w:color="auto" w:fill="F2F2F2" w:themeFill="background1" w:themeFillShade="F2"/>
            <w:textDirection w:val="btLr"/>
            <w:vAlign w:val="center"/>
          </w:tcPr>
          <w:p w:rsidR="0057482E" w:rsidRPr="005771BD" w:rsidRDefault="0057482E" w:rsidP="00E71CC6">
            <w:pPr>
              <w:kinsoku w:val="0"/>
              <w:overflowPunct w:val="0"/>
              <w:spacing w:after="60" w:line="276" w:lineRule="auto"/>
              <w:ind w:left="113"/>
              <w:jc w:val="center"/>
              <w:textAlignment w:val="baseline"/>
              <w:rPr>
                <w:rFonts w:cs="Arial"/>
                <w:sz w:val="20"/>
                <w:szCs w:val="20"/>
                <w:lang w:val="sl-SI"/>
              </w:rPr>
            </w:pPr>
            <w:r w:rsidRPr="005771BD">
              <w:rPr>
                <w:rFonts w:cs="Arial"/>
                <w:szCs w:val="20"/>
                <w:vertAlign w:val="superscript"/>
                <w:lang w:val="sl-SI"/>
              </w:rPr>
              <w:t>1</w:t>
            </w:r>
            <w:r w:rsidRPr="005771BD">
              <w:rPr>
                <w:rFonts w:cs="Arial"/>
                <w:szCs w:val="20"/>
                <w:lang w:val="sl-SI"/>
              </w:rPr>
              <w:t>UE KOPER</w:t>
            </w:r>
          </w:p>
        </w:tc>
        <w:tc>
          <w:tcPr>
            <w:tcW w:w="2977" w:type="dxa"/>
            <w:tcBorders>
              <w:top w:val="single" w:sz="4" w:space="0" w:color="auto"/>
              <w:bottom w:val="single" w:sz="4" w:space="0" w:color="FFFFFF"/>
            </w:tcBorders>
            <w:vAlign w:val="center"/>
          </w:tcPr>
          <w:p w:rsidR="0057482E" w:rsidRPr="005771BD" w:rsidRDefault="0057482E" w:rsidP="00E71CC6">
            <w:pPr>
              <w:kinsoku w:val="0"/>
              <w:overflowPunct w:val="0"/>
              <w:spacing w:after="60" w:line="276" w:lineRule="auto"/>
              <w:textAlignment w:val="baseline"/>
              <w:rPr>
                <w:rFonts w:cs="Arial"/>
                <w:sz w:val="20"/>
                <w:szCs w:val="20"/>
                <w:lang w:val="sl-SI" w:eastAsia="sl-SI"/>
              </w:rPr>
            </w:pPr>
            <w:r w:rsidRPr="005771BD">
              <w:rPr>
                <w:rFonts w:cs="Arial"/>
                <w:szCs w:val="20"/>
                <w:lang w:val="sl-SI"/>
              </w:rPr>
              <w:t>Umrli zaradi vseh vzrokov (brez zunanjih vzrokov), vse starosti</w:t>
            </w:r>
          </w:p>
        </w:tc>
        <w:tc>
          <w:tcPr>
            <w:tcW w:w="1134" w:type="dxa"/>
            <w:tcBorders>
              <w:bottom w:val="single" w:sz="4" w:space="0" w:color="FFFFFF"/>
            </w:tcBorders>
            <w:vAlign w:val="center"/>
          </w:tcPr>
          <w:p w:rsidR="0057482E" w:rsidRPr="005771BD" w:rsidRDefault="0057482E" w:rsidP="00E71CC6">
            <w:pPr>
              <w:kinsoku w:val="0"/>
              <w:overflowPunct w:val="0"/>
              <w:spacing w:after="60" w:line="276" w:lineRule="auto"/>
              <w:jc w:val="center"/>
              <w:textAlignment w:val="baseline"/>
              <w:rPr>
                <w:rFonts w:cs="Arial"/>
                <w:sz w:val="20"/>
                <w:szCs w:val="20"/>
                <w:lang w:val="sl-SI" w:eastAsia="sl-SI"/>
              </w:rPr>
            </w:pPr>
            <w:r w:rsidRPr="005771BD">
              <w:rPr>
                <w:rFonts w:cs="Arial"/>
                <w:szCs w:val="20"/>
                <w:lang w:val="sl-SI" w:eastAsia="sl-SI"/>
              </w:rPr>
              <w:t xml:space="preserve">405 </w:t>
            </w:r>
          </w:p>
        </w:tc>
        <w:tc>
          <w:tcPr>
            <w:tcW w:w="992" w:type="dxa"/>
            <w:tcBorders>
              <w:bottom w:val="single" w:sz="4" w:space="0" w:color="FFFFFF"/>
              <w:right w:val="single" w:sz="4" w:space="0" w:color="FFFFFF"/>
            </w:tcBorders>
            <w:vAlign w:val="center"/>
          </w:tcPr>
          <w:p w:rsidR="0057482E" w:rsidRPr="005771BD" w:rsidRDefault="0057482E" w:rsidP="00E71CC6">
            <w:pPr>
              <w:kinsoku w:val="0"/>
              <w:overflowPunct w:val="0"/>
              <w:spacing w:after="60" w:line="276" w:lineRule="auto"/>
              <w:jc w:val="center"/>
              <w:textAlignment w:val="baseline"/>
              <w:rPr>
                <w:rFonts w:cs="Arial"/>
                <w:sz w:val="20"/>
                <w:szCs w:val="20"/>
                <w:lang w:val="sl-SI" w:eastAsia="sl-SI"/>
              </w:rPr>
            </w:pPr>
            <w:r w:rsidRPr="005771BD">
              <w:rPr>
                <w:rFonts w:cs="Arial"/>
                <w:szCs w:val="20"/>
                <w:lang w:val="sl-SI"/>
              </w:rPr>
              <w:t>3</w:t>
            </w:r>
          </w:p>
        </w:tc>
        <w:tc>
          <w:tcPr>
            <w:tcW w:w="1134" w:type="dxa"/>
            <w:tcBorders>
              <w:left w:val="single" w:sz="4" w:space="0" w:color="FFFFFF"/>
              <w:bottom w:val="single" w:sz="4" w:space="0" w:color="FFFFFF"/>
            </w:tcBorders>
            <w:vAlign w:val="center"/>
          </w:tcPr>
          <w:p w:rsidR="0057482E" w:rsidRPr="005771BD" w:rsidRDefault="0057482E" w:rsidP="00E71CC6">
            <w:pPr>
              <w:tabs>
                <w:tab w:val="left" w:pos="3969"/>
              </w:tabs>
              <w:spacing w:after="60" w:line="276" w:lineRule="auto"/>
              <w:jc w:val="center"/>
              <w:rPr>
                <w:rFonts w:cs="Arial"/>
                <w:sz w:val="20"/>
                <w:szCs w:val="20"/>
                <w:lang w:val="sl-SI"/>
              </w:rPr>
            </w:pPr>
            <w:r w:rsidRPr="005771BD">
              <w:rPr>
                <w:rFonts w:cs="Arial"/>
                <w:szCs w:val="20"/>
                <w:lang w:val="sl-SI"/>
              </w:rPr>
              <w:t>1</w:t>
            </w:r>
            <w:r>
              <w:rPr>
                <w:rFonts w:cs="Arial"/>
                <w:szCs w:val="20"/>
                <w:lang w:val="sl-SI"/>
              </w:rPr>
              <w:t>–</w:t>
            </w:r>
            <w:r w:rsidRPr="005771BD">
              <w:rPr>
                <w:rFonts w:cs="Arial"/>
                <w:szCs w:val="20"/>
                <w:lang w:val="sl-SI"/>
              </w:rPr>
              <w:t>4</w:t>
            </w:r>
          </w:p>
        </w:tc>
        <w:tc>
          <w:tcPr>
            <w:tcW w:w="1134" w:type="dxa"/>
            <w:tcBorders>
              <w:bottom w:val="single" w:sz="4" w:space="0" w:color="FFFFFF"/>
              <w:right w:val="single" w:sz="4" w:space="0" w:color="FFFFFF"/>
            </w:tcBorders>
            <w:vAlign w:val="center"/>
          </w:tcPr>
          <w:p w:rsidR="0057482E" w:rsidRPr="005771BD" w:rsidRDefault="0057482E" w:rsidP="00E71CC6">
            <w:pPr>
              <w:kinsoku w:val="0"/>
              <w:overflowPunct w:val="0"/>
              <w:spacing w:after="60" w:line="276" w:lineRule="auto"/>
              <w:jc w:val="center"/>
              <w:textAlignment w:val="baseline"/>
              <w:rPr>
                <w:rFonts w:cs="Arial"/>
                <w:sz w:val="20"/>
                <w:szCs w:val="20"/>
                <w:lang w:val="sl-SI" w:eastAsia="sl-SI"/>
              </w:rPr>
            </w:pPr>
            <w:r w:rsidRPr="005771BD">
              <w:rPr>
                <w:rFonts w:cs="Arial"/>
                <w:szCs w:val="20"/>
                <w:lang w:val="sl-SI" w:eastAsia="sl-SI"/>
              </w:rPr>
              <w:t>0,06</w:t>
            </w:r>
          </w:p>
        </w:tc>
        <w:tc>
          <w:tcPr>
            <w:tcW w:w="1276" w:type="dxa"/>
            <w:tcBorders>
              <w:left w:val="single" w:sz="4" w:space="0" w:color="FFFFFF"/>
              <w:bottom w:val="single" w:sz="4" w:space="0" w:color="FFFFFF"/>
            </w:tcBorders>
            <w:vAlign w:val="center"/>
          </w:tcPr>
          <w:p w:rsidR="0057482E" w:rsidRPr="005771BD" w:rsidRDefault="0057482E" w:rsidP="00E71CC6">
            <w:pPr>
              <w:tabs>
                <w:tab w:val="left" w:pos="3969"/>
              </w:tabs>
              <w:spacing w:after="60" w:line="276" w:lineRule="auto"/>
              <w:jc w:val="center"/>
              <w:rPr>
                <w:rFonts w:cs="Arial"/>
                <w:sz w:val="20"/>
                <w:szCs w:val="20"/>
                <w:lang w:val="sl-SI"/>
              </w:rPr>
            </w:pPr>
            <w:r w:rsidRPr="005771BD">
              <w:rPr>
                <w:rFonts w:cs="Arial"/>
                <w:szCs w:val="20"/>
                <w:lang w:val="sl-SI" w:eastAsia="sl-SI"/>
              </w:rPr>
              <w:t>0,02</w:t>
            </w:r>
            <w:r>
              <w:rPr>
                <w:rFonts w:cs="Arial"/>
                <w:szCs w:val="20"/>
                <w:lang w:val="sl-SI" w:eastAsia="sl-SI"/>
              </w:rPr>
              <w:t>–</w:t>
            </w:r>
            <w:r w:rsidRPr="005771BD">
              <w:rPr>
                <w:rFonts w:cs="Arial"/>
                <w:szCs w:val="20"/>
                <w:lang w:val="sl-SI" w:eastAsia="sl-SI"/>
              </w:rPr>
              <w:t>0,08</w:t>
            </w:r>
          </w:p>
        </w:tc>
      </w:tr>
      <w:tr w:rsidR="0057482E" w:rsidRPr="005771BD" w:rsidTr="00E71CC6">
        <w:tc>
          <w:tcPr>
            <w:tcW w:w="567" w:type="dxa"/>
            <w:vMerge/>
            <w:tcBorders>
              <w:left w:val="single" w:sz="4" w:space="0" w:color="auto"/>
            </w:tcBorders>
            <w:shd w:val="clear" w:color="auto" w:fill="F2F2F2" w:themeFill="background1" w:themeFillShade="F2"/>
            <w:vAlign w:val="center"/>
          </w:tcPr>
          <w:p w:rsidR="0057482E" w:rsidRPr="005771BD" w:rsidRDefault="0057482E" w:rsidP="00E71CC6">
            <w:pPr>
              <w:kinsoku w:val="0"/>
              <w:overflowPunct w:val="0"/>
              <w:spacing w:after="60" w:line="276" w:lineRule="auto"/>
              <w:jc w:val="center"/>
              <w:textAlignment w:val="baseline"/>
              <w:rPr>
                <w:rFonts w:cs="Arial"/>
                <w:sz w:val="20"/>
                <w:szCs w:val="20"/>
                <w:lang w:val="sl-SI"/>
              </w:rPr>
            </w:pPr>
          </w:p>
        </w:tc>
        <w:tc>
          <w:tcPr>
            <w:tcW w:w="2977" w:type="dxa"/>
            <w:tcBorders>
              <w:top w:val="single" w:sz="4" w:space="0" w:color="FFFFFF"/>
              <w:bottom w:val="single" w:sz="4" w:space="0" w:color="FFFFFF"/>
            </w:tcBorders>
            <w:vAlign w:val="center"/>
          </w:tcPr>
          <w:p w:rsidR="0057482E" w:rsidRPr="005771BD" w:rsidRDefault="0057482E" w:rsidP="00E71CC6">
            <w:pPr>
              <w:kinsoku w:val="0"/>
              <w:overflowPunct w:val="0"/>
              <w:spacing w:after="60" w:line="276" w:lineRule="auto"/>
              <w:textAlignment w:val="baseline"/>
              <w:rPr>
                <w:rFonts w:cs="Arial"/>
                <w:sz w:val="20"/>
                <w:szCs w:val="20"/>
                <w:lang w:val="sl-SI" w:eastAsia="sl-SI"/>
              </w:rPr>
            </w:pPr>
            <w:r w:rsidRPr="005771BD">
              <w:rPr>
                <w:rFonts w:cs="Arial"/>
                <w:szCs w:val="20"/>
                <w:lang w:val="sl-SI"/>
              </w:rPr>
              <w:t>Umrli zaradi srčno</w:t>
            </w:r>
            <w:r>
              <w:rPr>
                <w:rFonts w:cs="Arial"/>
                <w:szCs w:val="20"/>
                <w:lang w:val="sl-SI"/>
              </w:rPr>
              <w:t>-</w:t>
            </w:r>
            <w:r w:rsidRPr="005771BD">
              <w:rPr>
                <w:rFonts w:cs="Arial"/>
                <w:szCs w:val="20"/>
                <w:lang w:val="sl-SI"/>
              </w:rPr>
              <w:t>žilnih bolezni, vse starosti</w:t>
            </w:r>
          </w:p>
        </w:tc>
        <w:tc>
          <w:tcPr>
            <w:tcW w:w="1134" w:type="dxa"/>
            <w:tcBorders>
              <w:top w:val="single" w:sz="4" w:space="0" w:color="FFFFFF"/>
              <w:bottom w:val="single" w:sz="4" w:space="0" w:color="FFFFFF"/>
            </w:tcBorders>
            <w:vAlign w:val="center"/>
          </w:tcPr>
          <w:p w:rsidR="0057482E" w:rsidRPr="005771BD" w:rsidRDefault="0057482E" w:rsidP="00E71CC6">
            <w:pPr>
              <w:kinsoku w:val="0"/>
              <w:overflowPunct w:val="0"/>
              <w:spacing w:after="60" w:line="276" w:lineRule="auto"/>
              <w:jc w:val="center"/>
              <w:textAlignment w:val="baseline"/>
              <w:rPr>
                <w:rFonts w:cs="Arial"/>
                <w:sz w:val="20"/>
                <w:szCs w:val="20"/>
                <w:lang w:val="sl-SI" w:eastAsia="sl-SI"/>
              </w:rPr>
            </w:pPr>
            <w:r w:rsidRPr="005771BD">
              <w:rPr>
                <w:rFonts w:cs="Arial"/>
                <w:szCs w:val="20"/>
                <w:lang w:val="sl-SI" w:eastAsia="sl-SI"/>
              </w:rPr>
              <w:t xml:space="preserve">163 </w:t>
            </w:r>
          </w:p>
        </w:tc>
        <w:tc>
          <w:tcPr>
            <w:tcW w:w="992" w:type="dxa"/>
            <w:tcBorders>
              <w:top w:val="single" w:sz="4" w:space="0" w:color="FFFFFF"/>
              <w:bottom w:val="single" w:sz="4" w:space="0" w:color="FFFFFF"/>
              <w:right w:val="single" w:sz="4" w:space="0" w:color="FFFFFF"/>
            </w:tcBorders>
            <w:vAlign w:val="center"/>
          </w:tcPr>
          <w:p w:rsidR="0057482E" w:rsidRPr="005771BD" w:rsidRDefault="0057482E" w:rsidP="00E71CC6">
            <w:pPr>
              <w:kinsoku w:val="0"/>
              <w:overflowPunct w:val="0"/>
              <w:spacing w:after="60" w:line="276" w:lineRule="auto"/>
              <w:jc w:val="center"/>
              <w:textAlignment w:val="baseline"/>
              <w:rPr>
                <w:rFonts w:cs="Arial"/>
                <w:sz w:val="20"/>
                <w:szCs w:val="20"/>
                <w:lang w:val="sl-SI"/>
              </w:rPr>
            </w:pPr>
            <w:r w:rsidRPr="005771BD">
              <w:rPr>
                <w:rFonts w:cs="Arial"/>
                <w:szCs w:val="20"/>
                <w:lang w:val="sl-SI"/>
              </w:rPr>
              <w:t>1</w:t>
            </w:r>
          </w:p>
        </w:tc>
        <w:tc>
          <w:tcPr>
            <w:tcW w:w="1134" w:type="dxa"/>
            <w:tcBorders>
              <w:top w:val="single" w:sz="4" w:space="0" w:color="FFFFFF"/>
              <w:left w:val="single" w:sz="4" w:space="0" w:color="FFFFFF"/>
              <w:bottom w:val="single" w:sz="4" w:space="0" w:color="FFFFFF"/>
            </w:tcBorders>
            <w:vAlign w:val="center"/>
          </w:tcPr>
          <w:p w:rsidR="0057482E" w:rsidRPr="005771BD" w:rsidRDefault="0057482E" w:rsidP="00E71CC6">
            <w:pPr>
              <w:tabs>
                <w:tab w:val="left" w:pos="3969"/>
              </w:tabs>
              <w:spacing w:after="60" w:line="276" w:lineRule="auto"/>
              <w:jc w:val="center"/>
              <w:rPr>
                <w:rFonts w:cs="Arial"/>
                <w:sz w:val="20"/>
                <w:szCs w:val="20"/>
                <w:lang w:val="sl-SI"/>
              </w:rPr>
            </w:pPr>
            <w:r w:rsidRPr="005771BD">
              <w:rPr>
                <w:rFonts w:cs="Arial"/>
                <w:szCs w:val="20"/>
                <w:lang w:val="sl-SI"/>
              </w:rPr>
              <w:t>0</w:t>
            </w:r>
            <w:r>
              <w:rPr>
                <w:rFonts w:cs="Arial"/>
                <w:szCs w:val="20"/>
                <w:lang w:val="sl-SI"/>
              </w:rPr>
              <w:t>–</w:t>
            </w:r>
            <w:r w:rsidRPr="005771BD">
              <w:rPr>
                <w:rFonts w:cs="Arial"/>
                <w:szCs w:val="20"/>
                <w:lang w:val="sl-SI"/>
              </w:rPr>
              <w:t>2</w:t>
            </w:r>
          </w:p>
        </w:tc>
        <w:tc>
          <w:tcPr>
            <w:tcW w:w="1134" w:type="dxa"/>
            <w:tcBorders>
              <w:top w:val="single" w:sz="4" w:space="0" w:color="FFFFFF"/>
              <w:bottom w:val="single" w:sz="4" w:space="0" w:color="FFFFFF"/>
              <w:right w:val="single" w:sz="4" w:space="0" w:color="FFFFFF"/>
            </w:tcBorders>
            <w:vAlign w:val="center"/>
          </w:tcPr>
          <w:p w:rsidR="0057482E" w:rsidRPr="005771BD" w:rsidRDefault="0057482E" w:rsidP="00E71CC6">
            <w:pPr>
              <w:kinsoku w:val="0"/>
              <w:overflowPunct w:val="0"/>
              <w:spacing w:after="60" w:line="276" w:lineRule="auto"/>
              <w:jc w:val="center"/>
              <w:textAlignment w:val="baseline"/>
              <w:rPr>
                <w:rFonts w:cs="Arial"/>
                <w:sz w:val="20"/>
                <w:szCs w:val="20"/>
                <w:lang w:val="sl-SI" w:eastAsia="sl-SI"/>
              </w:rPr>
            </w:pPr>
            <w:r w:rsidRPr="005771BD">
              <w:rPr>
                <w:rFonts w:cs="Arial"/>
                <w:szCs w:val="20"/>
                <w:lang w:val="sl-SI" w:eastAsia="sl-SI"/>
              </w:rPr>
              <w:t xml:space="preserve">0,02 </w:t>
            </w:r>
          </w:p>
        </w:tc>
        <w:tc>
          <w:tcPr>
            <w:tcW w:w="1276" w:type="dxa"/>
            <w:tcBorders>
              <w:top w:val="single" w:sz="4" w:space="0" w:color="FFFFFF"/>
              <w:left w:val="single" w:sz="4" w:space="0" w:color="FFFFFF"/>
              <w:bottom w:val="single" w:sz="4" w:space="0" w:color="FFFFFF"/>
            </w:tcBorders>
            <w:vAlign w:val="center"/>
          </w:tcPr>
          <w:p w:rsidR="0057482E" w:rsidRPr="005771BD" w:rsidRDefault="0057482E" w:rsidP="00E71CC6">
            <w:pPr>
              <w:tabs>
                <w:tab w:val="left" w:pos="3969"/>
              </w:tabs>
              <w:spacing w:after="60" w:line="276" w:lineRule="auto"/>
              <w:jc w:val="center"/>
              <w:rPr>
                <w:rFonts w:cs="Arial"/>
                <w:sz w:val="20"/>
                <w:szCs w:val="20"/>
                <w:lang w:val="sl-SI"/>
              </w:rPr>
            </w:pPr>
            <w:r w:rsidRPr="005771BD">
              <w:rPr>
                <w:rFonts w:cs="Arial"/>
                <w:szCs w:val="20"/>
                <w:lang w:val="sl-SI" w:eastAsia="sl-SI"/>
              </w:rPr>
              <w:t>0,01</w:t>
            </w:r>
            <w:r>
              <w:rPr>
                <w:rFonts w:cs="Arial"/>
                <w:szCs w:val="20"/>
                <w:lang w:val="sl-SI" w:eastAsia="sl-SI"/>
              </w:rPr>
              <w:t>–</w:t>
            </w:r>
            <w:r w:rsidRPr="005771BD">
              <w:rPr>
                <w:rFonts w:cs="Arial"/>
                <w:szCs w:val="20"/>
                <w:lang w:val="sl-SI" w:eastAsia="sl-SI"/>
              </w:rPr>
              <w:t>0,03</w:t>
            </w:r>
          </w:p>
        </w:tc>
      </w:tr>
      <w:tr w:rsidR="0057482E" w:rsidRPr="005771BD" w:rsidTr="00E71CC6">
        <w:tc>
          <w:tcPr>
            <w:tcW w:w="567" w:type="dxa"/>
            <w:vMerge/>
            <w:tcBorders>
              <w:left w:val="single" w:sz="4" w:space="0" w:color="auto"/>
              <w:bottom w:val="single" w:sz="4" w:space="0" w:color="auto"/>
            </w:tcBorders>
            <w:shd w:val="clear" w:color="auto" w:fill="F2F2F2" w:themeFill="background1" w:themeFillShade="F2"/>
            <w:vAlign w:val="center"/>
          </w:tcPr>
          <w:p w:rsidR="0057482E" w:rsidRPr="005771BD" w:rsidRDefault="0057482E" w:rsidP="00E71CC6">
            <w:pPr>
              <w:kinsoku w:val="0"/>
              <w:overflowPunct w:val="0"/>
              <w:spacing w:after="60" w:line="276" w:lineRule="auto"/>
              <w:jc w:val="center"/>
              <w:textAlignment w:val="baseline"/>
              <w:rPr>
                <w:rFonts w:cs="Arial"/>
                <w:sz w:val="20"/>
                <w:szCs w:val="20"/>
                <w:lang w:val="sl-SI"/>
              </w:rPr>
            </w:pPr>
          </w:p>
        </w:tc>
        <w:tc>
          <w:tcPr>
            <w:tcW w:w="2977" w:type="dxa"/>
            <w:tcBorders>
              <w:top w:val="single" w:sz="4" w:space="0" w:color="FFFFFF"/>
            </w:tcBorders>
            <w:vAlign w:val="center"/>
          </w:tcPr>
          <w:p w:rsidR="0057482E" w:rsidRPr="005771BD" w:rsidRDefault="0057482E" w:rsidP="00E71CC6">
            <w:pPr>
              <w:kinsoku w:val="0"/>
              <w:overflowPunct w:val="0"/>
              <w:spacing w:after="60" w:line="276" w:lineRule="auto"/>
              <w:textAlignment w:val="baseline"/>
              <w:rPr>
                <w:rFonts w:cs="Arial"/>
                <w:sz w:val="20"/>
                <w:szCs w:val="20"/>
                <w:lang w:val="sl-SI"/>
              </w:rPr>
            </w:pPr>
            <w:r w:rsidRPr="005771BD">
              <w:rPr>
                <w:rFonts w:cs="Arial"/>
                <w:szCs w:val="20"/>
                <w:lang w:val="sl-SI"/>
              </w:rPr>
              <w:t>Sprejemi v bolnišnico zaradi bolezni dihal, ≥ 65 let</w:t>
            </w:r>
          </w:p>
        </w:tc>
        <w:tc>
          <w:tcPr>
            <w:tcW w:w="1134" w:type="dxa"/>
            <w:tcBorders>
              <w:top w:val="single" w:sz="4" w:space="0" w:color="FFFFFF"/>
            </w:tcBorders>
            <w:vAlign w:val="center"/>
          </w:tcPr>
          <w:p w:rsidR="0057482E" w:rsidRPr="005771BD" w:rsidRDefault="0057482E" w:rsidP="00E71CC6">
            <w:pPr>
              <w:kinsoku w:val="0"/>
              <w:overflowPunct w:val="0"/>
              <w:spacing w:after="60" w:line="276" w:lineRule="auto"/>
              <w:jc w:val="center"/>
              <w:textAlignment w:val="baseline"/>
              <w:rPr>
                <w:rFonts w:cs="Arial"/>
                <w:kern w:val="24"/>
                <w:sz w:val="20"/>
                <w:szCs w:val="20"/>
                <w:lang w:val="sl-SI" w:eastAsia="sl-SI"/>
              </w:rPr>
            </w:pPr>
            <w:r w:rsidRPr="005771BD">
              <w:rPr>
                <w:rFonts w:cs="Arial"/>
                <w:kern w:val="24"/>
                <w:szCs w:val="20"/>
                <w:lang w:val="sl-SI" w:eastAsia="sl-SI"/>
              </w:rPr>
              <w:t xml:space="preserve">198 </w:t>
            </w:r>
          </w:p>
        </w:tc>
        <w:tc>
          <w:tcPr>
            <w:tcW w:w="992" w:type="dxa"/>
            <w:tcBorders>
              <w:top w:val="single" w:sz="4" w:space="0" w:color="FFFFFF"/>
              <w:right w:val="single" w:sz="4" w:space="0" w:color="FFFFFF"/>
            </w:tcBorders>
            <w:vAlign w:val="center"/>
          </w:tcPr>
          <w:p w:rsidR="0057482E" w:rsidRPr="005771BD" w:rsidRDefault="0057482E" w:rsidP="00E71CC6">
            <w:pPr>
              <w:kinsoku w:val="0"/>
              <w:overflowPunct w:val="0"/>
              <w:spacing w:after="60" w:line="276" w:lineRule="auto"/>
              <w:jc w:val="center"/>
              <w:textAlignment w:val="baseline"/>
              <w:rPr>
                <w:rFonts w:cs="Arial"/>
                <w:kern w:val="24"/>
                <w:sz w:val="20"/>
                <w:szCs w:val="20"/>
                <w:lang w:val="sl-SI" w:eastAsia="sl-SI"/>
              </w:rPr>
            </w:pPr>
            <w:r w:rsidRPr="005771BD">
              <w:rPr>
                <w:rFonts w:cs="Arial"/>
                <w:kern w:val="24"/>
                <w:szCs w:val="20"/>
                <w:lang w:val="sl-SI" w:eastAsia="sl-SI"/>
              </w:rPr>
              <w:t>2</w:t>
            </w:r>
          </w:p>
        </w:tc>
        <w:tc>
          <w:tcPr>
            <w:tcW w:w="1134" w:type="dxa"/>
            <w:tcBorders>
              <w:top w:val="single" w:sz="4" w:space="0" w:color="FFFFFF"/>
              <w:left w:val="single" w:sz="4" w:space="0" w:color="FFFFFF"/>
            </w:tcBorders>
            <w:vAlign w:val="center"/>
          </w:tcPr>
          <w:p w:rsidR="0057482E" w:rsidRPr="005771BD" w:rsidRDefault="0057482E" w:rsidP="00E71CC6">
            <w:pPr>
              <w:tabs>
                <w:tab w:val="left" w:pos="3969"/>
              </w:tabs>
              <w:spacing w:after="60" w:line="276" w:lineRule="auto"/>
              <w:jc w:val="center"/>
              <w:rPr>
                <w:rFonts w:cs="Arial"/>
                <w:sz w:val="20"/>
                <w:szCs w:val="20"/>
                <w:lang w:val="sl-SI"/>
              </w:rPr>
            </w:pPr>
            <w:r w:rsidRPr="005771BD">
              <w:rPr>
                <w:rFonts w:cs="Arial"/>
                <w:szCs w:val="20"/>
                <w:lang w:val="sl-SI"/>
              </w:rPr>
              <w:t>1</w:t>
            </w:r>
            <w:r>
              <w:rPr>
                <w:rFonts w:cs="Arial"/>
                <w:szCs w:val="20"/>
                <w:lang w:val="sl-SI"/>
              </w:rPr>
              <w:t>–</w:t>
            </w:r>
            <w:r w:rsidRPr="005771BD">
              <w:rPr>
                <w:rFonts w:cs="Arial"/>
                <w:szCs w:val="20"/>
                <w:lang w:val="sl-SI"/>
              </w:rPr>
              <w:t>6</w:t>
            </w:r>
          </w:p>
        </w:tc>
        <w:tc>
          <w:tcPr>
            <w:tcW w:w="1134" w:type="dxa"/>
            <w:tcBorders>
              <w:top w:val="single" w:sz="4" w:space="0" w:color="FFFFFF"/>
              <w:right w:val="single" w:sz="4" w:space="0" w:color="FFFFFF"/>
            </w:tcBorders>
            <w:vAlign w:val="center"/>
          </w:tcPr>
          <w:p w:rsidR="0057482E" w:rsidRPr="005771BD" w:rsidRDefault="0057482E" w:rsidP="00E71CC6">
            <w:pPr>
              <w:kinsoku w:val="0"/>
              <w:overflowPunct w:val="0"/>
              <w:spacing w:after="60" w:line="276" w:lineRule="auto"/>
              <w:jc w:val="center"/>
              <w:textAlignment w:val="baseline"/>
              <w:rPr>
                <w:rFonts w:cs="Arial"/>
                <w:kern w:val="24"/>
                <w:sz w:val="20"/>
                <w:szCs w:val="20"/>
                <w:lang w:val="sl-SI" w:eastAsia="sl-SI"/>
              </w:rPr>
            </w:pPr>
            <w:r w:rsidRPr="005771BD">
              <w:rPr>
                <w:rFonts w:cs="Arial"/>
                <w:kern w:val="24"/>
                <w:szCs w:val="20"/>
                <w:lang w:val="sl-SI" w:eastAsia="sl-SI"/>
              </w:rPr>
              <w:t>0,05</w:t>
            </w:r>
          </w:p>
        </w:tc>
        <w:tc>
          <w:tcPr>
            <w:tcW w:w="1276" w:type="dxa"/>
            <w:tcBorders>
              <w:top w:val="single" w:sz="4" w:space="0" w:color="FFFFFF"/>
              <w:left w:val="single" w:sz="4" w:space="0" w:color="FFFFFF"/>
            </w:tcBorders>
            <w:vAlign w:val="center"/>
          </w:tcPr>
          <w:p w:rsidR="0057482E" w:rsidRPr="005771BD" w:rsidRDefault="0057482E" w:rsidP="00E71CC6">
            <w:pPr>
              <w:tabs>
                <w:tab w:val="left" w:pos="3969"/>
              </w:tabs>
              <w:spacing w:after="60" w:line="276" w:lineRule="auto"/>
              <w:jc w:val="center"/>
              <w:rPr>
                <w:rFonts w:cs="Arial"/>
                <w:sz w:val="20"/>
                <w:szCs w:val="20"/>
                <w:lang w:val="sl-SI"/>
              </w:rPr>
            </w:pPr>
            <w:r w:rsidRPr="005771BD">
              <w:rPr>
                <w:rFonts w:cs="Arial"/>
                <w:kern w:val="24"/>
                <w:szCs w:val="20"/>
                <w:lang w:val="sl-SI" w:eastAsia="sl-SI"/>
              </w:rPr>
              <w:t>0,02</w:t>
            </w:r>
            <w:r>
              <w:rPr>
                <w:rFonts w:cs="Arial"/>
                <w:kern w:val="24"/>
                <w:szCs w:val="20"/>
                <w:lang w:val="sl-SI" w:eastAsia="sl-SI"/>
              </w:rPr>
              <w:t>–</w:t>
            </w:r>
            <w:r w:rsidRPr="005771BD">
              <w:rPr>
                <w:rFonts w:cs="Arial"/>
                <w:kern w:val="24"/>
                <w:szCs w:val="20"/>
                <w:lang w:val="sl-SI" w:eastAsia="sl-SI"/>
              </w:rPr>
              <w:t>0,11</w:t>
            </w:r>
          </w:p>
        </w:tc>
      </w:tr>
      <w:tr w:rsidR="0057482E" w:rsidRPr="005771BD" w:rsidTr="00E71CC6">
        <w:tc>
          <w:tcPr>
            <w:tcW w:w="567" w:type="dxa"/>
            <w:vMerge w:val="restart"/>
            <w:tcBorders>
              <w:left w:val="single" w:sz="4" w:space="0" w:color="auto"/>
            </w:tcBorders>
            <w:shd w:val="clear" w:color="auto" w:fill="F2F2F2" w:themeFill="background1" w:themeFillShade="F2"/>
            <w:textDirection w:val="btLr"/>
            <w:vAlign w:val="center"/>
          </w:tcPr>
          <w:p w:rsidR="0057482E" w:rsidRPr="005771BD" w:rsidRDefault="0057482E" w:rsidP="00E71CC6">
            <w:pPr>
              <w:kinsoku w:val="0"/>
              <w:overflowPunct w:val="0"/>
              <w:spacing w:after="60" w:line="276" w:lineRule="auto"/>
              <w:ind w:left="113"/>
              <w:jc w:val="center"/>
              <w:textAlignment w:val="baseline"/>
              <w:rPr>
                <w:rFonts w:cs="Arial"/>
                <w:sz w:val="20"/>
                <w:szCs w:val="20"/>
                <w:lang w:val="sl-SI"/>
              </w:rPr>
            </w:pPr>
            <w:r w:rsidRPr="005771BD">
              <w:rPr>
                <w:rFonts w:cs="Arial"/>
                <w:szCs w:val="20"/>
                <w:vertAlign w:val="superscript"/>
                <w:lang w:val="sl-SI"/>
              </w:rPr>
              <w:t>2</w:t>
            </w:r>
            <w:r w:rsidRPr="005771BD">
              <w:rPr>
                <w:rFonts w:cs="Arial"/>
                <w:szCs w:val="20"/>
                <w:lang w:val="sl-SI"/>
              </w:rPr>
              <w:t>UE NOVA GORICA</w:t>
            </w:r>
          </w:p>
        </w:tc>
        <w:tc>
          <w:tcPr>
            <w:tcW w:w="2977" w:type="dxa"/>
            <w:tcBorders>
              <w:bottom w:val="single" w:sz="4" w:space="0" w:color="FFFFFF"/>
            </w:tcBorders>
            <w:vAlign w:val="center"/>
          </w:tcPr>
          <w:p w:rsidR="0057482E" w:rsidRPr="005771BD" w:rsidRDefault="0057482E" w:rsidP="00E71CC6">
            <w:pPr>
              <w:kinsoku w:val="0"/>
              <w:overflowPunct w:val="0"/>
              <w:spacing w:after="60" w:line="276" w:lineRule="auto"/>
              <w:textAlignment w:val="baseline"/>
              <w:rPr>
                <w:rFonts w:cs="Arial"/>
                <w:sz w:val="20"/>
                <w:szCs w:val="20"/>
                <w:lang w:val="sl-SI"/>
              </w:rPr>
            </w:pPr>
            <w:r w:rsidRPr="005771BD">
              <w:rPr>
                <w:rFonts w:cs="Arial"/>
                <w:szCs w:val="20"/>
                <w:lang w:val="sl-SI"/>
              </w:rPr>
              <w:t>Umrli zaradi vseh vzrokov (brez zunanjih vzrokov), vse starosti</w:t>
            </w:r>
          </w:p>
        </w:tc>
        <w:tc>
          <w:tcPr>
            <w:tcW w:w="1134" w:type="dxa"/>
            <w:tcBorders>
              <w:bottom w:val="single" w:sz="4" w:space="0" w:color="FFFFFF"/>
            </w:tcBorders>
            <w:vAlign w:val="center"/>
          </w:tcPr>
          <w:p w:rsidR="0057482E" w:rsidRPr="005771BD" w:rsidRDefault="0057482E" w:rsidP="00E71CC6">
            <w:pPr>
              <w:kinsoku w:val="0"/>
              <w:overflowPunct w:val="0"/>
              <w:spacing w:after="60" w:line="276" w:lineRule="auto"/>
              <w:jc w:val="center"/>
              <w:textAlignment w:val="baseline"/>
              <w:rPr>
                <w:rFonts w:cs="Arial"/>
                <w:sz w:val="20"/>
                <w:szCs w:val="20"/>
                <w:lang w:val="sl-SI" w:eastAsia="sl-SI"/>
              </w:rPr>
            </w:pPr>
            <w:r w:rsidRPr="005771BD">
              <w:rPr>
                <w:rFonts w:cs="Arial"/>
                <w:szCs w:val="20"/>
                <w:lang w:val="sl-SI" w:eastAsia="sl-SI"/>
              </w:rPr>
              <w:t xml:space="preserve">552 </w:t>
            </w:r>
          </w:p>
        </w:tc>
        <w:tc>
          <w:tcPr>
            <w:tcW w:w="992" w:type="dxa"/>
            <w:tcBorders>
              <w:bottom w:val="single" w:sz="4" w:space="0" w:color="FFFFFF"/>
              <w:right w:val="single" w:sz="4" w:space="0" w:color="FFFFFF"/>
            </w:tcBorders>
            <w:vAlign w:val="center"/>
          </w:tcPr>
          <w:p w:rsidR="0057482E" w:rsidRPr="005771BD" w:rsidRDefault="0057482E" w:rsidP="00E71CC6">
            <w:pPr>
              <w:kinsoku w:val="0"/>
              <w:overflowPunct w:val="0"/>
              <w:spacing w:after="60" w:line="276" w:lineRule="auto"/>
              <w:jc w:val="center"/>
              <w:textAlignment w:val="baseline"/>
              <w:rPr>
                <w:rFonts w:cs="Arial"/>
                <w:sz w:val="20"/>
                <w:szCs w:val="20"/>
                <w:lang w:val="sl-SI" w:eastAsia="sl-SI"/>
              </w:rPr>
            </w:pPr>
            <w:r w:rsidRPr="005771BD">
              <w:rPr>
                <w:rFonts w:cs="Arial"/>
                <w:szCs w:val="20"/>
                <w:lang w:val="sl-SI"/>
              </w:rPr>
              <w:t>3</w:t>
            </w:r>
          </w:p>
        </w:tc>
        <w:tc>
          <w:tcPr>
            <w:tcW w:w="1134" w:type="dxa"/>
            <w:tcBorders>
              <w:left w:val="single" w:sz="4" w:space="0" w:color="FFFFFF"/>
              <w:bottom w:val="single" w:sz="4" w:space="0" w:color="FFFFFF"/>
            </w:tcBorders>
            <w:vAlign w:val="center"/>
          </w:tcPr>
          <w:p w:rsidR="0057482E" w:rsidRPr="005771BD" w:rsidRDefault="0057482E" w:rsidP="00E71CC6">
            <w:pPr>
              <w:tabs>
                <w:tab w:val="left" w:pos="3969"/>
              </w:tabs>
              <w:spacing w:after="60" w:line="276" w:lineRule="auto"/>
              <w:jc w:val="center"/>
              <w:rPr>
                <w:rFonts w:cs="Arial"/>
                <w:sz w:val="20"/>
                <w:szCs w:val="20"/>
                <w:lang w:val="sl-SI"/>
              </w:rPr>
            </w:pPr>
            <w:r w:rsidRPr="005771BD">
              <w:rPr>
                <w:rFonts w:cs="Arial"/>
                <w:szCs w:val="20"/>
                <w:lang w:val="sl-SI"/>
              </w:rPr>
              <w:t>1</w:t>
            </w:r>
            <w:r>
              <w:rPr>
                <w:rFonts w:cs="Arial"/>
                <w:szCs w:val="20"/>
                <w:lang w:val="sl-SI"/>
              </w:rPr>
              <w:t>–</w:t>
            </w:r>
            <w:r w:rsidRPr="005771BD">
              <w:rPr>
                <w:rFonts w:cs="Arial"/>
                <w:szCs w:val="20"/>
                <w:lang w:val="sl-SI"/>
              </w:rPr>
              <w:t>4</w:t>
            </w:r>
          </w:p>
        </w:tc>
        <w:tc>
          <w:tcPr>
            <w:tcW w:w="1134" w:type="dxa"/>
            <w:tcBorders>
              <w:bottom w:val="single" w:sz="4" w:space="0" w:color="FFFFFF"/>
              <w:right w:val="single" w:sz="4" w:space="0" w:color="FFFFFF"/>
            </w:tcBorders>
            <w:vAlign w:val="center"/>
          </w:tcPr>
          <w:p w:rsidR="0057482E" w:rsidRPr="005771BD" w:rsidRDefault="0057482E" w:rsidP="00E71CC6">
            <w:pPr>
              <w:kinsoku w:val="0"/>
              <w:overflowPunct w:val="0"/>
              <w:spacing w:after="60" w:line="276" w:lineRule="auto"/>
              <w:jc w:val="center"/>
              <w:textAlignment w:val="baseline"/>
              <w:rPr>
                <w:rFonts w:cs="Arial"/>
                <w:sz w:val="20"/>
                <w:szCs w:val="20"/>
                <w:lang w:val="sl-SI" w:eastAsia="sl-SI"/>
              </w:rPr>
            </w:pPr>
            <w:r w:rsidRPr="005771BD">
              <w:rPr>
                <w:rFonts w:cs="Arial"/>
                <w:szCs w:val="20"/>
                <w:lang w:val="sl-SI" w:eastAsia="sl-SI"/>
              </w:rPr>
              <w:t xml:space="preserve">0,06 </w:t>
            </w:r>
          </w:p>
        </w:tc>
        <w:tc>
          <w:tcPr>
            <w:tcW w:w="1276" w:type="dxa"/>
            <w:tcBorders>
              <w:left w:val="single" w:sz="4" w:space="0" w:color="FFFFFF"/>
              <w:bottom w:val="single" w:sz="4" w:space="0" w:color="FFFFFF"/>
            </w:tcBorders>
            <w:vAlign w:val="center"/>
          </w:tcPr>
          <w:p w:rsidR="0057482E" w:rsidRPr="005771BD" w:rsidRDefault="0057482E" w:rsidP="00E71CC6">
            <w:pPr>
              <w:tabs>
                <w:tab w:val="left" w:pos="3969"/>
              </w:tabs>
              <w:spacing w:after="60" w:line="276" w:lineRule="auto"/>
              <w:jc w:val="center"/>
              <w:rPr>
                <w:rFonts w:cs="Arial"/>
                <w:sz w:val="20"/>
                <w:szCs w:val="20"/>
                <w:lang w:val="sl-SI"/>
              </w:rPr>
            </w:pPr>
            <w:r w:rsidRPr="005771BD">
              <w:rPr>
                <w:rFonts w:cs="Arial"/>
                <w:szCs w:val="20"/>
                <w:lang w:val="sl-SI" w:eastAsia="sl-SI"/>
              </w:rPr>
              <w:t>0,02</w:t>
            </w:r>
            <w:r>
              <w:rPr>
                <w:rFonts w:cs="Arial"/>
                <w:szCs w:val="20"/>
                <w:lang w:val="sl-SI" w:eastAsia="sl-SI"/>
              </w:rPr>
              <w:t>–</w:t>
            </w:r>
            <w:r w:rsidRPr="005771BD">
              <w:rPr>
                <w:rFonts w:cs="Arial"/>
                <w:szCs w:val="20"/>
                <w:lang w:val="sl-SI" w:eastAsia="sl-SI"/>
              </w:rPr>
              <w:t>0,07</w:t>
            </w:r>
          </w:p>
        </w:tc>
      </w:tr>
      <w:tr w:rsidR="0057482E" w:rsidRPr="005771BD" w:rsidTr="00E71CC6">
        <w:tc>
          <w:tcPr>
            <w:tcW w:w="567" w:type="dxa"/>
            <w:vMerge/>
            <w:tcBorders>
              <w:left w:val="single" w:sz="4" w:space="0" w:color="auto"/>
            </w:tcBorders>
            <w:shd w:val="clear" w:color="auto" w:fill="F2F2F2" w:themeFill="background1" w:themeFillShade="F2"/>
          </w:tcPr>
          <w:p w:rsidR="0057482E" w:rsidRPr="005771BD" w:rsidRDefault="0057482E" w:rsidP="00E71CC6">
            <w:pPr>
              <w:kinsoku w:val="0"/>
              <w:overflowPunct w:val="0"/>
              <w:spacing w:after="60" w:line="276" w:lineRule="auto"/>
              <w:textAlignment w:val="baseline"/>
              <w:rPr>
                <w:rFonts w:cs="Arial"/>
                <w:sz w:val="20"/>
                <w:szCs w:val="20"/>
                <w:lang w:val="sl-SI"/>
              </w:rPr>
            </w:pPr>
          </w:p>
        </w:tc>
        <w:tc>
          <w:tcPr>
            <w:tcW w:w="2977" w:type="dxa"/>
            <w:tcBorders>
              <w:top w:val="single" w:sz="4" w:space="0" w:color="FFFFFF"/>
              <w:bottom w:val="single" w:sz="4" w:space="0" w:color="FFFFFF"/>
            </w:tcBorders>
            <w:vAlign w:val="center"/>
          </w:tcPr>
          <w:p w:rsidR="0057482E" w:rsidRPr="005771BD" w:rsidRDefault="0057482E" w:rsidP="00E71CC6">
            <w:pPr>
              <w:kinsoku w:val="0"/>
              <w:overflowPunct w:val="0"/>
              <w:spacing w:after="60" w:line="276" w:lineRule="auto"/>
              <w:textAlignment w:val="baseline"/>
              <w:rPr>
                <w:rFonts w:cs="Arial"/>
                <w:sz w:val="20"/>
                <w:szCs w:val="20"/>
                <w:lang w:val="sl-SI"/>
              </w:rPr>
            </w:pPr>
            <w:r w:rsidRPr="005771BD">
              <w:rPr>
                <w:rFonts w:cs="Arial"/>
                <w:szCs w:val="20"/>
                <w:lang w:val="sl-SI"/>
              </w:rPr>
              <w:t>Umrli zaradi srčno</w:t>
            </w:r>
            <w:r>
              <w:rPr>
                <w:rFonts w:cs="Arial"/>
                <w:szCs w:val="20"/>
                <w:lang w:val="sl-SI"/>
              </w:rPr>
              <w:t>-</w:t>
            </w:r>
            <w:r w:rsidRPr="005771BD">
              <w:rPr>
                <w:rFonts w:cs="Arial"/>
                <w:szCs w:val="20"/>
                <w:lang w:val="sl-SI"/>
              </w:rPr>
              <w:t>žilnih bolezni, vse starosti</w:t>
            </w:r>
          </w:p>
        </w:tc>
        <w:tc>
          <w:tcPr>
            <w:tcW w:w="1134" w:type="dxa"/>
            <w:tcBorders>
              <w:top w:val="single" w:sz="4" w:space="0" w:color="FFFFFF"/>
              <w:bottom w:val="single" w:sz="4" w:space="0" w:color="FFFFFF"/>
            </w:tcBorders>
            <w:vAlign w:val="center"/>
          </w:tcPr>
          <w:p w:rsidR="0057482E" w:rsidRPr="005771BD" w:rsidRDefault="0057482E" w:rsidP="00E71CC6">
            <w:pPr>
              <w:kinsoku w:val="0"/>
              <w:overflowPunct w:val="0"/>
              <w:spacing w:after="60" w:line="276" w:lineRule="auto"/>
              <w:jc w:val="center"/>
              <w:textAlignment w:val="baseline"/>
              <w:rPr>
                <w:rFonts w:cs="Arial"/>
                <w:sz w:val="20"/>
                <w:szCs w:val="20"/>
                <w:lang w:val="sl-SI" w:eastAsia="sl-SI"/>
              </w:rPr>
            </w:pPr>
            <w:r w:rsidRPr="005771BD">
              <w:rPr>
                <w:rFonts w:cs="Arial"/>
                <w:szCs w:val="20"/>
                <w:lang w:val="sl-SI" w:eastAsia="sl-SI"/>
              </w:rPr>
              <w:t xml:space="preserve">252 </w:t>
            </w:r>
          </w:p>
        </w:tc>
        <w:tc>
          <w:tcPr>
            <w:tcW w:w="992" w:type="dxa"/>
            <w:tcBorders>
              <w:top w:val="single" w:sz="4" w:space="0" w:color="FFFFFF"/>
              <w:bottom w:val="single" w:sz="4" w:space="0" w:color="FFFFFF"/>
              <w:right w:val="single" w:sz="4" w:space="0" w:color="FFFFFF"/>
            </w:tcBorders>
            <w:vAlign w:val="center"/>
          </w:tcPr>
          <w:p w:rsidR="0057482E" w:rsidRPr="005771BD" w:rsidRDefault="0057482E" w:rsidP="00E71CC6">
            <w:pPr>
              <w:kinsoku w:val="0"/>
              <w:overflowPunct w:val="0"/>
              <w:spacing w:after="60" w:line="276" w:lineRule="auto"/>
              <w:jc w:val="center"/>
              <w:textAlignment w:val="baseline"/>
              <w:rPr>
                <w:rFonts w:cs="Arial"/>
                <w:sz w:val="20"/>
                <w:szCs w:val="20"/>
                <w:lang w:val="sl-SI" w:eastAsia="sl-SI"/>
              </w:rPr>
            </w:pPr>
            <w:r w:rsidRPr="005771BD">
              <w:rPr>
                <w:rFonts w:cs="Arial"/>
                <w:szCs w:val="20"/>
                <w:lang w:val="sl-SI" w:eastAsia="sl-SI"/>
              </w:rPr>
              <w:t>1</w:t>
            </w:r>
          </w:p>
        </w:tc>
        <w:tc>
          <w:tcPr>
            <w:tcW w:w="1134" w:type="dxa"/>
            <w:tcBorders>
              <w:top w:val="single" w:sz="4" w:space="0" w:color="FFFFFF"/>
              <w:left w:val="single" w:sz="4" w:space="0" w:color="FFFFFF"/>
              <w:bottom w:val="single" w:sz="4" w:space="0" w:color="FFFFFF"/>
            </w:tcBorders>
            <w:vAlign w:val="center"/>
          </w:tcPr>
          <w:p w:rsidR="0057482E" w:rsidRPr="005771BD" w:rsidRDefault="0057482E" w:rsidP="00E71CC6">
            <w:pPr>
              <w:tabs>
                <w:tab w:val="left" w:pos="3969"/>
              </w:tabs>
              <w:spacing w:after="60" w:line="276" w:lineRule="auto"/>
              <w:jc w:val="center"/>
              <w:rPr>
                <w:rFonts w:cs="Arial"/>
                <w:sz w:val="20"/>
                <w:szCs w:val="20"/>
                <w:lang w:val="sl-SI"/>
              </w:rPr>
            </w:pPr>
            <w:r w:rsidRPr="005771BD">
              <w:rPr>
                <w:rFonts w:cs="Arial"/>
                <w:szCs w:val="20"/>
                <w:lang w:val="sl-SI"/>
              </w:rPr>
              <w:t>0</w:t>
            </w:r>
            <w:r>
              <w:rPr>
                <w:rFonts w:cs="Arial"/>
                <w:szCs w:val="20"/>
                <w:lang w:val="sl-SI"/>
              </w:rPr>
              <w:t>–</w:t>
            </w:r>
            <w:r w:rsidRPr="005771BD">
              <w:rPr>
                <w:rFonts w:cs="Arial"/>
                <w:szCs w:val="20"/>
                <w:lang w:val="sl-SI"/>
              </w:rPr>
              <w:t>2</w:t>
            </w:r>
          </w:p>
        </w:tc>
        <w:tc>
          <w:tcPr>
            <w:tcW w:w="1134" w:type="dxa"/>
            <w:tcBorders>
              <w:top w:val="single" w:sz="4" w:space="0" w:color="FFFFFF"/>
              <w:bottom w:val="single" w:sz="4" w:space="0" w:color="FFFFFF"/>
              <w:right w:val="single" w:sz="4" w:space="0" w:color="FFFFFF"/>
            </w:tcBorders>
            <w:vAlign w:val="center"/>
          </w:tcPr>
          <w:p w:rsidR="0057482E" w:rsidRPr="005771BD" w:rsidRDefault="0057482E" w:rsidP="00E71CC6">
            <w:pPr>
              <w:kinsoku w:val="0"/>
              <w:overflowPunct w:val="0"/>
              <w:spacing w:after="60" w:line="276" w:lineRule="auto"/>
              <w:jc w:val="center"/>
              <w:textAlignment w:val="baseline"/>
              <w:rPr>
                <w:rFonts w:cs="Arial"/>
                <w:sz w:val="20"/>
                <w:szCs w:val="20"/>
                <w:lang w:val="sl-SI" w:eastAsia="sl-SI"/>
              </w:rPr>
            </w:pPr>
            <w:r w:rsidRPr="005771BD">
              <w:rPr>
                <w:rFonts w:cs="Arial"/>
                <w:szCs w:val="20"/>
                <w:lang w:val="sl-SI" w:eastAsia="sl-SI"/>
              </w:rPr>
              <w:t xml:space="preserve">0,02 </w:t>
            </w:r>
          </w:p>
        </w:tc>
        <w:tc>
          <w:tcPr>
            <w:tcW w:w="1276" w:type="dxa"/>
            <w:tcBorders>
              <w:top w:val="single" w:sz="4" w:space="0" w:color="FFFFFF"/>
              <w:left w:val="single" w:sz="4" w:space="0" w:color="FFFFFF"/>
              <w:bottom w:val="single" w:sz="4" w:space="0" w:color="FFFFFF"/>
            </w:tcBorders>
            <w:vAlign w:val="center"/>
          </w:tcPr>
          <w:p w:rsidR="0057482E" w:rsidRPr="005771BD" w:rsidRDefault="0057482E" w:rsidP="00E71CC6">
            <w:pPr>
              <w:tabs>
                <w:tab w:val="left" w:pos="3969"/>
              </w:tabs>
              <w:spacing w:after="60" w:line="276" w:lineRule="auto"/>
              <w:jc w:val="center"/>
              <w:rPr>
                <w:rFonts w:cs="Arial"/>
                <w:sz w:val="20"/>
                <w:szCs w:val="20"/>
                <w:lang w:val="sl-SI"/>
              </w:rPr>
            </w:pPr>
            <w:r w:rsidRPr="005771BD">
              <w:rPr>
                <w:rFonts w:cs="Arial"/>
                <w:szCs w:val="20"/>
                <w:lang w:val="sl-SI" w:eastAsia="sl-SI"/>
              </w:rPr>
              <w:t>0,01</w:t>
            </w:r>
            <w:r>
              <w:rPr>
                <w:rFonts w:cs="Arial"/>
                <w:szCs w:val="20"/>
                <w:lang w:val="sl-SI" w:eastAsia="sl-SI"/>
              </w:rPr>
              <w:t>–</w:t>
            </w:r>
            <w:r w:rsidRPr="005771BD">
              <w:rPr>
                <w:rFonts w:cs="Arial"/>
                <w:szCs w:val="20"/>
                <w:lang w:val="sl-SI" w:eastAsia="sl-SI"/>
              </w:rPr>
              <w:t>0,03</w:t>
            </w:r>
          </w:p>
        </w:tc>
      </w:tr>
      <w:tr w:rsidR="0057482E" w:rsidRPr="005771BD" w:rsidTr="00E71CC6">
        <w:tc>
          <w:tcPr>
            <w:tcW w:w="567" w:type="dxa"/>
            <w:vMerge/>
            <w:tcBorders>
              <w:left w:val="single" w:sz="4" w:space="0" w:color="auto"/>
            </w:tcBorders>
            <w:shd w:val="clear" w:color="auto" w:fill="F2F2F2" w:themeFill="background1" w:themeFillShade="F2"/>
          </w:tcPr>
          <w:p w:rsidR="0057482E" w:rsidRPr="005771BD" w:rsidRDefault="0057482E" w:rsidP="00E71CC6">
            <w:pPr>
              <w:kinsoku w:val="0"/>
              <w:overflowPunct w:val="0"/>
              <w:spacing w:after="60" w:line="276" w:lineRule="auto"/>
              <w:textAlignment w:val="baseline"/>
              <w:rPr>
                <w:rFonts w:cs="Arial"/>
                <w:sz w:val="20"/>
                <w:szCs w:val="20"/>
                <w:lang w:val="sl-SI"/>
              </w:rPr>
            </w:pPr>
          </w:p>
        </w:tc>
        <w:tc>
          <w:tcPr>
            <w:tcW w:w="2977" w:type="dxa"/>
            <w:tcBorders>
              <w:top w:val="single" w:sz="4" w:space="0" w:color="FFFFFF"/>
            </w:tcBorders>
            <w:vAlign w:val="center"/>
          </w:tcPr>
          <w:p w:rsidR="0057482E" w:rsidRPr="005771BD" w:rsidRDefault="0057482E" w:rsidP="00E71CC6">
            <w:pPr>
              <w:kinsoku w:val="0"/>
              <w:overflowPunct w:val="0"/>
              <w:spacing w:after="60" w:line="276" w:lineRule="auto"/>
              <w:textAlignment w:val="baseline"/>
              <w:rPr>
                <w:rFonts w:cs="Arial"/>
                <w:sz w:val="20"/>
                <w:szCs w:val="20"/>
                <w:lang w:val="sl-SI"/>
              </w:rPr>
            </w:pPr>
            <w:r w:rsidRPr="005771BD">
              <w:rPr>
                <w:rFonts w:cs="Arial"/>
                <w:szCs w:val="20"/>
                <w:lang w:val="sl-SI"/>
              </w:rPr>
              <w:t>Sprejemi v bolnišnico zaradi bolezni dihal, ≥ 65 let</w:t>
            </w:r>
          </w:p>
        </w:tc>
        <w:tc>
          <w:tcPr>
            <w:tcW w:w="1134" w:type="dxa"/>
            <w:tcBorders>
              <w:top w:val="single" w:sz="4" w:space="0" w:color="FFFFFF"/>
            </w:tcBorders>
            <w:vAlign w:val="center"/>
          </w:tcPr>
          <w:p w:rsidR="0057482E" w:rsidRPr="005771BD" w:rsidRDefault="0057482E" w:rsidP="00E71CC6">
            <w:pPr>
              <w:kinsoku w:val="0"/>
              <w:overflowPunct w:val="0"/>
              <w:spacing w:after="60" w:line="276" w:lineRule="auto"/>
              <w:jc w:val="center"/>
              <w:textAlignment w:val="baseline"/>
              <w:rPr>
                <w:rFonts w:cs="Arial"/>
                <w:kern w:val="24"/>
                <w:sz w:val="20"/>
                <w:szCs w:val="20"/>
                <w:lang w:val="sl-SI" w:eastAsia="sl-SI"/>
              </w:rPr>
            </w:pPr>
            <w:r w:rsidRPr="005771BD">
              <w:rPr>
                <w:rFonts w:cs="Arial"/>
                <w:kern w:val="24"/>
                <w:szCs w:val="20"/>
                <w:lang w:val="sl-SI" w:eastAsia="sl-SI"/>
              </w:rPr>
              <w:t xml:space="preserve">270 </w:t>
            </w:r>
          </w:p>
        </w:tc>
        <w:tc>
          <w:tcPr>
            <w:tcW w:w="992" w:type="dxa"/>
            <w:tcBorders>
              <w:top w:val="single" w:sz="4" w:space="0" w:color="FFFFFF"/>
              <w:right w:val="single" w:sz="4" w:space="0" w:color="FFFFFF"/>
            </w:tcBorders>
            <w:vAlign w:val="center"/>
          </w:tcPr>
          <w:p w:rsidR="0057482E" w:rsidRPr="005771BD" w:rsidRDefault="0057482E" w:rsidP="00E71CC6">
            <w:pPr>
              <w:kinsoku w:val="0"/>
              <w:overflowPunct w:val="0"/>
              <w:spacing w:after="60" w:line="276" w:lineRule="auto"/>
              <w:jc w:val="center"/>
              <w:textAlignment w:val="baseline"/>
              <w:rPr>
                <w:rFonts w:cs="Arial"/>
                <w:kern w:val="24"/>
                <w:sz w:val="20"/>
                <w:szCs w:val="20"/>
                <w:lang w:val="sl-SI" w:eastAsia="sl-SI"/>
              </w:rPr>
            </w:pPr>
            <w:r w:rsidRPr="005771BD">
              <w:rPr>
                <w:rFonts w:cs="Arial"/>
                <w:kern w:val="24"/>
                <w:szCs w:val="20"/>
                <w:lang w:val="sl-SI" w:eastAsia="sl-SI"/>
              </w:rPr>
              <w:t>3</w:t>
            </w:r>
          </w:p>
        </w:tc>
        <w:tc>
          <w:tcPr>
            <w:tcW w:w="1134" w:type="dxa"/>
            <w:tcBorders>
              <w:top w:val="single" w:sz="4" w:space="0" w:color="FFFFFF"/>
              <w:left w:val="single" w:sz="4" w:space="0" w:color="FFFFFF"/>
            </w:tcBorders>
            <w:vAlign w:val="center"/>
          </w:tcPr>
          <w:p w:rsidR="0057482E" w:rsidRPr="005771BD" w:rsidRDefault="0057482E" w:rsidP="00E71CC6">
            <w:pPr>
              <w:tabs>
                <w:tab w:val="left" w:pos="3969"/>
              </w:tabs>
              <w:spacing w:after="60" w:line="276" w:lineRule="auto"/>
              <w:jc w:val="center"/>
              <w:rPr>
                <w:rFonts w:cs="Arial"/>
                <w:sz w:val="20"/>
                <w:szCs w:val="20"/>
                <w:lang w:val="sl-SI"/>
              </w:rPr>
            </w:pPr>
            <w:r w:rsidRPr="005771BD">
              <w:rPr>
                <w:rFonts w:cs="Arial"/>
                <w:szCs w:val="20"/>
                <w:lang w:val="sl-SI"/>
              </w:rPr>
              <w:t>1</w:t>
            </w:r>
            <w:r>
              <w:rPr>
                <w:rFonts w:cs="Arial"/>
                <w:szCs w:val="20"/>
                <w:lang w:val="sl-SI"/>
              </w:rPr>
              <w:t>–</w:t>
            </w:r>
            <w:r w:rsidRPr="005771BD">
              <w:rPr>
                <w:rFonts w:cs="Arial"/>
                <w:szCs w:val="20"/>
                <w:lang w:val="sl-SI"/>
              </w:rPr>
              <w:t>7</w:t>
            </w:r>
          </w:p>
        </w:tc>
        <w:tc>
          <w:tcPr>
            <w:tcW w:w="1134" w:type="dxa"/>
            <w:tcBorders>
              <w:top w:val="single" w:sz="4" w:space="0" w:color="FFFFFF"/>
              <w:right w:val="single" w:sz="4" w:space="0" w:color="FFFFFF"/>
            </w:tcBorders>
            <w:vAlign w:val="center"/>
          </w:tcPr>
          <w:p w:rsidR="0057482E" w:rsidRPr="005771BD" w:rsidRDefault="0057482E" w:rsidP="00E71CC6">
            <w:pPr>
              <w:kinsoku w:val="0"/>
              <w:overflowPunct w:val="0"/>
              <w:spacing w:after="60" w:line="276" w:lineRule="auto"/>
              <w:jc w:val="center"/>
              <w:textAlignment w:val="baseline"/>
              <w:rPr>
                <w:rFonts w:cs="Arial"/>
                <w:kern w:val="24"/>
                <w:sz w:val="20"/>
                <w:szCs w:val="20"/>
                <w:lang w:val="sl-SI" w:eastAsia="sl-SI"/>
              </w:rPr>
            </w:pPr>
            <w:r w:rsidRPr="005771BD">
              <w:rPr>
                <w:rFonts w:cs="Arial"/>
                <w:kern w:val="24"/>
                <w:szCs w:val="20"/>
                <w:lang w:val="sl-SI" w:eastAsia="sl-SI"/>
              </w:rPr>
              <w:t xml:space="preserve">0,05 </w:t>
            </w:r>
          </w:p>
        </w:tc>
        <w:tc>
          <w:tcPr>
            <w:tcW w:w="1276" w:type="dxa"/>
            <w:tcBorders>
              <w:top w:val="single" w:sz="4" w:space="0" w:color="FFFFFF"/>
              <w:left w:val="single" w:sz="4" w:space="0" w:color="FFFFFF"/>
            </w:tcBorders>
            <w:vAlign w:val="center"/>
          </w:tcPr>
          <w:p w:rsidR="0057482E" w:rsidRPr="005771BD" w:rsidRDefault="0057482E" w:rsidP="00E71CC6">
            <w:pPr>
              <w:tabs>
                <w:tab w:val="left" w:pos="3969"/>
              </w:tabs>
              <w:spacing w:after="60" w:line="276" w:lineRule="auto"/>
              <w:jc w:val="center"/>
              <w:rPr>
                <w:rFonts w:cs="Arial"/>
                <w:sz w:val="20"/>
                <w:szCs w:val="20"/>
                <w:lang w:val="sl-SI"/>
              </w:rPr>
            </w:pPr>
            <w:r w:rsidRPr="005771BD">
              <w:rPr>
                <w:rFonts w:cs="Arial"/>
                <w:kern w:val="24"/>
                <w:szCs w:val="20"/>
                <w:lang w:val="sl-SI" w:eastAsia="sl-SI"/>
              </w:rPr>
              <w:t>0,02</w:t>
            </w:r>
            <w:r>
              <w:rPr>
                <w:rFonts w:cs="Arial"/>
                <w:kern w:val="24"/>
                <w:szCs w:val="20"/>
                <w:lang w:val="sl-SI" w:eastAsia="sl-SI"/>
              </w:rPr>
              <w:t>–</w:t>
            </w:r>
            <w:r w:rsidRPr="005771BD">
              <w:rPr>
                <w:rFonts w:cs="Arial"/>
                <w:kern w:val="24"/>
                <w:szCs w:val="20"/>
                <w:lang w:val="sl-SI" w:eastAsia="sl-SI"/>
              </w:rPr>
              <w:t>0,11</w:t>
            </w:r>
          </w:p>
        </w:tc>
      </w:tr>
    </w:tbl>
    <w:p w:rsidR="0057482E" w:rsidRPr="005771BD" w:rsidRDefault="0057482E" w:rsidP="0057482E">
      <w:pPr>
        <w:spacing w:after="60" w:line="276" w:lineRule="auto"/>
        <w:ind w:left="142"/>
        <w:jc w:val="both"/>
        <w:rPr>
          <w:rFonts w:eastAsiaTheme="minorHAnsi" w:cs="Arial"/>
          <w:sz w:val="18"/>
          <w:szCs w:val="18"/>
          <w:lang w:val="sl-SI"/>
        </w:rPr>
      </w:pPr>
      <w:r w:rsidRPr="005771BD">
        <w:rPr>
          <w:rFonts w:eastAsiaTheme="minorHAnsi" w:cs="Arial"/>
          <w:sz w:val="18"/>
          <w:szCs w:val="18"/>
          <w:lang w:val="sl-SI"/>
        </w:rPr>
        <w:t xml:space="preserve">Legenda: </w:t>
      </w:r>
      <w:r w:rsidRPr="005771BD">
        <w:rPr>
          <w:rFonts w:eastAsiaTheme="minorHAnsi" w:cs="Arial"/>
          <w:sz w:val="18"/>
          <w:szCs w:val="18"/>
          <w:vertAlign w:val="superscript"/>
          <w:lang w:val="sl-SI"/>
        </w:rPr>
        <w:t>1</w:t>
      </w:r>
      <w:r w:rsidRPr="005771BD">
        <w:rPr>
          <w:rFonts w:eastAsiaTheme="minorHAnsi" w:cs="Arial"/>
          <w:sz w:val="18"/>
          <w:szCs w:val="18"/>
          <w:lang w:val="sl-SI"/>
        </w:rPr>
        <w:t>SOMO</w:t>
      </w:r>
      <w:r>
        <w:rPr>
          <w:rFonts w:eastAsiaTheme="minorHAnsi" w:cs="Arial"/>
          <w:sz w:val="18"/>
          <w:szCs w:val="18"/>
          <w:lang w:val="sl-SI"/>
        </w:rPr>
        <w:t>,</w:t>
      </w:r>
      <w:r w:rsidRPr="005771BD">
        <w:rPr>
          <w:rFonts w:eastAsiaTheme="minorHAnsi" w:cs="Arial"/>
          <w:sz w:val="18"/>
          <w:szCs w:val="18"/>
          <w:lang w:val="sl-SI"/>
        </w:rPr>
        <w:t xml:space="preserve"> izračunan na merilni postaji Koper; </w:t>
      </w:r>
      <w:r w:rsidRPr="005771BD">
        <w:rPr>
          <w:rFonts w:eastAsiaTheme="minorHAnsi" w:cs="Arial"/>
          <w:sz w:val="18"/>
          <w:szCs w:val="18"/>
          <w:vertAlign w:val="superscript"/>
          <w:lang w:val="sl-SI"/>
        </w:rPr>
        <w:t>2</w:t>
      </w:r>
      <w:r w:rsidRPr="005771BD">
        <w:rPr>
          <w:rFonts w:eastAsiaTheme="minorHAnsi" w:cs="Arial"/>
          <w:sz w:val="18"/>
          <w:szCs w:val="18"/>
          <w:lang w:val="sl-SI"/>
        </w:rPr>
        <w:t>SOMO</w:t>
      </w:r>
      <w:r>
        <w:rPr>
          <w:rFonts w:eastAsiaTheme="minorHAnsi" w:cs="Arial"/>
          <w:sz w:val="18"/>
          <w:szCs w:val="18"/>
          <w:lang w:val="sl-SI"/>
        </w:rPr>
        <w:t>,</w:t>
      </w:r>
      <w:r w:rsidRPr="005771BD">
        <w:rPr>
          <w:rFonts w:eastAsiaTheme="minorHAnsi" w:cs="Arial"/>
          <w:sz w:val="18"/>
          <w:szCs w:val="18"/>
          <w:lang w:val="sl-SI"/>
        </w:rPr>
        <w:t xml:space="preserve"> izračunan na merilni postaji Nova Gorica; IZ – interval zaupanja </w:t>
      </w:r>
    </w:p>
    <w:p w:rsidR="0057482E" w:rsidRPr="005771BD" w:rsidRDefault="0057482E" w:rsidP="0057482E">
      <w:pPr>
        <w:tabs>
          <w:tab w:val="left" w:pos="3969"/>
        </w:tabs>
        <w:spacing w:line="240" w:lineRule="auto"/>
        <w:jc w:val="both"/>
        <w:rPr>
          <w:rFonts w:eastAsiaTheme="minorHAnsi" w:cs="Arial"/>
          <w:szCs w:val="20"/>
          <w:lang w:val="sl-SI"/>
        </w:rPr>
      </w:pPr>
    </w:p>
    <w:p w:rsidR="0057482E" w:rsidRPr="005771BD" w:rsidRDefault="0057482E" w:rsidP="0057482E">
      <w:pPr>
        <w:tabs>
          <w:tab w:val="left" w:pos="3969"/>
        </w:tabs>
        <w:spacing w:line="240" w:lineRule="auto"/>
        <w:jc w:val="both"/>
        <w:rPr>
          <w:rFonts w:eastAsiaTheme="minorHAnsi" w:cs="Arial"/>
          <w:szCs w:val="20"/>
          <w:lang w:val="sl-SI"/>
        </w:rPr>
      </w:pPr>
      <w:r w:rsidRPr="005771BD">
        <w:rPr>
          <w:rFonts w:eastAsiaTheme="minorHAnsi" w:cs="Arial"/>
          <w:szCs w:val="20"/>
          <w:lang w:val="sl-SI"/>
        </w:rPr>
        <w:t>Mediana umrljivosti zaradi srčno</w:t>
      </w:r>
      <w:r>
        <w:rPr>
          <w:rFonts w:eastAsiaTheme="minorHAnsi" w:cs="Arial"/>
          <w:szCs w:val="20"/>
          <w:lang w:val="sl-SI"/>
        </w:rPr>
        <w:t>-</w:t>
      </w:r>
      <w:r w:rsidRPr="005771BD">
        <w:rPr>
          <w:rFonts w:eastAsiaTheme="minorHAnsi" w:cs="Arial"/>
          <w:szCs w:val="20"/>
          <w:lang w:val="sl-SI"/>
        </w:rPr>
        <w:t xml:space="preserve">žilnih bolezni, ki jo lahko pripišemo izpostavljenosti ozonu, je bila v </w:t>
      </w:r>
      <w:r>
        <w:rPr>
          <w:rFonts w:eastAsiaTheme="minorHAnsi" w:cs="Arial"/>
          <w:szCs w:val="20"/>
          <w:lang w:val="sl-SI"/>
        </w:rPr>
        <w:t>enakem</w:t>
      </w:r>
      <w:r w:rsidRPr="005771BD">
        <w:rPr>
          <w:rFonts w:eastAsiaTheme="minorHAnsi" w:cs="Arial"/>
          <w:szCs w:val="20"/>
          <w:lang w:val="sl-SI"/>
        </w:rPr>
        <w:t xml:space="preserve"> obdobju na območju obeh UE </w:t>
      </w:r>
      <w:r>
        <w:rPr>
          <w:rFonts w:eastAsiaTheme="minorHAnsi" w:cs="Arial"/>
          <w:szCs w:val="20"/>
          <w:lang w:val="sl-SI"/>
        </w:rPr>
        <w:t>en</w:t>
      </w:r>
      <w:r w:rsidRPr="005771BD">
        <w:rPr>
          <w:rFonts w:eastAsiaTheme="minorHAnsi" w:cs="Arial"/>
          <w:szCs w:val="20"/>
          <w:lang w:val="sl-SI"/>
        </w:rPr>
        <w:t xml:space="preserve"> primer na leto, spodnja in zgornja vrednost za 95 % interval zaupanja pa 0 oziroma 2 primera na leto. V opazovanem obdobju se je pripadajoča stopnja umrljivosti zaradi srčno</w:t>
      </w:r>
      <w:r>
        <w:rPr>
          <w:rFonts w:eastAsiaTheme="minorHAnsi" w:cs="Arial"/>
          <w:szCs w:val="20"/>
          <w:lang w:val="sl-SI"/>
        </w:rPr>
        <w:t>-</w:t>
      </w:r>
      <w:r w:rsidRPr="005771BD">
        <w:rPr>
          <w:rFonts w:eastAsiaTheme="minorHAnsi" w:cs="Arial"/>
          <w:szCs w:val="20"/>
          <w:lang w:val="sl-SI"/>
        </w:rPr>
        <w:t>žilnih bolezni rahlo povečevala, vendar trend statistično ni značilen (R</w:t>
      </w:r>
      <w:r w:rsidRPr="005771BD">
        <w:rPr>
          <w:rFonts w:eastAsiaTheme="minorHAnsi" w:cs="Arial"/>
          <w:szCs w:val="20"/>
          <w:vertAlign w:val="superscript"/>
          <w:lang w:val="sl-SI"/>
        </w:rPr>
        <w:t>2</w:t>
      </w:r>
      <w:r w:rsidRPr="005771BD">
        <w:rPr>
          <w:rFonts w:eastAsiaTheme="minorHAnsi" w:cs="Arial"/>
          <w:szCs w:val="20"/>
          <w:vertAlign w:val="subscript"/>
          <w:lang w:val="sl-SI"/>
        </w:rPr>
        <w:t xml:space="preserve">KP </w:t>
      </w:r>
      <w:r>
        <w:rPr>
          <w:rFonts w:eastAsiaTheme="minorHAnsi" w:cs="Arial"/>
          <w:szCs w:val="20"/>
          <w:vertAlign w:val="subscript"/>
          <w:lang w:val="sl-SI"/>
        </w:rPr>
        <w:t xml:space="preserve"> </w:t>
      </w:r>
      <w:r w:rsidRPr="005771BD">
        <w:rPr>
          <w:rFonts w:eastAsiaTheme="minorHAnsi" w:cs="Arial"/>
          <w:szCs w:val="20"/>
          <w:lang w:val="sl-SI"/>
        </w:rPr>
        <w:t xml:space="preserve">= </w:t>
      </w:r>
      <w:r>
        <w:rPr>
          <w:rFonts w:eastAsiaTheme="minorHAnsi" w:cs="Arial"/>
          <w:szCs w:val="20"/>
          <w:lang w:val="sl-SI"/>
        </w:rPr>
        <w:t xml:space="preserve"> </w:t>
      </w:r>
      <w:r w:rsidRPr="005771BD">
        <w:rPr>
          <w:rFonts w:eastAsiaTheme="minorHAnsi" w:cs="Arial"/>
          <w:szCs w:val="20"/>
          <w:lang w:val="sl-SI"/>
        </w:rPr>
        <w:t>0,19; R</w:t>
      </w:r>
      <w:r w:rsidRPr="005771BD">
        <w:rPr>
          <w:rFonts w:eastAsiaTheme="minorHAnsi" w:cs="Arial"/>
          <w:szCs w:val="20"/>
          <w:vertAlign w:val="superscript"/>
          <w:lang w:val="sl-SI"/>
        </w:rPr>
        <w:t>2</w:t>
      </w:r>
      <w:r w:rsidRPr="005771BD">
        <w:rPr>
          <w:rFonts w:eastAsiaTheme="minorHAnsi" w:cs="Arial"/>
          <w:szCs w:val="20"/>
          <w:vertAlign w:val="subscript"/>
          <w:lang w:val="sl-SI"/>
        </w:rPr>
        <w:t xml:space="preserve">NG </w:t>
      </w:r>
      <w:r>
        <w:rPr>
          <w:rFonts w:eastAsiaTheme="minorHAnsi" w:cs="Arial"/>
          <w:szCs w:val="20"/>
          <w:vertAlign w:val="subscript"/>
          <w:lang w:val="sl-SI"/>
        </w:rPr>
        <w:t xml:space="preserve"> </w:t>
      </w:r>
      <w:r w:rsidRPr="005771BD">
        <w:rPr>
          <w:rFonts w:eastAsiaTheme="minorHAnsi" w:cs="Arial"/>
          <w:szCs w:val="20"/>
          <w:lang w:val="sl-SI"/>
        </w:rPr>
        <w:t>= 0,26).</w:t>
      </w:r>
    </w:p>
    <w:p w:rsidR="0057482E" w:rsidRPr="005771BD" w:rsidRDefault="0057482E" w:rsidP="0057482E">
      <w:pPr>
        <w:tabs>
          <w:tab w:val="left" w:pos="3969"/>
        </w:tabs>
        <w:spacing w:line="240" w:lineRule="auto"/>
        <w:jc w:val="both"/>
        <w:rPr>
          <w:rFonts w:eastAsiaTheme="minorHAnsi" w:cs="Arial"/>
          <w:szCs w:val="20"/>
          <w:lang w:val="sl-SI"/>
        </w:rPr>
      </w:pPr>
    </w:p>
    <w:p w:rsidR="0057482E" w:rsidRPr="005771BD" w:rsidRDefault="0057482E" w:rsidP="0057482E">
      <w:pPr>
        <w:tabs>
          <w:tab w:val="left" w:pos="3969"/>
        </w:tabs>
        <w:spacing w:after="200" w:line="240" w:lineRule="auto"/>
        <w:jc w:val="both"/>
        <w:rPr>
          <w:rFonts w:eastAsiaTheme="minorHAnsi" w:cs="Arial"/>
          <w:szCs w:val="20"/>
          <w:lang w:val="sl-SI"/>
        </w:rPr>
      </w:pPr>
      <w:r w:rsidRPr="005771BD">
        <w:rPr>
          <w:rFonts w:eastAsiaTheme="minorHAnsi" w:cs="Arial"/>
          <w:szCs w:val="20"/>
          <w:lang w:val="sl-SI"/>
        </w:rPr>
        <w:t xml:space="preserve">Mediana sprejemov v bolnišnico zaradi bolezni dihal v starostni skupini ≥65 let, ki jih lahko povežemo z izpostavljenostjo ozonu, je bila v opazovanem obdobju na območju UE Koper </w:t>
      </w:r>
      <w:r>
        <w:rPr>
          <w:rFonts w:eastAsiaTheme="minorHAnsi" w:cs="Arial"/>
          <w:szCs w:val="20"/>
          <w:lang w:val="sl-SI"/>
        </w:rPr>
        <w:t>dva</w:t>
      </w:r>
      <w:r w:rsidRPr="005771BD">
        <w:rPr>
          <w:rFonts w:eastAsiaTheme="minorHAnsi" w:cs="Arial"/>
          <w:szCs w:val="20"/>
          <w:lang w:val="sl-SI"/>
        </w:rPr>
        <w:t xml:space="preserve"> primera na leto, spodnja in zgornja vrednost za 95 % interval zaupanja pa </w:t>
      </w:r>
      <w:r>
        <w:rPr>
          <w:rFonts w:eastAsiaTheme="minorHAnsi" w:cs="Arial"/>
          <w:szCs w:val="20"/>
          <w:lang w:val="sl-SI"/>
        </w:rPr>
        <w:t>en primer</w:t>
      </w:r>
      <w:r w:rsidRPr="005771BD">
        <w:rPr>
          <w:rFonts w:eastAsiaTheme="minorHAnsi" w:cs="Arial"/>
          <w:szCs w:val="20"/>
          <w:lang w:val="sl-SI"/>
        </w:rPr>
        <w:t xml:space="preserve"> oziroma </w:t>
      </w:r>
      <w:r>
        <w:rPr>
          <w:rFonts w:eastAsiaTheme="minorHAnsi" w:cs="Arial"/>
          <w:szCs w:val="20"/>
          <w:lang w:val="sl-SI"/>
        </w:rPr>
        <w:t>šest</w:t>
      </w:r>
      <w:r w:rsidRPr="005771BD">
        <w:rPr>
          <w:rFonts w:eastAsiaTheme="minorHAnsi" w:cs="Arial"/>
          <w:szCs w:val="20"/>
          <w:lang w:val="sl-SI"/>
        </w:rPr>
        <w:t xml:space="preserve"> primerov na leto. Na območju UE Nova Gorica je bila mediana </w:t>
      </w:r>
      <w:r>
        <w:rPr>
          <w:rFonts w:eastAsiaTheme="minorHAnsi" w:cs="Arial"/>
          <w:szCs w:val="20"/>
          <w:lang w:val="sl-SI"/>
        </w:rPr>
        <w:t>tri</w:t>
      </w:r>
      <w:r w:rsidRPr="005771BD">
        <w:rPr>
          <w:rFonts w:eastAsiaTheme="minorHAnsi" w:cs="Arial"/>
          <w:szCs w:val="20"/>
          <w:lang w:val="sl-SI"/>
        </w:rPr>
        <w:t xml:space="preserve"> primere na leto, spodnja in zgornja vrednost za 95 % interval zaupanja pa </w:t>
      </w:r>
      <w:r>
        <w:rPr>
          <w:rFonts w:eastAsiaTheme="minorHAnsi" w:cs="Arial"/>
          <w:szCs w:val="20"/>
          <w:lang w:val="sl-SI"/>
        </w:rPr>
        <w:t>en primer</w:t>
      </w:r>
      <w:r w:rsidRPr="005771BD">
        <w:rPr>
          <w:rFonts w:eastAsiaTheme="minorHAnsi" w:cs="Arial"/>
          <w:szCs w:val="20"/>
          <w:lang w:val="sl-SI"/>
        </w:rPr>
        <w:t xml:space="preserve"> oziroma </w:t>
      </w:r>
      <w:r>
        <w:rPr>
          <w:rFonts w:eastAsiaTheme="minorHAnsi" w:cs="Arial"/>
          <w:szCs w:val="20"/>
          <w:lang w:val="sl-SI"/>
        </w:rPr>
        <w:t>sedem</w:t>
      </w:r>
      <w:r w:rsidRPr="005771BD">
        <w:rPr>
          <w:rFonts w:eastAsiaTheme="minorHAnsi" w:cs="Arial"/>
          <w:szCs w:val="20"/>
          <w:lang w:val="sl-SI"/>
        </w:rPr>
        <w:t xml:space="preserve"> primerov na leto. V opazovanem obdobju se je pripadajoča stopnja sprejemov v bolnišnico zaradi bolezni dihal v starostni skupini ≥65 let statistično značilno povečevala (R</w:t>
      </w:r>
      <w:r w:rsidRPr="005771BD">
        <w:rPr>
          <w:rFonts w:eastAsiaTheme="minorHAnsi" w:cs="Arial"/>
          <w:szCs w:val="20"/>
          <w:vertAlign w:val="superscript"/>
          <w:lang w:val="sl-SI"/>
        </w:rPr>
        <w:t>2</w:t>
      </w:r>
      <w:r w:rsidRPr="005771BD">
        <w:rPr>
          <w:rFonts w:eastAsiaTheme="minorHAnsi" w:cs="Arial"/>
          <w:szCs w:val="20"/>
          <w:vertAlign w:val="subscript"/>
          <w:lang w:val="sl-SI"/>
        </w:rPr>
        <w:t xml:space="preserve">KP </w:t>
      </w:r>
      <w:r>
        <w:rPr>
          <w:rFonts w:eastAsiaTheme="minorHAnsi" w:cs="Arial"/>
          <w:szCs w:val="20"/>
          <w:vertAlign w:val="subscript"/>
          <w:lang w:val="sl-SI"/>
        </w:rPr>
        <w:t xml:space="preserve"> </w:t>
      </w:r>
      <w:r w:rsidRPr="005771BD">
        <w:rPr>
          <w:rFonts w:eastAsiaTheme="minorHAnsi" w:cs="Arial"/>
          <w:szCs w:val="20"/>
          <w:lang w:val="sl-SI"/>
        </w:rPr>
        <w:t xml:space="preserve">= </w:t>
      </w:r>
      <w:r>
        <w:rPr>
          <w:rFonts w:eastAsiaTheme="minorHAnsi" w:cs="Arial"/>
          <w:szCs w:val="20"/>
          <w:lang w:val="sl-SI"/>
        </w:rPr>
        <w:t xml:space="preserve"> </w:t>
      </w:r>
      <w:r w:rsidRPr="005771BD">
        <w:rPr>
          <w:rFonts w:eastAsiaTheme="minorHAnsi" w:cs="Arial"/>
          <w:szCs w:val="20"/>
          <w:lang w:val="sl-SI"/>
        </w:rPr>
        <w:t>0,87; R</w:t>
      </w:r>
      <w:r w:rsidRPr="005771BD">
        <w:rPr>
          <w:rFonts w:eastAsiaTheme="minorHAnsi" w:cs="Arial"/>
          <w:szCs w:val="20"/>
          <w:vertAlign w:val="superscript"/>
          <w:lang w:val="sl-SI"/>
        </w:rPr>
        <w:t>2</w:t>
      </w:r>
      <w:r w:rsidRPr="005771BD">
        <w:rPr>
          <w:rFonts w:eastAsiaTheme="minorHAnsi" w:cs="Arial"/>
          <w:szCs w:val="20"/>
          <w:vertAlign w:val="subscript"/>
          <w:lang w:val="sl-SI"/>
        </w:rPr>
        <w:t xml:space="preserve">NG </w:t>
      </w:r>
      <w:r>
        <w:rPr>
          <w:rFonts w:eastAsiaTheme="minorHAnsi" w:cs="Arial"/>
          <w:szCs w:val="20"/>
          <w:vertAlign w:val="subscript"/>
          <w:lang w:val="sl-SI"/>
        </w:rPr>
        <w:t xml:space="preserve"> </w:t>
      </w:r>
      <w:r w:rsidRPr="005771BD">
        <w:rPr>
          <w:rFonts w:eastAsiaTheme="minorHAnsi" w:cs="Arial"/>
          <w:szCs w:val="20"/>
          <w:lang w:val="sl-SI"/>
        </w:rPr>
        <w:t>= 0,76) (NIJZ 2016c).</w:t>
      </w:r>
    </w:p>
    <w:p w:rsidR="0057482E" w:rsidRPr="005771BD" w:rsidRDefault="0057482E" w:rsidP="0057482E">
      <w:pPr>
        <w:spacing w:line="240" w:lineRule="auto"/>
        <w:rPr>
          <w:rFonts w:eastAsiaTheme="minorHAnsi" w:cs="Arial"/>
          <w:b/>
          <w:szCs w:val="20"/>
          <w:u w:val="single"/>
          <w:lang w:val="sl-SI"/>
        </w:rPr>
      </w:pPr>
    </w:p>
    <w:p w:rsidR="0057482E" w:rsidRPr="005771BD" w:rsidRDefault="0057482E" w:rsidP="0057482E">
      <w:pPr>
        <w:spacing w:after="200" w:line="240" w:lineRule="auto"/>
        <w:rPr>
          <w:rFonts w:eastAsiaTheme="minorHAnsi" w:cs="Arial"/>
          <w:b/>
          <w:szCs w:val="20"/>
          <w:u w:val="single"/>
          <w:lang w:val="sl-SI"/>
        </w:rPr>
      </w:pPr>
      <w:r w:rsidRPr="005771BD">
        <w:rPr>
          <w:rFonts w:eastAsiaTheme="minorHAnsi" w:cs="Arial"/>
          <w:b/>
          <w:szCs w:val="20"/>
          <w:u w:val="single"/>
          <w:lang w:val="sl-SI"/>
        </w:rPr>
        <w:t>1</w:t>
      </w:r>
      <w:r w:rsidR="00A71F91">
        <w:rPr>
          <w:rFonts w:eastAsiaTheme="minorHAnsi" w:cs="Arial"/>
          <w:b/>
          <w:szCs w:val="20"/>
          <w:u w:val="single"/>
          <w:lang w:val="sl-SI"/>
        </w:rPr>
        <w:t>6</w:t>
      </w:r>
      <w:r w:rsidRPr="005771BD">
        <w:rPr>
          <w:rFonts w:eastAsiaTheme="minorHAnsi" w:cs="Arial"/>
          <w:b/>
          <w:szCs w:val="20"/>
          <w:u w:val="single"/>
          <w:lang w:val="sl-SI"/>
        </w:rPr>
        <w:t>.5 Podnebne spremembe</w:t>
      </w:r>
    </w:p>
    <w:p w:rsidR="0057482E" w:rsidRPr="005771BD" w:rsidRDefault="0057482E" w:rsidP="0057482E">
      <w:pPr>
        <w:spacing w:after="200" w:line="240" w:lineRule="auto"/>
        <w:jc w:val="both"/>
        <w:rPr>
          <w:rFonts w:eastAsiaTheme="minorHAnsi" w:cs="Arial"/>
          <w:szCs w:val="20"/>
          <w:lang w:val="sl-SI"/>
        </w:rPr>
      </w:pPr>
      <w:r w:rsidRPr="005771BD">
        <w:rPr>
          <w:rFonts w:eastAsiaTheme="minorHAnsi" w:cs="Arial"/>
          <w:szCs w:val="20"/>
          <w:lang w:val="sl-SI"/>
        </w:rPr>
        <w:t>Podnebne spremembe vplivajo na zdravje. Podnebnih sprememb ne moremo več v celoti ustaviti (Smith in sod. 2014), lahko pa učinke podnebnih sprememb blažimo in se nanje prilagajamo. Na zdravje vplivajo neposredno, npr. prek ekstremnih vremenskih dogodkov in posredno, npr. prek onesnaženega zraka, širjenja vektorjev nalezljivih bolezni in peloda (Smith in sod. 2014; Ziska 2012). Zaradi posledic podnebnih sprememb lahko pričakujemo upadanje ekonomske rasti, večanje revščine in migracije (Smith in sod</w:t>
      </w:r>
      <w:r w:rsidRPr="005771BD">
        <w:rPr>
          <w:rFonts w:eastAsiaTheme="minorHAnsi" w:cs="Arial"/>
          <w:i/>
          <w:szCs w:val="20"/>
          <w:lang w:val="sl-SI"/>
        </w:rPr>
        <w:t xml:space="preserve">. </w:t>
      </w:r>
      <w:r w:rsidRPr="005771BD">
        <w:rPr>
          <w:rFonts w:eastAsiaTheme="minorHAnsi" w:cs="Arial"/>
          <w:szCs w:val="20"/>
          <w:lang w:val="sl-SI"/>
        </w:rPr>
        <w:t xml:space="preserve">2014, WHO 2009a). </w:t>
      </w:r>
    </w:p>
    <w:p w:rsidR="0057482E" w:rsidRPr="005771BD" w:rsidRDefault="0057482E" w:rsidP="0057482E">
      <w:pPr>
        <w:spacing w:after="200" w:line="240" w:lineRule="auto"/>
        <w:jc w:val="both"/>
        <w:rPr>
          <w:rFonts w:eastAsiaTheme="minorHAnsi" w:cs="Arial"/>
          <w:szCs w:val="20"/>
          <w:lang w:val="sl-SI"/>
        </w:rPr>
      </w:pPr>
      <w:r w:rsidRPr="005771BD">
        <w:rPr>
          <w:rFonts w:eastAsiaTheme="minorHAnsi" w:cs="Arial"/>
          <w:szCs w:val="20"/>
          <w:lang w:val="sl-SI"/>
        </w:rPr>
        <w:t>V Sloveniji opažamo vplive na zdravje, ki so lahko posledica podnebnih sprememb. V času vročinskih valov beležimo povečano stopnjo umrljivosti. S podnebnimi spremembami je povezano tudi poslabšanje kakovosti zraka zaradi ozona in delcev (PM), to pa lahko vpliva na večjo obolevnost in umrljivost zaradi obolenj dihal in srčno</w:t>
      </w:r>
      <w:r>
        <w:rPr>
          <w:rFonts w:eastAsiaTheme="minorHAnsi" w:cs="Arial"/>
          <w:szCs w:val="20"/>
          <w:lang w:val="sl-SI"/>
        </w:rPr>
        <w:t>-</w:t>
      </w:r>
      <w:r w:rsidRPr="005771BD">
        <w:rPr>
          <w:rFonts w:eastAsiaTheme="minorHAnsi" w:cs="Arial"/>
          <w:szCs w:val="20"/>
          <w:lang w:val="sl-SI"/>
        </w:rPr>
        <w:t>žilnih obolenj. V zadnjih desetih letih so skoraj vsako leto v Sloveniji poplave večjega obsega (Polajnar 2013), posledice poplav pa so lahko poškodbe, slabš</w:t>
      </w:r>
      <w:r>
        <w:rPr>
          <w:rFonts w:eastAsiaTheme="minorHAnsi" w:cs="Arial"/>
          <w:szCs w:val="20"/>
          <w:lang w:val="sl-SI"/>
        </w:rPr>
        <w:t>e</w:t>
      </w:r>
      <w:r w:rsidRPr="005771BD">
        <w:rPr>
          <w:rFonts w:eastAsiaTheme="minorHAnsi" w:cs="Arial"/>
          <w:szCs w:val="20"/>
          <w:lang w:val="sl-SI"/>
        </w:rPr>
        <w:t xml:space="preserve"> bivaln</w:t>
      </w:r>
      <w:r>
        <w:rPr>
          <w:rFonts w:eastAsiaTheme="minorHAnsi" w:cs="Arial"/>
          <w:szCs w:val="20"/>
          <w:lang w:val="sl-SI"/>
        </w:rPr>
        <w:t>e</w:t>
      </w:r>
      <w:r w:rsidRPr="005771BD">
        <w:rPr>
          <w:rFonts w:eastAsiaTheme="minorHAnsi" w:cs="Arial"/>
          <w:szCs w:val="20"/>
          <w:lang w:val="sl-SI"/>
        </w:rPr>
        <w:t xml:space="preserve"> </w:t>
      </w:r>
      <w:r>
        <w:rPr>
          <w:rFonts w:eastAsiaTheme="minorHAnsi" w:cs="Arial"/>
          <w:szCs w:val="20"/>
          <w:lang w:val="sl-SI"/>
        </w:rPr>
        <w:t>razmere</w:t>
      </w:r>
      <w:r w:rsidRPr="005771BD">
        <w:rPr>
          <w:rFonts w:eastAsiaTheme="minorHAnsi" w:cs="Arial"/>
          <w:szCs w:val="20"/>
          <w:lang w:val="sl-SI"/>
        </w:rPr>
        <w:t xml:space="preserve">, npr. plesni v prostorih in poslabšanje nekaterih kroničnih obolenj. </w:t>
      </w:r>
    </w:p>
    <w:p w:rsidR="0057482E" w:rsidRPr="005771BD" w:rsidRDefault="0057482E" w:rsidP="0057482E">
      <w:pPr>
        <w:spacing w:after="200" w:line="240" w:lineRule="auto"/>
        <w:jc w:val="both"/>
        <w:rPr>
          <w:rFonts w:eastAsiaTheme="minorHAnsi" w:cs="Arial"/>
          <w:b/>
          <w:szCs w:val="20"/>
          <w:lang w:val="sl-SI"/>
        </w:rPr>
      </w:pPr>
      <w:r w:rsidRPr="005771BD">
        <w:rPr>
          <w:rFonts w:eastAsiaTheme="minorHAnsi" w:cs="Arial"/>
          <w:szCs w:val="20"/>
          <w:lang w:val="sl-SI"/>
        </w:rPr>
        <w:t xml:space="preserve">Podnebne spremembe vplivajo na vse ljudi. Vplivajo na številne </w:t>
      </w:r>
      <w:r>
        <w:rPr>
          <w:rFonts w:eastAsiaTheme="minorHAnsi" w:cs="Arial"/>
          <w:szCs w:val="20"/>
          <w:lang w:val="sl-SI"/>
        </w:rPr>
        <w:t>pogoje</w:t>
      </w:r>
      <w:r w:rsidRPr="005771BD">
        <w:rPr>
          <w:rFonts w:eastAsiaTheme="minorHAnsi" w:cs="Arial"/>
          <w:szCs w:val="20"/>
          <w:lang w:val="sl-SI"/>
        </w:rPr>
        <w:t xml:space="preserve"> zdravja, predvsem socialno-ekonomske in okoljske </w:t>
      </w:r>
      <w:r>
        <w:rPr>
          <w:rFonts w:eastAsiaTheme="minorHAnsi" w:cs="Arial"/>
          <w:szCs w:val="20"/>
          <w:lang w:val="sl-SI"/>
        </w:rPr>
        <w:t>pogoje</w:t>
      </w:r>
      <w:r w:rsidRPr="005771BD">
        <w:rPr>
          <w:rFonts w:eastAsiaTheme="minorHAnsi" w:cs="Arial"/>
          <w:szCs w:val="20"/>
          <w:lang w:val="sl-SI"/>
        </w:rPr>
        <w:t xml:space="preserve">, zato je za njihovo blaženje in prilagajanje nujno sodelovanje vseh sektorjev (WHO 2015a). </w:t>
      </w:r>
    </w:p>
    <w:p w:rsidR="0057482E" w:rsidRPr="005771BD" w:rsidRDefault="0057482E" w:rsidP="0057482E">
      <w:pPr>
        <w:spacing w:line="276" w:lineRule="auto"/>
        <w:rPr>
          <w:rFonts w:eastAsiaTheme="minorHAnsi" w:cs="Arial"/>
          <w:b/>
          <w:szCs w:val="20"/>
          <w:u w:val="single"/>
          <w:lang w:val="sl-SI"/>
        </w:rPr>
      </w:pPr>
    </w:p>
    <w:p w:rsidR="0057482E" w:rsidRPr="005771BD" w:rsidRDefault="0057482E" w:rsidP="0057482E">
      <w:pPr>
        <w:spacing w:after="200" w:line="276" w:lineRule="auto"/>
        <w:rPr>
          <w:rFonts w:eastAsiaTheme="minorHAnsi" w:cs="Arial"/>
          <w:b/>
          <w:szCs w:val="20"/>
          <w:u w:val="single"/>
          <w:lang w:val="sl-SI"/>
        </w:rPr>
      </w:pPr>
      <w:r w:rsidRPr="005771BD">
        <w:rPr>
          <w:rFonts w:eastAsiaTheme="minorHAnsi" w:cs="Arial"/>
          <w:b/>
          <w:szCs w:val="20"/>
          <w:u w:val="single"/>
          <w:lang w:val="sl-SI"/>
        </w:rPr>
        <w:t>1</w:t>
      </w:r>
      <w:r w:rsidR="001A509D">
        <w:rPr>
          <w:rFonts w:eastAsiaTheme="minorHAnsi" w:cs="Arial"/>
          <w:b/>
          <w:szCs w:val="20"/>
          <w:u w:val="single"/>
          <w:lang w:val="sl-SI"/>
        </w:rPr>
        <w:t>6</w:t>
      </w:r>
      <w:r w:rsidRPr="005771BD">
        <w:rPr>
          <w:rFonts w:eastAsiaTheme="minorHAnsi" w:cs="Arial"/>
          <w:b/>
          <w:szCs w:val="20"/>
          <w:u w:val="single"/>
          <w:lang w:val="sl-SI"/>
        </w:rPr>
        <w:t xml:space="preserve">.6 Okoljski hrup </w:t>
      </w:r>
    </w:p>
    <w:p w:rsidR="0057482E" w:rsidRPr="005771BD" w:rsidRDefault="0057482E" w:rsidP="0057482E">
      <w:pPr>
        <w:spacing w:after="200" w:line="276" w:lineRule="auto"/>
        <w:jc w:val="both"/>
        <w:rPr>
          <w:rFonts w:eastAsiaTheme="minorHAnsi" w:cs="Arial"/>
          <w:b/>
          <w:szCs w:val="20"/>
          <w:lang w:val="sl-SI"/>
        </w:rPr>
      </w:pPr>
      <w:r w:rsidRPr="005771BD">
        <w:rPr>
          <w:rFonts w:eastAsiaTheme="minorHAnsi" w:cs="Arial"/>
          <w:b/>
          <w:szCs w:val="20"/>
          <w:lang w:val="sl-SI"/>
        </w:rPr>
        <w:t>Vplivi hrupa na zdravje in počutje ljudi</w:t>
      </w:r>
    </w:p>
    <w:p w:rsidR="0057482E" w:rsidRPr="005771BD" w:rsidRDefault="0057482E" w:rsidP="0057482E">
      <w:pPr>
        <w:spacing w:after="200" w:line="276" w:lineRule="auto"/>
        <w:jc w:val="both"/>
        <w:rPr>
          <w:rFonts w:eastAsiaTheme="minorHAnsi" w:cs="Arial"/>
          <w:szCs w:val="20"/>
          <w:lang w:val="sl-SI"/>
        </w:rPr>
      </w:pPr>
      <w:r w:rsidRPr="005771BD">
        <w:rPr>
          <w:rFonts w:eastAsiaTheme="minorHAnsi" w:cs="Arial"/>
          <w:szCs w:val="20"/>
          <w:lang w:val="sl-SI"/>
        </w:rPr>
        <w:t xml:space="preserve">Znano je, da že v krajšem času velika jakost hrupa lahko povzroči okvare sluha. V daljšem obdobju stalne obremenjenosti s hrupom se poveča tveganje za bolezni srca in ožilja. Ponoči že krajši hrupni dogodki motijo spanec, čeprav njihova jakost ne dosega visokih ravni. Hrup v dnevnem času povzroča vznemirjenost, to je stanje povečane razdraženosti, nezadovoljstva, jeze ter nemoči in depresije. Hrup moti koncentracijo pri zahtevnem </w:t>
      </w:r>
      <w:r>
        <w:rPr>
          <w:rFonts w:eastAsiaTheme="minorHAnsi" w:cs="Arial"/>
          <w:szCs w:val="20"/>
          <w:lang w:val="sl-SI"/>
        </w:rPr>
        <w:t>umskem</w:t>
      </w:r>
      <w:r w:rsidRPr="005771BD">
        <w:rPr>
          <w:rFonts w:eastAsiaTheme="minorHAnsi" w:cs="Arial"/>
          <w:szCs w:val="20"/>
          <w:lang w:val="sl-SI"/>
        </w:rPr>
        <w:t xml:space="preserve"> delu. Otroke moti pri branju, učenju in igri. Moteč je pri medsebojni komunikaciji. Kljub temu, da se na določeno vrsto hrupa dokaj hitro navadimo, tudi ta hrup povzroča slabšo kakovost spanja in negativno vpliva na naš organizem. Posebej nevaren je stal</w:t>
      </w:r>
      <w:r>
        <w:rPr>
          <w:rFonts w:eastAsiaTheme="minorHAnsi" w:cs="Arial"/>
          <w:szCs w:val="20"/>
          <w:lang w:val="sl-SI"/>
        </w:rPr>
        <w:t>en</w:t>
      </w:r>
      <w:r w:rsidRPr="005771BD">
        <w:rPr>
          <w:rFonts w:eastAsiaTheme="minorHAnsi" w:cs="Arial"/>
          <w:szCs w:val="20"/>
          <w:lang w:val="sl-SI"/>
        </w:rPr>
        <w:t xml:space="preserve"> hrup v bivalnem okolju in drugih prostorih, občutljivih za hrup, kot so bolnišnice, vzgojno-varstvene ustanove, šole in domovi za starejše. Na hrup so bolj občutljive ranljive skupine prebivalstva, to so otroci, starejše osebe, ljudje</w:t>
      </w:r>
      <w:r>
        <w:rPr>
          <w:rFonts w:eastAsiaTheme="minorHAnsi" w:cs="Arial"/>
          <w:szCs w:val="20"/>
          <w:lang w:val="sl-SI"/>
        </w:rPr>
        <w:t>,</w:t>
      </w:r>
      <w:r w:rsidRPr="005771BD">
        <w:rPr>
          <w:rFonts w:eastAsiaTheme="minorHAnsi" w:cs="Arial"/>
          <w:szCs w:val="20"/>
          <w:lang w:val="sl-SI"/>
        </w:rPr>
        <w:t xml:space="preserve"> preobčutljivi na hrup</w:t>
      </w:r>
      <w:r>
        <w:rPr>
          <w:rFonts w:eastAsiaTheme="minorHAnsi" w:cs="Arial"/>
          <w:szCs w:val="20"/>
          <w:lang w:val="sl-SI"/>
        </w:rPr>
        <w:t>,</w:t>
      </w:r>
      <w:r w:rsidRPr="005771BD">
        <w:rPr>
          <w:rFonts w:eastAsiaTheme="minorHAnsi" w:cs="Arial"/>
          <w:szCs w:val="20"/>
          <w:lang w:val="sl-SI"/>
        </w:rPr>
        <w:t xml:space="preserve"> in kronični bolniki. Učinki hrupa na zdravje in počutje ljudi so torej raznoliki in med drugim odvisni od ravni in trajanja hrupa, njegovih značilnosti, aktivnosti</w:t>
      </w:r>
      <w:r>
        <w:rPr>
          <w:rFonts w:eastAsiaTheme="minorHAnsi" w:cs="Arial"/>
          <w:szCs w:val="20"/>
          <w:lang w:val="sl-SI"/>
        </w:rPr>
        <w:t>,</w:t>
      </w:r>
      <w:r w:rsidRPr="005771BD">
        <w:rPr>
          <w:rFonts w:eastAsiaTheme="minorHAnsi" w:cs="Arial"/>
          <w:szCs w:val="20"/>
          <w:lang w:val="sl-SI"/>
        </w:rPr>
        <w:t xml:space="preserve"> pri katerih nas hrup zmoti, občutljivosti</w:t>
      </w:r>
      <w:r>
        <w:rPr>
          <w:rFonts w:eastAsiaTheme="minorHAnsi" w:cs="Arial"/>
          <w:szCs w:val="20"/>
          <w:lang w:val="sl-SI"/>
        </w:rPr>
        <w:t xml:space="preserve"> nanj</w:t>
      </w:r>
      <w:r w:rsidRPr="005771BD">
        <w:rPr>
          <w:rFonts w:eastAsiaTheme="minorHAnsi" w:cs="Arial"/>
          <w:szCs w:val="20"/>
          <w:lang w:val="sl-SI"/>
        </w:rPr>
        <w:t>, počutja in odnosa do vira hrupa (WHO 1999, 2009b, 2011, Basner in sod. 2015). Smotrno je ohranjanje mirnih območij tako v urbanem kot naravnem okolju, ker je njihova vloga zaradi možnosti sprehodov, sprostitve in rekreacije pomembna pri obnovitven</w:t>
      </w:r>
      <w:r>
        <w:rPr>
          <w:rFonts w:eastAsiaTheme="minorHAnsi" w:cs="Arial"/>
          <w:szCs w:val="20"/>
          <w:lang w:val="sl-SI"/>
        </w:rPr>
        <w:t>ih procesih v</w:t>
      </w:r>
      <w:r w:rsidRPr="005771BD">
        <w:rPr>
          <w:rFonts w:eastAsiaTheme="minorHAnsi" w:cs="Arial"/>
          <w:szCs w:val="20"/>
          <w:lang w:val="sl-SI"/>
        </w:rPr>
        <w:t xml:space="preserve"> organizm</w:t>
      </w:r>
      <w:r>
        <w:rPr>
          <w:rFonts w:eastAsiaTheme="minorHAnsi" w:cs="Arial"/>
          <w:szCs w:val="20"/>
          <w:lang w:val="sl-SI"/>
        </w:rPr>
        <w:t>u</w:t>
      </w:r>
      <w:r w:rsidRPr="005771BD">
        <w:rPr>
          <w:rFonts w:eastAsiaTheme="minorHAnsi" w:cs="Arial"/>
          <w:szCs w:val="20"/>
          <w:lang w:val="sl-SI"/>
        </w:rPr>
        <w:t xml:space="preserve"> in tako pozitivno vpliva na zdravje in počutje ljudi. Pri obravnavanju učinkov hrupa je še posebej pomembno, da poleg resn</w:t>
      </w:r>
      <w:r>
        <w:rPr>
          <w:rFonts w:eastAsiaTheme="minorHAnsi" w:cs="Arial"/>
          <w:szCs w:val="20"/>
          <w:lang w:val="sl-SI"/>
        </w:rPr>
        <w:t>e ogroženosti</w:t>
      </w:r>
      <w:r w:rsidRPr="005771BD">
        <w:rPr>
          <w:rFonts w:eastAsiaTheme="minorHAnsi" w:cs="Arial"/>
          <w:szCs w:val="20"/>
          <w:lang w:val="sl-SI"/>
        </w:rPr>
        <w:t xml:space="preserve"> zdravj</w:t>
      </w:r>
      <w:r>
        <w:rPr>
          <w:rFonts w:eastAsiaTheme="minorHAnsi" w:cs="Arial"/>
          <w:szCs w:val="20"/>
          <w:lang w:val="sl-SI"/>
        </w:rPr>
        <w:t>a</w:t>
      </w:r>
      <w:r w:rsidRPr="005771BD">
        <w:rPr>
          <w:rFonts w:eastAsiaTheme="minorHAnsi" w:cs="Arial"/>
          <w:szCs w:val="20"/>
          <w:lang w:val="sl-SI"/>
        </w:rPr>
        <w:t xml:space="preserve"> upoštevamo tudi </w:t>
      </w:r>
      <w:r>
        <w:rPr>
          <w:rFonts w:eastAsiaTheme="minorHAnsi" w:cs="Arial"/>
          <w:szCs w:val="20"/>
          <w:lang w:val="sl-SI"/>
        </w:rPr>
        <w:t>tveganje za</w:t>
      </w:r>
      <w:r w:rsidRPr="005771BD">
        <w:rPr>
          <w:rFonts w:eastAsiaTheme="minorHAnsi" w:cs="Arial"/>
          <w:szCs w:val="20"/>
          <w:lang w:val="sl-SI"/>
        </w:rPr>
        <w:t xml:space="preserve"> teles</w:t>
      </w:r>
      <w:r>
        <w:rPr>
          <w:rFonts w:eastAsiaTheme="minorHAnsi" w:cs="Arial"/>
          <w:szCs w:val="20"/>
          <w:lang w:val="sl-SI"/>
        </w:rPr>
        <w:t>no</w:t>
      </w:r>
      <w:r w:rsidRPr="005771BD">
        <w:rPr>
          <w:rFonts w:eastAsiaTheme="minorHAnsi" w:cs="Arial"/>
          <w:szCs w:val="20"/>
          <w:lang w:val="sl-SI"/>
        </w:rPr>
        <w:t>, duševn</w:t>
      </w:r>
      <w:r>
        <w:rPr>
          <w:rFonts w:eastAsiaTheme="minorHAnsi" w:cs="Arial"/>
          <w:szCs w:val="20"/>
          <w:lang w:val="sl-SI"/>
        </w:rPr>
        <w:t>o</w:t>
      </w:r>
      <w:r w:rsidRPr="005771BD">
        <w:rPr>
          <w:rFonts w:eastAsiaTheme="minorHAnsi" w:cs="Arial"/>
          <w:szCs w:val="20"/>
          <w:lang w:val="sl-SI"/>
        </w:rPr>
        <w:t xml:space="preserve"> in socialn</w:t>
      </w:r>
      <w:r>
        <w:rPr>
          <w:rFonts w:eastAsiaTheme="minorHAnsi" w:cs="Arial"/>
          <w:szCs w:val="20"/>
          <w:lang w:val="sl-SI"/>
        </w:rPr>
        <w:t>o</w:t>
      </w:r>
      <w:r w:rsidRPr="005771BD">
        <w:rPr>
          <w:rFonts w:eastAsiaTheme="minorHAnsi" w:cs="Arial"/>
          <w:szCs w:val="20"/>
          <w:lang w:val="sl-SI"/>
        </w:rPr>
        <w:t xml:space="preserve"> blagostanj</w:t>
      </w:r>
      <w:r>
        <w:rPr>
          <w:rFonts w:eastAsiaTheme="minorHAnsi" w:cs="Arial"/>
          <w:szCs w:val="20"/>
          <w:lang w:val="sl-SI"/>
        </w:rPr>
        <w:t>e</w:t>
      </w:r>
      <w:r w:rsidRPr="005771BD">
        <w:rPr>
          <w:rFonts w:eastAsiaTheme="minorHAnsi" w:cs="Arial"/>
          <w:szCs w:val="20"/>
          <w:lang w:val="sl-SI"/>
        </w:rPr>
        <w:t xml:space="preserve">. Zato obravnavamo negativne učinke hrupa tako na zdravje kot </w:t>
      </w:r>
      <w:r>
        <w:rPr>
          <w:rFonts w:eastAsiaTheme="minorHAnsi" w:cs="Arial"/>
          <w:szCs w:val="20"/>
          <w:lang w:val="sl-SI"/>
        </w:rPr>
        <w:t xml:space="preserve">tudi </w:t>
      </w:r>
      <w:r w:rsidRPr="005771BD">
        <w:rPr>
          <w:rFonts w:eastAsiaTheme="minorHAnsi" w:cs="Arial"/>
          <w:szCs w:val="20"/>
          <w:lang w:val="sl-SI"/>
        </w:rPr>
        <w:t xml:space="preserve">počutje ljudi. </w:t>
      </w:r>
    </w:p>
    <w:p w:rsidR="0057482E" w:rsidRPr="005771BD" w:rsidRDefault="0057482E" w:rsidP="0057482E">
      <w:pPr>
        <w:spacing w:after="200" w:line="276" w:lineRule="auto"/>
        <w:jc w:val="both"/>
        <w:rPr>
          <w:rFonts w:eastAsiaTheme="minorHAnsi" w:cs="Arial"/>
          <w:b/>
          <w:szCs w:val="20"/>
          <w:lang w:val="sl-SI"/>
        </w:rPr>
      </w:pPr>
      <w:r w:rsidRPr="005771BD">
        <w:rPr>
          <w:rFonts w:eastAsiaTheme="minorHAnsi" w:cs="Arial"/>
          <w:b/>
          <w:szCs w:val="20"/>
          <w:lang w:val="sl-SI"/>
        </w:rPr>
        <w:t>Breme bolezni zaradi hrupa</w:t>
      </w:r>
    </w:p>
    <w:p w:rsidR="0057482E" w:rsidRPr="005771BD" w:rsidRDefault="0057482E" w:rsidP="0057482E">
      <w:pPr>
        <w:spacing w:after="200" w:line="276" w:lineRule="auto"/>
        <w:jc w:val="both"/>
        <w:rPr>
          <w:rFonts w:eastAsiaTheme="minorHAnsi" w:cs="Arial"/>
          <w:b/>
          <w:szCs w:val="20"/>
          <w:u w:val="single"/>
          <w:lang w:val="sl-SI"/>
        </w:rPr>
      </w:pPr>
      <w:r w:rsidRPr="005771BD">
        <w:rPr>
          <w:rFonts w:eastAsiaTheme="minorHAnsi" w:cs="Arial"/>
          <w:szCs w:val="20"/>
          <w:lang w:val="sl-SI"/>
        </w:rPr>
        <w:t>Vedno več je dokazov, da hrup v okolju negativno vpliva na zdravje ljudi (EEA 2016). Kar 125 milijonov prebivalcev je v Evropi obremenjenih s hrupom, ki presega 55 dBA celodnevne povprečne letne ravni. Vsako leto povzroči 10.000 primerov prezgodnje smrti. Pri skoraj 20 milijon</w:t>
      </w:r>
      <w:r>
        <w:rPr>
          <w:rFonts w:eastAsiaTheme="minorHAnsi" w:cs="Arial"/>
          <w:szCs w:val="20"/>
          <w:lang w:val="sl-SI"/>
        </w:rPr>
        <w:t>ih</w:t>
      </w:r>
      <w:r w:rsidRPr="005771BD">
        <w:rPr>
          <w:rFonts w:eastAsiaTheme="minorHAnsi" w:cs="Arial"/>
          <w:szCs w:val="20"/>
          <w:lang w:val="sl-SI"/>
        </w:rPr>
        <w:t xml:space="preserve"> odraslih prebivalcev hrup povzroča vznemirjenost in pri dodatnih 8 milijonih motnje spanja. Zaradi okoljskega hrupa je vsako leto zabeleženih </w:t>
      </w:r>
      <w:r>
        <w:rPr>
          <w:rFonts w:eastAsiaTheme="minorHAnsi" w:cs="Arial"/>
          <w:szCs w:val="20"/>
          <w:lang w:val="sl-SI"/>
        </w:rPr>
        <w:t>več kot</w:t>
      </w:r>
      <w:r w:rsidRPr="005771BD">
        <w:rPr>
          <w:rFonts w:eastAsiaTheme="minorHAnsi" w:cs="Arial"/>
          <w:szCs w:val="20"/>
          <w:lang w:val="sl-SI"/>
        </w:rPr>
        <w:t xml:space="preserve"> 900.000 primerov hipertenzije. Obremenjenost s hrupom povzroči v Evropi vsako leto 43.000 sprejemov v bolnišnice. Znatno zmanjšanje obremenjenosti okolja s hrupom v EU do leta 2020</w:t>
      </w:r>
      <w:r>
        <w:rPr>
          <w:rFonts w:eastAsiaTheme="minorHAnsi" w:cs="Arial"/>
          <w:szCs w:val="20"/>
          <w:lang w:val="sl-SI"/>
        </w:rPr>
        <w:t xml:space="preserve"> v </w:t>
      </w:r>
      <w:r w:rsidRPr="005771BD">
        <w:rPr>
          <w:rFonts w:eastAsiaTheme="minorHAnsi" w:cs="Arial"/>
          <w:szCs w:val="20"/>
          <w:lang w:val="sl-SI"/>
        </w:rPr>
        <w:t>sklad</w:t>
      </w:r>
      <w:r>
        <w:rPr>
          <w:rFonts w:eastAsiaTheme="minorHAnsi" w:cs="Arial"/>
          <w:szCs w:val="20"/>
          <w:lang w:val="sl-SI"/>
        </w:rPr>
        <w:t>u</w:t>
      </w:r>
      <w:r w:rsidRPr="005771BD">
        <w:rPr>
          <w:rFonts w:eastAsiaTheme="minorHAnsi" w:cs="Arial"/>
          <w:szCs w:val="20"/>
          <w:lang w:val="sl-SI"/>
        </w:rPr>
        <w:t xml:space="preserve"> s priporočili Svetovne zdravstvene organizacije je ambiciozen cilj Sedmega evropskega akcijskega programa Evropske unije (EU 2013, WHO 2011). Dokončna ocena in napovedi za prihodnost so omejene zaradi nepopolnega poročanja držav članic o izpostavljenosti hrupu. V zadnji fazi kartiranja hrupa je bilo zbranih le 44 % pričakovanih podatkov. Pomanjkanje primerljivih in skupnih metod ocenjevanja še vedno povzroča neskladnosti pri ocenah izpostavljenosti med različnimi državami in območji znotraj ene države (EEA 2016). Breme bolezni zaradi okoljskega hrupa za Slovenijo ni ocenjeno. </w:t>
      </w:r>
    </w:p>
    <w:p w:rsidR="0057482E" w:rsidRPr="005771BD" w:rsidRDefault="0057482E" w:rsidP="0057482E">
      <w:pPr>
        <w:spacing w:after="200" w:line="276" w:lineRule="auto"/>
        <w:rPr>
          <w:rFonts w:eastAsiaTheme="minorHAnsi" w:cs="Arial"/>
          <w:b/>
          <w:szCs w:val="20"/>
          <w:lang w:val="sl-SI"/>
        </w:rPr>
      </w:pPr>
      <w:r w:rsidRPr="005771BD">
        <w:rPr>
          <w:rFonts w:eastAsiaTheme="minorHAnsi" w:cs="Arial"/>
          <w:b/>
          <w:szCs w:val="20"/>
          <w:lang w:val="sl-SI"/>
        </w:rPr>
        <w:t>Kazalci okolja in odzivi javnosti</w:t>
      </w:r>
    </w:p>
    <w:p w:rsidR="0057482E" w:rsidRPr="005771BD" w:rsidRDefault="0057482E" w:rsidP="0057482E">
      <w:pPr>
        <w:spacing w:after="200" w:line="276" w:lineRule="auto"/>
        <w:jc w:val="both"/>
        <w:rPr>
          <w:rFonts w:eastAsiaTheme="minorHAnsi" w:cs="Arial"/>
          <w:szCs w:val="20"/>
          <w:lang w:val="sl-SI"/>
        </w:rPr>
      </w:pPr>
      <w:r w:rsidRPr="005771BD">
        <w:rPr>
          <w:rFonts w:eastAsiaTheme="minorHAnsi" w:cs="Arial"/>
          <w:szCs w:val="20"/>
          <w:lang w:val="sl-SI"/>
        </w:rPr>
        <w:t xml:space="preserve">V Sloveniji posebno pozornost </w:t>
      </w:r>
      <w:r>
        <w:rPr>
          <w:rFonts w:eastAsiaTheme="minorHAnsi" w:cs="Arial"/>
          <w:szCs w:val="20"/>
          <w:lang w:val="sl-SI"/>
        </w:rPr>
        <w:t xml:space="preserve">namenjamo </w:t>
      </w:r>
      <w:r w:rsidRPr="005771BD">
        <w:rPr>
          <w:rFonts w:eastAsiaTheme="minorHAnsi" w:cs="Arial"/>
          <w:szCs w:val="20"/>
          <w:lang w:val="sl-SI"/>
        </w:rPr>
        <w:t>zaščiti otrok in mladine pred preobremenjenostjo s hrupom v času varstva in šolanja ter zabave in rekreacije. Da bi opozorili na pomen zdravega zvočnega okolja v šolah in vrtcih</w:t>
      </w:r>
      <w:r>
        <w:rPr>
          <w:rFonts w:eastAsiaTheme="minorHAnsi" w:cs="Arial"/>
          <w:szCs w:val="20"/>
          <w:lang w:val="sl-SI"/>
        </w:rPr>
        <w:t>,</w:t>
      </w:r>
      <w:r w:rsidRPr="005771BD">
        <w:rPr>
          <w:rFonts w:eastAsiaTheme="minorHAnsi" w:cs="Arial"/>
          <w:szCs w:val="20"/>
          <w:lang w:val="sl-SI"/>
        </w:rPr>
        <w:t xml:space="preserve"> smo izdelali kazalce o izpostavljenosti otrok povišani ravni hrupa zaradi cestnega prometa v Ljubljani, Mariboru in Novi Gorici. Opozoriti želimo na pomen umeščenosti teh ustanov v okolje ter primernega zvočnega okolja tako za zunanja igrišča kot za učilnice in </w:t>
      </w:r>
      <w:r>
        <w:rPr>
          <w:rFonts w:eastAsiaTheme="minorHAnsi" w:cs="Arial"/>
          <w:szCs w:val="20"/>
          <w:lang w:val="sl-SI"/>
        </w:rPr>
        <w:t>druge</w:t>
      </w:r>
      <w:r w:rsidRPr="005771BD">
        <w:rPr>
          <w:rFonts w:eastAsiaTheme="minorHAnsi" w:cs="Arial"/>
          <w:szCs w:val="20"/>
          <w:lang w:val="sl-SI"/>
        </w:rPr>
        <w:t xml:space="preserve"> notranje prostore. Kazalci temeljijo na podatkih strateških kart hrupa, zato je ocenjena izpostavljenost stavb le izhodišče za</w:t>
      </w:r>
      <w:r>
        <w:rPr>
          <w:rFonts w:eastAsiaTheme="minorHAnsi" w:cs="Arial"/>
          <w:szCs w:val="20"/>
          <w:lang w:val="sl-SI"/>
        </w:rPr>
        <w:t xml:space="preserve"> določitev prednostnih nalog</w:t>
      </w:r>
      <w:r w:rsidRPr="005771BD">
        <w:rPr>
          <w:rFonts w:eastAsiaTheme="minorHAnsi" w:cs="Arial"/>
          <w:szCs w:val="20"/>
          <w:lang w:val="sl-SI"/>
        </w:rPr>
        <w:t xml:space="preserve"> za podrobnejše ugotavljanje obremenjenosti otrok s hrupom (primer: slika 1</w:t>
      </w:r>
      <w:r w:rsidR="00107DE0">
        <w:rPr>
          <w:rFonts w:eastAsiaTheme="minorHAnsi" w:cs="Arial"/>
          <w:szCs w:val="20"/>
          <w:lang w:val="sl-SI"/>
        </w:rPr>
        <w:t>6</w:t>
      </w:r>
      <w:r w:rsidRPr="005771BD">
        <w:rPr>
          <w:rFonts w:eastAsiaTheme="minorHAnsi" w:cs="Arial"/>
          <w:szCs w:val="20"/>
          <w:lang w:val="sl-SI"/>
        </w:rPr>
        <w:t xml:space="preserve">.9). V teh mestih je pri </w:t>
      </w:r>
      <w:r>
        <w:rPr>
          <w:rFonts w:eastAsiaTheme="minorHAnsi" w:cs="Arial"/>
          <w:szCs w:val="20"/>
          <w:lang w:val="sl-SI"/>
        </w:rPr>
        <w:t>šestih</w:t>
      </w:r>
      <w:r w:rsidRPr="005771BD">
        <w:rPr>
          <w:rFonts w:eastAsiaTheme="minorHAnsi" w:cs="Arial"/>
          <w:szCs w:val="20"/>
          <w:lang w:val="sl-SI"/>
        </w:rPr>
        <w:t xml:space="preserve"> šolah in </w:t>
      </w:r>
      <w:r>
        <w:rPr>
          <w:rFonts w:eastAsiaTheme="minorHAnsi" w:cs="Arial"/>
          <w:szCs w:val="20"/>
          <w:lang w:val="sl-SI"/>
        </w:rPr>
        <w:t>enajstih</w:t>
      </w:r>
      <w:r w:rsidRPr="005771BD">
        <w:rPr>
          <w:rFonts w:eastAsiaTheme="minorHAnsi" w:cs="Arial"/>
          <w:szCs w:val="20"/>
          <w:lang w:val="sl-SI"/>
        </w:rPr>
        <w:t xml:space="preserve"> vrtcih na najbolj izpostavljeni fasadi presežena vrednost 65 dBA, kar kaže na nujnost pr</w:t>
      </w:r>
      <w:r>
        <w:rPr>
          <w:rFonts w:eastAsiaTheme="minorHAnsi" w:cs="Arial"/>
          <w:szCs w:val="20"/>
          <w:lang w:val="sl-SI"/>
        </w:rPr>
        <w:t>ednostnega</w:t>
      </w:r>
      <w:r w:rsidRPr="005771BD">
        <w:rPr>
          <w:rFonts w:eastAsiaTheme="minorHAnsi" w:cs="Arial"/>
          <w:szCs w:val="20"/>
          <w:lang w:val="sl-SI"/>
        </w:rPr>
        <w:t xml:space="preserve"> obravnavanja in hitrega ukrepanja (ARSO 2014, 2015g, 2015h). </w:t>
      </w:r>
    </w:p>
    <w:p w:rsidR="0057482E" w:rsidRPr="005771BD" w:rsidRDefault="0057482E" w:rsidP="0057482E">
      <w:pPr>
        <w:spacing w:line="240" w:lineRule="auto"/>
        <w:jc w:val="both"/>
        <w:rPr>
          <w:rFonts w:eastAsiaTheme="minorHAnsi" w:cs="Arial"/>
          <w:szCs w:val="20"/>
          <w:lang w:val="sl-SI"/>
        </w:rPr>
      </w:pPr>
      <w:r w:rsidRPr="007F272F">
        <w:rPr>
          <w:rFonts w:eastAsiaTheme="minorHAnsi" w:cs="Arial"/>
          <w:noProof/>
          <w:szCs w:val="20"/>
          <w:lang w:val="sl-SI" w:eastAsia="sl-SI"/>
        </w:rPr>
        <w:drawing>
          <wp:inline distT="0" distB="0" distL="0" distR="0" wp14:anchorId="2A9C8DAE" wp14:editId="52F41903">
            <wp:extent cx="5760720" cy="3702883"/>
            <wp:effectExtent l="0" t="0" r="0" b="0"/>
            <wp:docPr id="658" name="Slika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stretch>
                      <a:fillRect/>
                    </a:stretch>
                  </pic:blipFill>
                  <pic:spPr>
                    <a:xfrm>
                      <a:off x="0" y="0"/>
                      <a:ext cx="5760720" cy="3702883"/>
                    </a:xfrm>
                    <a:prstGeom prst="rect">
                      <a:avLst/>
                    </a:prstGeom>
                  </pic:spPr>
                </pic:pic>
              </a:graphicData>
            </a:graphic>
          </wp:inline>
        </w:drawing>
      </w:r>
    </w:p>
    <w:p w:rsidR="0057482E" w:rsidRPr="005771BD" w:rsidRDefault="0057482E" w:rsidP="0057482E">
      <w:pPr>
        <w:spacing w:line="240" w:lineRule="auto"/>
        <w:jc w:val="both"/>
        <w:rPr>
          <w:rFonts w:eastAsiaTheme="minorHAnsi" w:cs="Arial"/>
          <w:szCs w:val="20"/>
          <w:lang w:val="sl-SI"/>
        </w:rPr>
      </w:pPr>
    </w:p>
    <w:p w:rsidR="0057482E" w:rsidRPr="005771BD" w:rsidRDefault="0057482E" w:rsidP="0057482E">
      <w:pPr>
        <w:autoSpaceDE w:val="0"/>
        <w:autoSpaceDN w:val="0"/>
        <w:adjustRightInd w:val="0"/>
        <w:spacing w:line="240" w:lineRule="auto"/>
        <w:jc w:val="both"/>
        <w:rPr>
          <w:rFonts w:eastAsiaTheme="minorHAnsi" w:cs="Arial"/>
          <w:i/>
          <w:szCs w:val="20"/>
          <w:lang w:val="sl-SI"/>
        </w:rPr>
      </w:pPr>
      <w:r w:rsidRPr="005771BD">
        <w:rPr>
          <w:rFonts w:eastAsiaTheme="minorHAnsi" w:cs="Arial"/>
          <w:i/>
          <w:szCs w:val="20"/>
          <w:lang w:val="sl-SI"/>
        </w:rPr>
        <w:t>Slika 1</w:t>
      </w:r>
      <w:r w:rsidR="001A509D">
        <w:rPr>
          <w:rFonts w:eastAsiaTheme="minorHAnsi" w:cs="Arial"/>
          <w:i/>
          <w:szCs w:val="20"/>
          <w:lang w:val="sl-SI"/>
        </w:rPr>
        <w:t>6</w:t>
      </w:r>
      <w:r w:rsidRPr="005771BD">
        <w:rPr>
          <w:rFonts w:eastAsiaTheme="minorHAnsi" w:cs="Arial"/>
          <w:i/>
          <w:szCs w:val="20"/>
          <w:lang w:val="sl-SI"/>
        </w:rPr>
        <w:t xml:space="preserve">.9: Izpostavljenost vrtcev hrupu zaradi cestnega prometa v MO Ljubljana </w:t>
      </w:r>
      <w:r>
        <w:rPr>
          <w:rFonts w:eastAsiaTheme="minorHAnsi" w:cs="Arial"/>
          <w:i/>
          <w:szCs w:val="20"/>
          <w:lang w:val="sl-SI"/>
        </w:rPr>
        <w:t>–</w:t>
      </w:r>
      <w:r w:rsidRPr="005771BD">
        <w:rPr>
          <w:rFonts w:eastAsiaTheme="minorHAnsi" w:cs="Arial"/>
          <w:i/>
          <w:szCs w:val="20"/>
          <w:lang w:val="sl-SI"/>
        </w:rPr>
        <w:t xml:space="preserve"> raven hrupa na najbolj izpostavljeni fasadi vrtca</w:t>
      </w:r>
    </w:p>
    <w:p w:rsidR="0057482E" w:rsidRPr="005771BD" w:rsidRDefault="0057482E" w:rsidP="0057482E">
      <w:pPr>
        <w:spacing w:line="240" w:lineRule="auto"/>
        <w:rPr>
          <w:rFonts w:cs="Arial"/>
          <w:i/>
          <w:sz w:val="18"/>
          <w:szCs w:val="18"/>
          <w:lang w:val="sl-SI" w:eastAsia="sl-SI"/>
        </w:rPr>
      </w:pPr>
      <w:r w:rsidRPr="005771BD">
        <w:rPr>
          <w:rFonts w:eastAsiaTheme="minorHAnsi" w:cs="Arial"/>
          <w:i/>
          <w:sz w:val="18"/>
          <w:szCs w:val="18"/>
          <w:lang w:val="sl-SI"/>
        </w:rPr>
        <w:t xml:space="preserve">Vir: Agencija RS za okolje, Mestna občina Ljubljana, 2015  </w:t>
      </w:r>
      <w:r w:rsidRPr="005771BD">
        <w:rPr>
          <w:rFonts w:cs="Arial"/>
          <w:i/>
          <w:sz w:val="18"/>
          <w:szCs w:val="18"/>
          <w:lang w:val="sl-SI" w:eastAsia="sl-SI"/>
        </w:rPr>
        <w:t xml:space="preserve"> </w:t>
      </w:r>
    </w:p>
    <w:p w:rsidR="0057482E" w:rsidRPr="005771BD" w:rsidRDefault="0057482E" w:rsidP="0057482E">
      <w:pPr>
        <w:spacing w:line="240" w:lineRule="auto"/>
        <w:jc w:val="both"/>
        <w:rPr>
          <w:rFonts w:eastAsiaTheme="minorHAnsi" w:cs="Arial"/>
          <w:szCs w:val="20"/>
          <w:lang w:val="sl-SI"/>
        </w:rPr>
      </w:pPr>
    </w:p>
    <w:p w:rsidR="0057482E" w:rsidRPr="005771BD" w:rsidRDefault="0057482E" w:rsidP="0057482E">
      <w:pPr>
        <w:spacing w:after="200" w:line="240" w:lineRule="auto"/>
        <w:jc w:val="both"/>
        <w:rPr>
          <w:rFonts w:eastAsiaTheme="minorHAnsi" w:cs="Arial"/>
          <w:szCs w:val="20"/>
          <w:lang w:val="sl-SI"/>
        </w:rPr>
      </w:pPr>
      <w:r w:rsidRPr="005771BD">
        <w:rPr>
          <w:rFonts w:eastAsiaTheme="minorHAnsi" w:cs="Arial"/>
          <w:szCs w:val="20"/>
          <w:lang w:val="sl-SI"/>
        </w:rPr>
        <w:t xml:space="preserve">Inšpektorji za okolje so zaradi hrupa v letu 2015 odredili 143 ukrepov za odpravo neskladnosti in uvedli 7 prekrškovnih postopkov. Najpogosteje ugotovljena neskladnost je neredno izvajanje predpisanega </w:t>
      </w:r>
      <w:r>
        <w:rPr>
          <w:rFonts w:eastAsiaTheme="minorHAnsi" w:cs="Arial"/>
          <w:szCs w:val="20"/>
          <w:lang w:val="sl-SI"/>
        </w:rPr>
        <w:t>spremljanja</w:t>
      </w:r>
      <w:r w:rsidRPr="005771BD">
        <w:rPr>
          <w:rFonts w:eastAsiaTheme="minorHAnsi" w:cs="Arial"/>
          <w:szCs w:val="20"/>
          <w:lang w:val="sl-SI"/>
        </w:rPr>
        <w:t xml:space="preserve"> in neizvajanje obveznosti poročanja (IRSOP 2015). Policija je v letu 2015 zabeležila 1.681 kršitev Zakona o varstvu javnega reda in miru</w:t>
      </w:r>
      <w:r>
        <w:rPr>
          <w:rFonts w:eastAsiaTheme="minorHAnsi" w:cs="Arial"/>
          <w:szCs w:val="20"/>
          <w:lang w:val="sl-SI"/>
        </w:rPr>
        <w:t>,</w:t>
      </w:r>
      <w:r w:rsidRPr="005771BD">
        <w:rPr>
          <w:rFonts w:eastAsiaTheme="minorHAnsi" w:cs="Arial"/>
          <w:szCs w:val="20"/>
          <w:lang w:val="sl-SI"/>
        </w:rPr>
        <w:t xml:space="preserve"> povezanih s hrupom v okolju. Kršitve</w:t>
      </w:r>
      <w:r>
        <w:rPr>
          <w:rFonts w:eastAsiaTheme="minorHAnsi" w:cs="Arial"/>
          <w:szCs w:val="20"/>
          <w:lang w:val="sl-SI"/>
        </w:rPr>
        <w:t>,</w:t>
      </w:r>
      <w:r w:rsidRPr="005771BD">
        <w:rPr>
          <w:rFonts w:eastAsiaTheme="minorHAnsi" w:cs="Arial"/>
          <w:szCs w:val="20"/>
          <w:lang w:val="sl-SI"/>
        </w:rPr>
        <w:t xml:space="preserve"> povezane z motenjem nočnega miru</w:t>
      </w:r>
      <w:r>
        <w:rPr>
          <w:rFonts w:eastAsiaTheme="minorHAnsi" w:cs="Arial"/>
          <w:szCs w:val="20"/>
          <w:lang w:val="sl-SI"/>
        </w:rPr>
        <w:t>,</w:t>
      </w:r>
      <w:r w:rsidRPr="005771BD">
        <w:rPr>
          <w:rFonts w:eastAsiaTheme="minorHAnsi" w:cs="Arial"/>
          <w:szCs w:val="20"/>
          <w:lang w:val="sl-SI"/>
        </w:rPr>
        <w:t xml:space="preserve"> so se glede na predhodne leto povečale za 20,9 % (Policija 2015)</w:t>
      </w:r>
      <w:r w:rsidR="004B2E4F">
        <w:rPr>
          <w:rFonts w:eastAsiaTheme="minorHAnsi" w:cs="Arial"/>
          <w:szCs w:val="20"/>
          <w:lang w:val="sl-SI"/>
        </w:rPr>
        <w:t>, zmanjšalo pa se število kršitev, povezanih s povzročanjem hrupa z akustičnimi aparati</w:t>
      </w:r>
      <w:r w:rsidR="00A71F91">
        <w:rPr>
          <w:rFonts w:eastAsiaTheme="minorHAnsi" w:cs="Arial"/>
          <w:szCs w:val="20"/>
          <w:lang w:val="sl-SI"/>
        </w:rPr>
        <w:t>.</w:t>
      </w:r>
    </w:p>
    <w:p w:rsidR="0057482E" w:rsidRPr="005771BD" w:rsidRDefault="0057482E" w:rsidP="0057482E">
      <w:pPr>
        <w:tabs>
          <w:tab w:val="left" w:pos="3060"/>
          <w:tab w:val="left" w:pos="3600"/>
        </w:tabs>
        <w:spacing w:line="276" w:lineRule="auto"/>
        <w:jc w:val="both"/>
        <w:rPr>
          <w:rFonts w:eastAsiaTheme="minorHAnsi" w:cs="Arial"/>
          <w:b/>
          <w:szCs w:val="20"/>
          <w:u w:val="single"/>
          <w:lang w:val="sl-SI"/>
        </w:rPr>
      </w:pPr>
    </w:p>
    <w:p w:rsidR="0057482E" w:rsidRPr="005771BD" w:rsidRDefault="0057482E" w:rsidP="0057482E">
      <w:pPr>
        <w:tabs>
          <w:tab w:val="left" w:pos="3060"/>
          <w:tab w:val="left" w:pos="3600"/>
        </w:tabs>
        <w:spacing w:after="200" w:line="276" w:lineRule="auto"/>
        <w:jc w:val="both"/>
        <w:rPr>
          <w:rFonts w:eastAsiaTheme="minorHAnsi" w:cs="Arial"/>
          <w:b/>
          <w:szCs w:val="20"/>
          <w:u w:val="single"/>
          <w:lang w:val="sl-SI"/>
        </w:rPr>
      </w:pPr>
      <w:r w:rsidRPr="005771BD">
        <w:rPr>
          <w:rFonts w:eastAsiaTheme="minorHAnsi" w:cs="Arial"/>
          <w:b/>
          <w:szCs w:val="20"/>
          <w:u w:val="single"/>
          <w:lang w:val="sl-SI"/>
        </w:rPr>
        <w:t>1</w:t>
      </w:r>
      <w:r w:rsidR="00A71F91">
        <w:rPr>
          <w:rFonts w:eastAsiaTheme="minorHAnsi" w:cs="Arial"/>
          <w:b/>
          <w:szCs w:val="20"/>
          <w:u w:val="single"/>
          <w:lang w:val="sl-SI"/>
        </w:rPr>
        <w:t>6</w:t>
      </w:r>
      <w:r w:rsidRPr="005771BD">
        <w:rPr>
          <w:rFonts w:eastAsiaTheme="minorHAnsi" w:cs="Arial"/>
          <w:b/>
          <w:szCs w:val="20"/>
          <w:u w:val="single"/>
          <w:lang w:val="sl-SI"/>
        </w:rPr>
        <w:t xml:space="preserve">.7 Kemijska okoljska onesnaževala v živilih </w:t>
      </w:r>
    </w:p>
    <w:p w:rsidR="0057482E" w:rsidRPr="005771BD" w:rsidRDefault="0057482E" w:rsidP="0057482E">
      <w:pPr>
        <w:autoSpaceDE w:val="0"/>
        <w:autoSpaceDN w:val="0"/>
        <w:adjustRightInd w:val="0"/>
        <w:spacing w:after="200" w:line="276" w:lineRule="auto"/>
        <w:jc w:val="both"/>
        <w:rPr>
          <w:rFonts w:eastAsiaTheme="minorHAnsi" w:cs="Arial"/>
          <w:szCs w:val="20"/>
          <w:lang w:val="sl-SI"/>
        </w:rPr>
      </w:pPr>
      <w:r w:rsidRPr="005771BD">
        <w:rPr>
          <w:rFonts w:eastAsiaTheme="minorHAnsi" w:cs="Arial"/>
          <w:szCs w:val="20"/>
          <w:lang w:val="sl-SI"/>
        </w:rPr>
        <w:t xml:space="preserve">Zaradi neustreznega ravnanja z nevarnimi kemikalijami in izdelki, ki lahko vsebujejo nevarne kemikalije, vključno z neustreznim ravnanjem z njihovimi ostanki (odpadki), se nevarne kemikalije lahko sprostijo v okolje. Problem </w:t>
      </w:r>
      <w:r>
        <w:rPr>
          <w:rFonts w:eastAsiaTheme="minorHAnsi" w:cs="Arial"/>
          <w:szCs w:val="20"/>
          <w:lang w:val="sl-SI"/>
        </w:rPr>
        <w:t>so</w:t>
      </w:r>
      <w:r w:rsidRPr="005771BD">
        <w:rPr>
          <w:rFonts w:eastAsiaTheme="minorHAnsi" w:cs="Arial"/>
          <w:szCs w:val="20"/>
          <w:lang w:val="sl-SI"/>
        </w:rPr>
        <w:t xml:space="preserve"> kemikalije, ki so v okolju bolj ali manj dolgoročno obstojne in bioakumulativne. Te lahko iz onesnaženega okolja ponovno pridejo v človeka tudi preko hrane (WHO 2016). </w:t>
      </w:r>
    </w:p>
    <w:p w:rsidR="0057482E" w:rsidRPr="005771BD" w:rsidRDefault="0057482E" w:rsidP="0057482E">
      <w:pPr>
        <w:spacing w:after="200" w:line="276" w:lineRule="auto"/>
        <w:jc w:val="both"/>
        <w:rPr>
          <w:rFonts w:eastAsiaTheme="minorHAnsi" w:cs="Arial"/>
          <w:szCs w:val="20"/>
          <w:lang w:val="sl-SI"/>
        </w:rPr>
      </w:pPr>
      <w:r w:rsidRPr="005771BD">
        <w:rPr>
          <w:rFonts w:eastAsiaTheme="minorHAnsi" w:cs="Arial"/>
          <w:szCs w:val="20"/>
          <w:lang w:val="sl-SI"/>
        </w:rPr>
        <w:t>Kemijska onesnaževala v živilih, ki imajo izvor v onesnaženem okolju, npr. strupene kovine/elementi (kadmij, svinec, živo srebro, arzen, nikelj), organska onesnaževala (npr. dioksini, poliklorirani bifenili, policiklični aromatski ogljikovodiki, bromirani zaviralci gorenja, polifluorirane kemikalije, ftalati, kloroalkani, organske kositrove spojine) in nitrati ter radionuklidi, so pomemben dejavnik tveganja za zdravje in p</w:t>
      </w:r>
      <w:r>
        <w:rPr>
          <w:rFonts w:eastAsiaTheme="minorHAnsi" w:cs="Arial"/>
          <w:szCs w:val="20"/>
          <w:lang w:val="sl-SI"/>
        </w:rPr>
        <w:t>omenijo</w:t>
      </w:r>
      <w:r w:rsidRPr="005771BD">
        <w:rPr>
          <w:rFonts w:eastAsiaTheme="minorHAnsi" w:cs="Arial"/>
          <w:szCs w:val="20"/>
          <w:lang w:val="sl-SI"/>
        </w:rPr>
        <w:t xml:space="preserve"> javnozdravstveni problem (EFSA 2008; 2012 Schrenk, 2012). Nekatere med njimi imajo rakotvorne in mutagene učinke, škodljivo vplivajo na žleze z notranjim izločanjem, na imunski in reproduktivni sistem, povezujemo jih z nekaterimi prirojenimi hibami, večjo dovzetnostjo za bolezni in poškodbe centralnega in perifernega živčnega sistema ter </w:t>
      </w:r>
      <w:r>
        <w:rPr>
          <w:rFonts w:eastAsiaTheme="minorHAnsi" w:cs="Arial"/>
          <w:szCs w:val="20"/>
          <w:lang w:val="sl-SI"/>
        </w:rPr>
        <w:t xml:space="preserve">z </w:t>
      </w:r>
      <w:r w:rsidRPr="005771BD">
        <w:rPr>
          <w:rFonts w:eastAsiaTheme="minorHAnsi" w:cs="Arial"/>
          <w:szCs w:val="20"/>
          <w:lang w:val="sl-SI"/>
        </w:rPr>
        <w:t xml:space="preserve">možnimi rakavimi obolenji (Birnbaum 2013). V zadnjem času prepoznana okoljska onesnaževala v živilih so tudi npr. poliklorirani naftaleni in bromirani zaviralci gorenja ter nanodelci. Viri nanodelcev v živilih so tudi nekateri aditivi za živila in novi materiali v stiku z živili, iz katerih se lahko nanodelci sproščajo v živila (RIKILT and JRC 2014). </w:t>
      </w:r>
    </w:p>
    <w:p w:rsidR="0057482E" w:rsidRPr="005771BD" w:rsidRDefault="0057482E" w:rsidP="0057482E">
      <w:pPr>
        <w:spacing w:after="200" w:line="276" w:lineRule="auto"/>
        <w:jc w:val="both"/>
        <w:rPr>
          <w:rFonts w:eastAsiaTheme="minorHAnsi" w:cs="Arial"/>
          <w:szCs w:val="20"/>
          <w:lang w:val="sl-SI"/>
        </w:rPr>
      </w:pPr>
      <w:r w:rsidRPr="005771BD">
        <w:rPr>
          <w:rFonts w:eastAsiaTheme="minorHAnsi" w:cs="Arial"/>
          <w:szCs w:val="20"/>
          <w:lang w:val="sl-SI"/>
        </w:rPr>
        <w:t xml:space="preserve">Uživanje hrane pogosto predstavlja največji delež v celokupni izpostavljenosti določenim onesnaževalom v primerjavi z drugimi viri (zrak, voda) (EFSA 2008, 2012). Nekatere, zlasti lipofilne kemikalije in strupene kovine, dosegajo v živalskih tkivih tudi tisočkrat večje koncentracije od vsebnosti v vodi, prsti in sedimentih. </w:t>
      </w:r>
      <w:r>
        <w:rPr>
          <w:rFonts w:eastAsiaTheme="minorHAnsi" w:cs="Arial"/>
          <w:szCs w:val="20"/>
          <w:lang w:val="sl-SI"/>
        </w:rPr>
        <w:t>Glede</w:t>
      </w:r>
      <w:r w:rsidRPr="005771BD">
        <w:rPr>
          <w:rFonts w:eastAsiaTheme="minorHAnsi" w:cs="Arial"/>
          <w:szCs w:val="20"/>
          <w:lang w:val="sl-SI"/>
        </w:rPr>
        <w:t xml:space="preserve"> tveganja za zdravje je zlasti problematična dolgotrajna izpostavljenost majhnim koncentracijam različnih strupenih snovi v živilih, </w:t>
      </w:r>
      <w:r>
        <w:rPr>
          <w:rFonts w:eastAsiaTheme="minorHAnsi" w:cs="Arial"/>
          <w:szCs w:val="20"/>
          <w:lang w:val="sl-SI"/>
        </w:rPr>
        <w:t>njeno</w:t>
      </w:r>
      <w:r w:rsidRPr="005771BD">
        <w:rPr>
          <w:rFonts w:eastAsiaTheme="minorHAnsi" w:cs="Arial"/>
          <w:szCs w:val="20"/>
          <w:lang w:val="sl-SI"/>
        </w:rPr>
        <w:t xml:space="preserve"> razsežnost </w:t>
      </w:r>
      <w:r>
        <w:rPr>
          <w:rFonts w:eastAsiaTheme="minorHAnsi" w:cs="Arial"/>
          <w:szCs w:val="20"/>
          <w:lang w:val="sl-SI"/>
        </w:rPr>
        <w:t xml:space="preserve">pa </w:t>
      </w:r>
      <w:r w:rsidRPr="005771BD">
        <w:rPr>
          <w:rFonts w:eastAsiaTheme="minorHAnsi" w:cs="Arial"/>
          <w:szCs w:val="20"/>
          <w:lang w:val="sl-SI"/>
        </w:rPr>
        <w:t xml:space="preserve">je </w:t>
      </w:r>
      <w:r>
        <w:rPr>
          <w:rFonts w:eastAsiaTheme="minorHAnsi" w:cs="Arial"/>
          <w:szCs w:val="20"/>
          <w:lang w:val="sl-SI"/>
        </w:rPr>
        <w:t>z</w:t>
      </w:r>
      <w:r w:rsidRPr="005771BD">
        <w:rPr>
          <w:rFonts w:eastAsiaTheme="minorHAnsi" w:cs="Arial"/>
          <w:szCs w:val="20"/>
          <w:lang w:val="sl-SI"/>
        </w:rPr>
        <w:t xml:space="preserve"> razpoložljivimi metodami in sredstvi težko oceniti (WHO 2015b). </w:t>
      </w:r>
    </w:p>
    <w:p w:rsidR="0057482E" w:rsidRPr="005771BD" w:rsidRDefault="0057482E" w:rsidP="0057482E">
      <w:pPr>
        <w:spacing w:after="120" w:line="240" w:lineRule="auto"/>
        <w:outlineLvl w:val="4"/>
        <w:rPr>
          <w:rFonts w:cs="Arial"/>
          <w:bCs/>
          <w:i/>
          <w:iCs/>
          <w:szCs w:val="20"/>
          <w:lang w:val="sl-SI" w:eastAsia="sl-SI"/>
        </w:rPr>
      </w:pPr>
      <w:r w:rsidRPr="005771BD">
        <w:rPr>
          <w:rFonts w:cs="Arial"/>
          <w:bCs/>
          <w:i/>
          <w:iCs/>
          <w:szCs w:val="20"/>
          <w:lang w:val="sl-SI" w:eastAsia="sl-SI"/>
        </w:rPr>
        <w:t>Preglednica 1</w:t>
      </w:r>
      <w:r w:rsidR="00307F4E">
        <w:rPr>
          <w:rFonts w:cs="Arial"/>
          <w:bCs/>
          <w:i/>
          <w:iCs/>
          <w:szCs w:val="20"/>
          <w:lang w:val="sl-SI" w:eastAsia="sl-SI"/>
        </w:rPr>
        <w:t>6</w:t>
      </w:r>
      <w:r w:rsidRPr="005771BD">
        <w:rPr>
          <w:rFonts w:cs="Arial"/>
          <w:bCs/>
          <w:i/>
          <w:iCs/>
          <w:szCs w:val="20"/>
          <w:lang w:val="sl-SI" w:eastAsia="sl-SI"/>
        </w:rPr>
        <w:t>.2: Ocenjeni povprečni vnos kadmija po izbranih kategorijah živil, 2010</w:t>
      </w:r>
      <w:r>
        <w:rPr>
          <w:rFonts w:cs="Arial"/>
          <w:bCs/>
          <w:i/>
          <w:iCs/>
          <w:szCs w:val="20"/>
          <w:lang w:val="sl-SI" w:eastAsia="sl-SI"/>
        </w:rPr>
        <w:t>–</w:t>
      </w:r>
      <w:r w:rsidRPr="005771BD">
        <w:rPr>
          <w:rFonts w:cs="Arial"/>
          <w:bCs/>
          <w:i/>
          <w:iCs/>
          <w:szCs w:val="20"/>
          <w:lang w:val="sl-SI" w:eastAsia="sl-SI"/>
        </w:rPr>
        <w:t xml:space="preserve">2013, Slovenija (v µg/kg tm/teden), dopustni tedenski vnos za kadmij, TWI = 2,5 µg/kg tm/teden </w:t>
      </w:r>
    </w:p>
    <w:p w:rsidR="0057482E" w:rsidRPr="005771BD" w:rsidRDefault="0057482E" w:rsidP="0057482E">
      <w:pPr>
        <w:spacing w:after="120" w:line="240" w:lineRule="auto"/>
        <w:outlineLvl w:val="4"/>
        <w:rPr>
          <w:rFonts w:cs="Arial"/>
          <w:bCs/>
          <w:iCs/>
          <w:sz w:val="16"/>
          <w:szCs w:val="16"/>
          <w:lang w:val="sl-SI" w:eastAsia="sl-SI"/>
        </w:rPr>
      </w:pPr>
      <w:r w:rsidRPr="005771BD">
        <w:rPr>
          <w:rFonts w:cs="Arial"/>
          <w:bCs/>
          <w:i/>
          <w:iCs/>
          <w:sz w:val="16"/>
          <w:szCs w:val="16"/>
          <w:lang w:val="sl-SI" w:eastAsia="sl-SI"/>
        </w:rPr>
        <w:t>Vir:</w:t>
      </w:r>
      <w:r w:rsidRPr="005771BD">
        <w:rPr>
          <w:rFonts w:cs="Arial"/>
          <w:bCs/>
          <w:iCs/>
          <w:sz w:val="16"/>
          <w:szCs w:val="16"/>
          <w:lang w:val="sl-SI" w:eastAsia="sl-SI"/>
        </w:rPr>
        <w:t xml:space="preserve"> Poročila o izvajanju posameznih nalog, povezanih z uradnim nadzorom, ki ga izvajajo pristojni organi za leta 2010, 2011, 2012 in 2013 (v letu 2013 Uprava RS za varno hrano, veterinarstvo in varstvo rastlin)</w:t>
      </w:r>
      <w:r>
        <w:rPr>
          <w:rFonts w:cs="Arial"/>
          <w:bCs/>
          <w:iCs/>
          <w:sz w:val="16"/>
          <w:szCs w:val="16"/>
          <w:lang w:val="sl-SI" w:eastAsia="sl-SI"/>
        </w:rPr>
        <w:t>,</w:t>
      </w:r>
      <w:r w:rsidRPr="005771BD">
        <w:rPr>
          <w:rFonts w:cs="Arial"/>
          <w:bCs/>
          <w:iCs/>
          <w:sz w:val="16"/>
          <w:szCs w:val="16"/>
          <w:lang w:val="sl-SI" w:eastAsia="sl-SI"/>
        </w:rPr>
        <w:t xml:space="preserve"> in podatki SURS, </w:t>
      </w:r>
      <w:r>
        <w:rPr>
          <w:rFonts w:cs="Arial"/>
          <w:bCs/>
          <w:iCs/>
          <w:sz w:val="16"/>
          <w:szCs w:val="16"/>
          <w:lang w:val="sl-SI" w:eastAsia="sl-SI"/>
        </w:rPr>
        <w:t>a</w:t>
      </w:r>
      <w:r w:rsidRPr="005771BD">
        <w:rPr>
          <w:rFonts w:cs="Arial"/>
          <w:bCs/>
          <w:iCs/>
          <w:sz w:val="16"/>
          <w:szCs w:val="16"/>
          <w:lang w:val="sl-SI" w:eastAsia="sl-SI"/>
        </w:rPr>
        <w:t xml:space="preserve">nketa o porabi živil 2010, 2012. </w:t>
      </w:r>
    </w:p>
    <w:p w:rsidR="0057482E" w:rsidRPr="005771BD" w:rsidRDefault="0057482E" w:rsidP="0057482E">
      <w:pPr>
        <w:spacing w:after="120" w:line="240" w:lineRule="auto"/>
        <w:outlineLvl w:val="4"/>
        <w:rPr>
          <w:rFonts w:cs="Arial"/>
          <w:bCs/>
          <w:iCs/>
          <w:sz w:val="16"/>
          <w:szCs w:val="16"/>
          <w:lang w:val="sl-SI" w:eastAsia="sl-SI"/>
        </w:rPr>
      </w:pPr>
      <w:r w:rsidRPr="005771BD">
        <w:rPr>
          <w:rFonts w:cs="Arial"/>
          <w:iCs/>
          <w:sz w:val="16"/>
          <w:szCs w:val="16"/>
          <w:lang w:val="sl-SI" w:eastAsia="sl-SI"/>
        </w:rPr>
        <w:t>*tm – telesna masa</w:t>
      </w:r>
    </w:p>
    <w:tbl>
      <w:tblPr>
        <w:tblW w:w="0" w:type="auto"/>
        <w:tblCellSpacing w:w="15" w:type="dxa"/>
        <w:tblInd w:w="197" w:type="dxa"/>
        <w:tblBorders>
          <w:top w:val="single" w:sz="4" w:space="0" w:color="auto"/>
          <w:left w:val="single" w:sz="4" w:space="0" w:color="auto"/>
          <w:bottom w:val="single" w:sz="4" w:space="0" w:color="auto"/>
          <w:right w:val="single" w:sz="4" w:space="0" w:color="auto"/>
        </w:tblBorders>
        <w:tblCellMar>
          <w:top w:w="15" w:type="dxa"/>
          <w:left w:w="15" w:type="dxa"/>
          <w:bottom w:w="15" w:type="dxa"/>
          <w:right w:w="15" w:type="dxa"/>
        </w:tblCellMar>
        <w:tblLook w:val="04A0" w:firstRow="1" w:lastRow="0" w:firstColumn="1" w:lastColumn="0" w:noHBand="0" w:noVBand="1"/>
      </w:tblPr>
      <w:tblGrid>
        <w:gridCol w:w="1985"/>
        <w:gridCol w:w="1984"/>
        <w:gridCol w:w="1027"/>
        <w:gridCol w:w="1028"/>
        <w:gridCol w:w="1028"/>
        <w:gridCol w:w="1028"/>
      </w:tblGrid>
      <w:tr w:rsidR="0057482E" w:rsidRPr="005771BD" w:rsidTr="00E71CC6">
        <w:trPr>
          <w:tblHeader/>
          <w:tblCellSpacing w:w="15" w:type="dxa"/>
        </w:trPr>
        <w:tc>
          <w:tcPr>
            <w:tcW w:w="1940" w:type="dxa"/>
            <w:vAlign w:val="center"/>
            <w:hideMark/>
          </w:tcPr>
          <w:p w:rsidR="0057482E" w:rsidRPr="005771BD" w:rsidRDefault="0057482E" w:rsidP="00E71CC6">
            <w:pPr>
              <w:spacing w:line="240" w:lineRule="auto"/>
              <w:rPr>
                <w:rFonts w:eastAsiaTheme="minorHAnsi" w:cs="Arial"/>
                <w:szCs w:val="20"/>
                <w:lang w:val="sl-SI"/>
              </w:rPr>
            </w:pPr>
          </w:p>
        </w:tc>
        <w:tc>
          <w:tcPr>
            <w:tcW w:w="1954" w:type="dxa"/>
            <w:vAlign w:val="center"/>
            <w:hideMark/>
          </w:tcPr>
          <w:p w:rsidR="0057482E" w:rsidRPr="005771BD" w:rsidRDefault="0057482E" w:rsidP="00E71CC6">
            <w:pPr>
              <w:spacing w:line="240" w:lineRule="auto"/>
              <w:jc w:val="center"/>
              <w:rPr>
                <w:rFonts w:eastAsiaTheme="minorHAnsi" w:cs="Arial"/>
                <w:szCs w:val="20"/>
                <w:lang w:val="sl-SI"/>
              </w:rPr>
            </w:pPr>
          </w:p>
        </w:tc>
        <w:tc>
          <w:tcPr>
            <w:tcW w:w="997" w:type="dxa"/>
            <w:vAlign w:val="center"/>
            <w:hideMark/>
          </w:tcPr>
          <w:p w:rsidR="0057482E" w:rsidRPr="005771BD" w:rsidRDefault="0057482E" w:rsidP="00E71CC6">
            <w:pPr>
              <w:spacing w:line="240" w:lineRule="auto"/>
              <w:jc w:val="center"/>
              <w:rPr>
                <w:rFonts w:eastAsiaTheme="minorHAnsi" w:cs="Arial"/>
                <w:b/>
                <w:bCs/>
                <w:szCs w:val="20"/>
                <w:lang w:val="sl-SI"/>
              </w:rPr>
            </w:pPr>
            <w:r w:rsidRPr="005771BD">
              <w:rPr>
                <w:rFonts w:eastAsiaTheme="minorHAnsi" w:cs="Arial"/>
                <w:b/>
                <w:bCs/>
                <w:szCs w:val="20"/>
                <w:lang w:val="sl-SI"/>
              </w:rPr>
              <w:t>2010</w:t>
            </w:r>
          </w:p>
        </w:tc>
        <w:tc>
          <w:tcPr>
            <w:tcW w:w="998" w:type="dxa"/>
            <w:vAlign w:val="center"/>
            <w:hideMark/>
          </w:tcPr>
          <w:p w:rsidR="0057482E" w:rsidRPr="005771BD" w:rsidRDefault="0057482E" w:rsidP="00E71CC6">
            <w:pPr>
              <w:spacing w:line="240" w:lineRule="auto"/>
              <w:jc w:val="center"/>
              <w:rPr>
                <w:rFonts w:eastAsiaTheme="minorHAnsi" w:cs="Arial"/>
                <w:b/>
                <w:bCs/>
                <w:szCs w:val="20"/>
                <w:lang w:val="sl-SI"/>
              </w:rPr>
            </w:pPr>
            <w:r w:rsidRPr="005771BD">
              <w:rPr>
                <w:rFonts w:eastAsiaTheme="minorHAnsi" w:cs="Arial"/>
                <w:b/>
                <w:bCs/>
                <w:szCs w:val="20"/>
                <w:lang w:val="sl-SI"/>
              </w:rPr>
              <w:t>2011</w:t>
            </w:r>
          </w:p>
        </w:tc>
        <w:tc>
          <w:tcPr>
            <w:tcW w:w="998" w:type="dxa"/>
            <w:vAlign w:val="center"/>
            <w:hideMark/>
          </w:tcPr>
          <w:p w:rsidR="0057482E" w:rsidRPr="005771BD" w:rsidRDefault="0057482E" w:rsidP="00E71CC6">
            <w:pPr>
              <w:spacing w:line="240" w:lineRule="auto"/>
              <w:jc w:val="center"/>
              <w:rPr>
                <w:rFonts w:eastAsiaTheme="minorHAnsi" w:cs="Arial"/>
                <w:b/>
                <w:bCs/>
                <w:szCs w:val="20"/>
                <w:lang w:val="sl-SI"/>
              </w:rPr>
            </w:pPr>
            <w:r w:rsidRPr="005771BD">
              <w:rPr>
                <w:rFonts w:eastAsiaTheme="minorHAnsi" w:cs="Arial"/>
                <w:b/>
                <w:bCs/>
                <w:szCs w:val="20"/>
                <w:lang w:val="sl-SI"/>
              </w:rPr>
              <w:t>2012</w:t>
            </w:r>
          </w:p>
        </w:tc>
        <w:tc>
          <w:tcPr>
            <w:tcW w:w="983" w:type="dxa"/>
            <w:vAlign w:val="center"/>
            <w:hideMark/>
          </w:tcPr>
          <w:p w:rsidR="0057482E" w:rsidRPr="005771BD" w:rsidRDefault="0057482E" w:rsidP="00E71CC6">
            <w:pPr>
              <w:spacing w:line="240" w:lineRule="auto"/>
              <w:jc w:val="center"/>
              <w:rPr>
                <w:rFonts w:eastAsiaTheme="minorHAnsi" w:cs="Arial"/>
                <w:b/>
                <w:bCs/>
                <w:szCs w:val="20"/>
                <w:lang w:val="sl-SI"/>
              </w:rPr>
            </w:pPr>
            <w:r w:rsidRPr="005771BD">
              <w:rPr>
                <w:rFonts w:eastAsiaTheme="minorHAnsi" w:cs="Arial"/>
                <w:b/>
                <w:bCs/>
                <w:szCs w:val="20"/>
                <w:lang w:val="sl-SI"/>
              </w:rPr>
              <w:t>2013</w:t>
            </w:r>
          </w:p>
        </w:tc>
      </w:tr>
      <w:tr w:rsidR="0057482E" w:rsidRPr="005771BD" w:rsidTr="00E71CC6">
        <w:trPr>
          <w:tblHeader/>
          <w:tblCellSpacing w:w="15" w:type="dxa"/>
        </w:trPr>
        <w:tc>
          <w:tcPr>
            <w:tcW w:w="1940" w:type="dxa"/>
            <w:tcBorders>
              <w:top w:val="single" w:sz="4" w:space="0" w:color="auto"/>
              <w:bottom w:val="nil"/>
              <w:right w:val="single" w:sz="4" w:space="0" w:color="auto"/>
            </w:tcBorders>
            <w:vAlign w:val="center"/>
            <w:hideMark/>
          </w:tcPr>
          <w:p w:rsidR="0057482E" w:rsidRPr="005771BD" w:rsidRDefault="0057482E" w:rsidP="00E71CC6">
            <w:pPr>
              <w:spacing w:line="240" w:lineRule="auto"/>
              <w:rPr>
                <w:rFonts w:eastAsiaTheme="minorHAnsi" w:cs="Arial"/>
                <w:szCs w:val="20"/>
                <w:lang w:val="sl-SI"/>
              </w:rPr>
            </w:pPr>
            <w:r w:rsidRPr="005771BD">
              <w:rPr>
                <w:rFonts w:eastAsiaTheme="minorHAnsi" w:cs="Arial"/>
                <w:szCs w:val="20"/>
                <w:lang w:val="sl-SI"/>
              </w:rPr>
              <w:t>Zelenjava</w:t>
            </w:r>
          </w:p>
        </w:tc>
        <w:tc>
          <w:tcPr>
            <w:tcW w:w="1954" w:type="dxa"/>
            <w:tcBorders>
              <w:top w:val="single" w:sz="4" w:space="0" w:color="auto"/>
              <w:bottom w:val="nil"/>
              <w:right w:val="single" w:sz="4" w:space="0" w:color="auto"/>
            </w:tcBorders>
            <w:vAlign w:val="center"/>
            <w:hideMark/>
          </w:tcPr>
          <w:p w:rsidR="0057482E" w:rsidRPr="005771BD" w:rsidRDefault="0057482E" w:rsidP="00E71CC6">
            <w:pPr>
              <w:spacing w:line="240" w:lineRule="auto"/>
              <w:rPr>
                <w:rFonts w:eastAsiaTheme="minorHAnsi" w:cs="Arial"/>
                <w:szCs w:val="20"/>
                <w:lang w:val="sl-SI"/>
              </w:rPr>
            </w:pPr>
            <w:r w:rsidRPr="005771BD">
              <w:rPr>
                <w:rFonts w:eastAsiaTheme="minorHAnsi" w:cs="Arial"/>
                <w:szCs w:val="20"/>
                <w:lang w:val="sl-SI"/>
              </w:rPr>
              <w:t>µg Cd/kg tm/teden</w:t>
            </w:r>
          </w:p>
        </w:tc>
        <w:tc>
          <w:tcPr>
            <w:tcW w:w="997" w:type="dxa"/>
            <w:tcBorders>
              <w:top w:val="single" w:sz="4" w:space="0" w:color="auto"/>
              <w:bottom w:val="nil"/>
              <w:right w:val="single" w:sz="4" w:space="0" w:color="auto"/>
            </w:tcBorders>
            <w:vAlign w:val="center"/>
            <w:hideMark/>
          </w:tcPr>
          <w:p w:rsidR="0057482E" w:rsidRPr="005771BD" w:rsidRDefault="0057482E" w:rsidP="00E71CC6">
            <w:pPr>
              <w:spacing w:line="240" w:lineRule="auto"/>
              <w:jc w:val="center"/>
              <w:rPr>
                <w:rFonts w:eastAsiaTheme="minorHAnsi" w:cs="Arial"/>
                <w:szCs w:val="20"/>
                <w:lang w:val="sl-SI"/>
              </w:rPr>
            </w:pPr>
            <w:r w:rsidRPr="005771BD">
              <w:rPr>
                <w:rFonts w:eastAsiaTheme="minorHAnsi" w:cs="Arial"/>
                <w:szCs w:val="20"/>
                <w:lang w:val="sl-SI"/>
              </w:rPr>
              <w:t>0.17</w:t>
            </w:r>
          </w:p>
        </w:tc>
        <w:tc>
          <w:tcPr>
            <w:tcW w:w="998" w:type="dxa"/>
            <w:tcBorders>
              <w:top w:val="single" w:sz="4" w:space="0" w:color="auto"/>
              <w:bottom w:val="nil"/>
              <w:right w:val="single" w:sz="4" w:space="0" w:color="auto"/>
            </w:tcBorders>
            <w:vAlign w:val="center"/>
            <w:hideMark/>
          </w:tcPr>
          <w:p w:rsidR="0057482E" w:rsidRPr="005771BD" w:rsidRDefault="0057482E" w:rsidP="00E71CC6">
            <w:pPr>
              <w:spacing w:line="240" w:lineRule="auto"/>
              <w:jc w:val="center"/>
              <w:rPr>
                <w:rFonts w:eastAsiaTheme="minorHAnsi" w:cs="Arial"/>
                <w:szCs w:val="20"/>
                <w:lang w:val="sl-SI"/>
              </w:rPr>
            </w:pPr>
            <w:r w:rsidRPr="005771BD">
              <w:rPr>
                <w:rFonts w:eastAsiaTheme="minorHAnsi" w:cs="Arial"/>
                <w:szCs w:val="20"/>
                <w:lang w:val="sl-SI"/>
              </w:rPr>
              <w:t>0.15</w:t>
            </w:r>
          </w:p>
        </w:tc>
        <w:tc>
          <w:tcPr>
            <w:tcW w:w="998" w:type="dxa"/>
            <w:tcBorders>
              <w:top w:val="single" w:sz="4" w:space="0" w:color="auto"/>
              <w:bottom w:val="nil"/>
              <w:right w:val="single" w:sz="4" w:space="0" w:color="auto"/>
            </w:tcBorders>
            <w:vAlign w:val="center"/>
            <w:hideMark/>
          </w:tcPr>
          <w:p w:rsidR="0057482E" w:rsidRPr="005771BD" w:rsidRDefault="0057482E" w:rsidP="00E71CC6">
            <w:pPr>
              <w:spacing w:line="240" w:lineRule="auto"/>
              <w:jc w:val="center"/>
              <w:rPr>
                <w:rFonts w:eastAsiaTheme="minorHAnsi" w:cs="Arial"/>
                <w:szCs w:val="20"/>
                <w:lang w:val="sl-SI"/>
              </w:rPr>
            </w:pPr>
            <w:r w:rsidRPr="005771BD">
              <w:rPr>
                <w:rFonts w:eastAsiaTheme="minorHAnsi" w:cs="Arial"/>
                <w:szCs w:val="20"/>
                <w:lang w:val="sl-SI"/>
              </w:rPr>
              <w:t>0.17</w:t>
            </w:r>
          </w:p>
        </w:tc>
        <w:tc>
          <w:tcPr>
            <w:tcW w:w="983" w:type="dxa"/>
            <w:tcBorders>
              <w:top w:val="single" w:sz="4" w:space="0" w:color="auto"/>
              <w:bottom w:val="nil"/>
            </w:tcBorders>
            <w:vAlign w:val="center"/>
            <w:hideMark/>
          </w:tcPr>
          <w:p w:rsidR="0057482E" w:rsidRPr="005771BD" w:rsidRDefault="0057482E" w:rsidP="00E71CC6">
            <w:pPr>
              <w:spacing w:line="240" w:lineRule="auto"/>
              <w:jc w:val="center"/>
              <w:rPr>
                <w:rFonts w:eastAsiaTheme="minorHAnsi" w:cs="Arial"/>
                <w:szCs w:val="20"/>
                <w:lang w:val="sl-SI"/>
              </w:rPr>
            </w:pPr>
            <w:r w:rsidRPr="005771BD">
              <w:rPr>
                <w:rFonts w:eastAsiaTheme="minorHAnsi" w:cs="Arial"/>
                <w:szCs w:val="20"/>
                <w:lang w:val="sl-SI"/>
              </w:rPr>
              <w:t>0.21</w:t>
            </w:r>
          </w:p>
        </w:tc>
      </w:tr>
      <w:tr w:rsidR="0057482E" w:rsidRPr="005771BD" w:rsidTr="00E71CC6">
        <w:trPr>
          <w:tblHeader/>
          <w:tblCellSpacing w:w="15" w:type="dxa"/>
        </w:trPr>
        <w:tc>
          <w:tcPr>
            <w:tcW w:w="1940" w:type="dxa"/>
            <w:tcBorders>
              <w:top w:val="nil"/>
              <w:bottom w:val="nil"/>
              <w:right w:val="single" w:sz="4" w:space="0" w:color="auto"/>
            </w:tcBorders>
            <w:vAlign w:val="center"/>
            <w:hideMark/>
          </w:tcPr>
          <w:p w:rsidR="0057482E" w:rsidRPr="005771BD" w:rsidRDefault="0057482E" w:rsidP="00E71CC6">
            <w:pPr>
              <w:spacing w:line="240" w:lineRule="auto"/>
              <w:rPr>
                <w:rFonts w:eastAsiaTheme="minorHAnsi" w:cs="Arial"/>
                <w:szCs w:val="20"/>
                <w:lang w:val="sl-SI"/>
              </w:rPr>
            </w:pPr>
            <w:r w:rsidRPr="005771BD">
              <w:rPr>
                <w:rFonts w:eastAsiaTheme="minorHAnsi" w:cs="Arial"/>
                <w:szCs w:val="20"/>
                <w:lang w:val="sl-SI"/>
              </w:rPr>
              <w:t>krompir in korenovke</w:t>
            </w:r>
          </w:p>
        </w:tc>
        <w:tc>
          <w:tcPr>
            <w:tcW w:w="1954" w:type="dxa"/>
            <w:tcBorders>
              <w:top w:val="nil"/>
              <w:bottom w:val="nil"/>
              <w:right w:val="single" w:sz="4" w:space="0" w:color="auto"/>
            </w:tcBorders>
            <w:vAlign w:val="center"/>
            <w:hideMark/>
          </w:tcPr>
          <w:p w:rsidR="0057482E" w:rsidRPr="005771BD" w:rsidRDefault="0057482E" w:rsidP="00E71CC6">
            <w:pPr>
              <w:spacing w:line="240" w:lineRule="auto"/>
              <w:rPr>
                <w:rFonts w:eastAsiaTheme="minorHAnsi" w:cs="Arial"/>
                <w:szCs w:val="20"/>
                <w:lang w:val="sl-SI"/>
              </w:rPr>
            </w:pPr>
            <w:r w:rsidRPr="005771BD">
              <w:rPr>
                <w:rFonts w:eastAsiaTheme="minorHAnsi" w:cs="Arial"/>
                <w:szCs w:val="20"/>
                <w:lang w:val="sl-SI"/>
              </w:rPr>
              <w:t>µg Cd/kg tm/teden</w:t>
            </w:r>
          </w:p>
        </w:tc>
        <w:tc>
          <w:tcPr>
            <w:tcW w:w="997" w:type="dxa"/>
            <w:tcBorders>
              <w:top w:val="nil"/>
              <w:bottom w:val="nil"/>
              <w:right w:val="single" w:sz="4" w:space="0" w:color="auto"/>
            </w:tcBorders>
            <w:vAlign w:val="center"/>
            <w:hideMark/>
          </w:tcPr>
          <w:p w:rsidR="0057482E" w:rsidRPr="005771BD" w:rsidRDefault="0057482E" w:rsidP="00E71CC6">
            <w:pPr>
              <w:spacing w:line="240" w:lineRule="auto"/>
              <w:jc w:val="center"/>
              <w:rPr>
                <w:rFonts w:eastAsiaTheme="minorHAnsi" w:cs="Arial"/>
                <w:szCs w:val="20"/>
                <w:lang w:val="sl-SI"/>
              </w:rPr>
            </w:pPr>
            <w:r w:rsidRPr="005771BD">
              <w:rPr>
                <w:rFonts w:eastAsiaTheme="minorHAnsi" w:cs="Arial"/>
                <w:szCs w:val="20"/>
                <w:lang w:val="sl-SI"/>
              </w:rPr>
              <w:t>0.51</w:t>
            </w:r>
          </w:p>
        </w:tc>
        <w:tc>
          <w:tcPr>
            <w:tcW w:w="998" w:type="dxa"/>
            <w:tcBorders>
              <w:top w:val="nil"/>
              <w:bottom w:val="nil"/>
              <w:right w:val="single" w:sz="4" w:space="0" w:color="auto"/>
            </w:tcBorders>
            <w:vAlign w:val="center"/>
            <w:hideMark/>
          </w:tcPr>
          <w:p w:rsidR="0057482E" w:rsidRPr="005771BD" w:rsidRDefault="0057482E" w:rsidP="00E71CC6">
            <w:pPr>
              <w:spacing w:line="240" w:lineRule="auto"/>
              <w:jc w:val="center"/>
              <w:rPr>
                <w:rFonts w:eastAsiaTheme="minorHAnsi" w:cs="Arial"/>
                <w:szCs w:val="20"/>
                <w:lang w:val="sl-SI"/>
              </w:rPr>
            </w:pPr>
            <w:r w:rsidRPr="005771BD">
              <w:rPr>
                <w:rFonts w:eastAsiaTheme="minorHAnsi" w:cs="Arial"/>
                <w:szCs w:val="20"/>
                <w:lang w:val="sl-SI"/>
              </w:rPr>
              <w:t>0.56</w:t>
            </w:r>
          </w:p>
        </w:tc>
        <w:tc>
          <w:tcPr>
            <w:tcW w:w="998" w:type="dxa"/>
            <w:tcBorders>
              <w:top w:val="nil"/>
              <w:bottom w:val="nil"/>
              <w:right w:val="single" w:sz="4" w:space="0" w:color="auto"/>
            </w:tcBorders>
            <w:vAlign w:val="center"/>
            <w:hideMark/>
          </w:tcPr>
          <w:p w:rsidR="0057482E" w:rsidRPr="005771BD" w:rsidRDefault="0057482E" w:rsidP="00E71CC6">
            <w:pPr>
              <w:spacing w:line="240" w:lineRule="auto"/>
              <w:jc w:val="center"/>
              <w:rPr>
                <w:rFonts w:eastAsiaTheme="minorHAnsi" w:cs="Arial"/>
                <w:szCs w:val="20"/>
                <w:lang w:val="sl-SI"/>
              </w:rPr>
            </w:pPr>
            <w:r w:rsidRPr="005771BD">
              <w:rPr>
                <w:rFonts w:eastAsiaTheme="minorHAnsi" w:cs="Arial"/>
                <w:szCs w:val="20"/>
                <w:lang w:val="sl-SI"/>
              </w:rPr>
              <w:t>0.45</w:t>
            </w:r>
          </w:p>
        </w:tc>
        <w:tc>
          <w:tcPr>
            <w:tcW w:w="983" w:type="dxa"/>
            <w:tcBorders>
              <w:top w:val="nil"/>
              <w:bottom w:val="nil"/>
            </w:tcBorders>
            <w:vAlign w:val="center"/>
            <w:hideMark/>
          </w:tcPr>
          <w:p w:rsidR="0057482E" w:rsidRPr="005771BD" w:rsidRDefault="0057482E" w:rsidP="00E71CC6">
            <w:pPr>
              <w:spacing w:line="240" w:lineRule="auto"/>
              <w:jc w:val="center"/>
              <w:rPr>
                <w:rFonts w:eastAsiaTheme="minorHAnsi" w:cs="Arial"/>
                <w:szCs w:val="20"/>
                <w:lang w:val="sl-SI"/>
              </w:rPr>
            </w:pPr>
            <w:r w:rsidRPr="005771BD">
              <w:rPr>
                <w:rFonts w:eastAsiaTheme="minorHAnsi" w:cs="Arial"/>
                <w:szCs w:val="20"/>
                <w:lang w:val="sl-SI"/>
              </w:rPr>
              <w:t>0.38</w:t>
            </w:r>
          </w:p>
        </w:tc>
      </w:tr>
      <w:tr w:rsidR="0057482E" w:rsidRPr="005771BD" w:rsidTr="00E71CC6">
        <w:trPr>
          <w:tblHeader/>
          <w:tblCellSpacing w:w="15" w:type="dxa"/>
        </w:trPr>
        <w:tc>
          <w:tcPr>
            <w:tcW w:w="1940" w:type="dxa"/>
            <w:tcBorders>
              <w:top w:val="nil"/>
              <w:bottom w:val="nil"/>
              <w:right w:val="single" w:sz="4" w:space="0" w:color="auto"/>
            </w:tcBorders>
            <w:vAlign w:val="center"/>
            <w:hideMark/>
          </w:tcPr>
          <w:p w:rsidR="0057482E" w:rsidRPr="005771BD" w:rsidRDefault="0057482E" w:rsidP="00E71CC6">
            <w:pPr>
              <w:spacing w:line="240" w:lineRule="auto"/>
              <w:rPr>
                <w:rFonts w:eastAsiaTheme="minorHAnsi" w:cs="Arial"/>
                <w:szCs w:val="20"/>
                <w:lang w:val="sl-SI"/>
              </w:rPr>
            </w:pPr>
            <w:r w:rsidRPr="005771BD">
              <w:rPr>
                <w:rFonts w:eastAsiaTheme="minorHAnsi" w:cs="Arial"/>
                <w:szCs w:val="20"/>
                <w:lang w:val="sl-SI"/>
              </w:rPr>
              <w:t>žita in izdelki</w:t>
            </w:r>
          </w:p>
        </w:tc>
        <w:tc>
          <w:tcPr>
            <w:tcW w:w="1954" w:type="dxa"/>
            <w:tcBorders>
              <w:top w:val="nil"/>
              <w:bottom w:val="nil"/>
              <w:right w:val="single" w:sz="4" w:space="0" w:color="auto"/>
            </w:tcBorders>
            <w:vAlign w:val="center"/>
            <w:hideMark/>
          </w:tcPr>
          <w:p w:rsidR="0057482E" w:rsidRPr="005771BD" w:rsidRDefault="0057482E" w:rsidP="00E71CC6">
            <w:pPr>
              <w:spacing w:line="240" w:lineRule="auto"/>
              <w:rPr>
                <w:rFonts w:eastAsiaTheme="minorHAnsi" w:cs="Arial"/>
                <w:szCs w:val="20"/>
                <w:lang w:val="sl-SI"/>
              </w:rPr>
            </w:pPr>
            <w:r w:rsidRPr="005771BD">
              <w:rPr>
                <w:rFonts w:eastAsiaTheme="minorHAnsi" w:cs="Arial"/>
                <w:szCs w:val="20"/>
                <w:lang w:val="sl-SI"/>
              </w:rPr>
              <w:t>µg Cd/kg tm/teden</w:t>
            </w:r>
          </w:p>
        </w:tc>
        <w:tc>
          <w:tcPr>
            <w:tcW w:w="997" w:type="dxa"/>
            <w:tcBorders>
              <w:top w:val="nil"/>
              <w:bottom w:val="nil"/>
              <w:right w:val="single" w:sz="4" w:space="0" w:color="auto"/>
            </w:tcBorders>
            <w:vAlign w:val="center"/>
            <w:hideMark/>
          </w:tcPr>
          <w:p w:rsidR="0057482E" w:rsidRPr="005771BD" w:rsidRDefault="0057482E" w:rsidP="00E71CC6">
            <w:pPr>
              <w:spacing w:line="240" w:lineRule="auto"/>
              <w:jc w:val="center"/>
              <w:rPr>
                <w:rFonts w:eastAsiaTheme="minorHAnsi" w:cs="Arial"/>
                <w:szCs w:val="20"/>
                <w:lang w:val="sl-SI"/>
              </w:rPr>
            </w:pPr>
            <w:r w:rsidRPr="005771BD">
              <w:rPr>
                <w:rFonts w:eastAsiaTheme="minorHAnsi" w:cs="Arial"/>
                <w:szCs w:val="20"/>
                <w:lang w:val="sl-SI"/>
              </w:rPr>
              <w:t>0.55</w:t>
            </w:r>
          </w:p>
        </w:tc>
        <w:tc>
          <w:tcPr>
            <w:tcW w:w="998" w:type="dxa"/>
            <w:tcBorders>
              <w:top w:val="nil"/>
              <w:bottom w:val="nil"/>
              <w:right w:val="single" w:sz="4" w:space="0" w:color="auto"/>
            </w:tcBorders>
            <w:vAlign w:val="center"/>
            <w:hideMark/>
          </w:tcPr>
          <w:p w:rsidR="0057482E" w:rsidRPr="005771BD" w:rsidRDefault="0057482E" w:rsidP="00E71CC6">
            <w:pPr>
              <w:spacing w:line="240" w:lineRule="auto"/>
              <w:jc w:val="center"/>
              <w:rPr>
                <w:rFonts w:eastAsiaTheme="minorHAnsi" w:cs="Arial"/>
                <w:szCs w:val="20"/>
                <w:lang w:val="sl-SI"/>
              </w:rPr>
            </w:pPr>
            <w:r w:rsidRPr="005771BD">
              <w:rPr>
                <w:rFonts w:eastAsiaTheme="minorHAnsi" w:cs="Arial"/>
                <w:szCs w:val="20"/>
                <w:lang w:val="sl-SI"/>
              </w:rPr>
              <w:t>0.78</w:t>
            </w:r>
          </w:p>
        </w:tc>
        <w:tc>
          <w:tcPr>
            <w:tcW w:w="998" w:type="dxa"/>
            <w:tcBorders>
              <w:top w:val="nil"/>
              <w:bottom w:val="nil"/>
              <w:right w:val="single" w:sz="4" w:space="0" w:color="auto"/>
            </w:tcBorders>
            <w:vAlign w:val="center"/>
            <w:hideMark/>
          </w:tcPr>
          <w:p w:rsidR="0057482E" w:rsidRPr="005771BD" w:rsidRDefault="0057482E" w:rsidP="00E71CC6">
            <w:pPr>
              <w:spacing w:line="240" w:lineRule="auto"/>
              <w:jc w:val="center"/>
              <w:rPr>
                <w:rFonts w:eastAsiaTheme="minorHAnsi" w:cs="Arial"/>
                <w:szCs w:val="20"/>
                <w:lang w:val="sl-SI"/>
              </w:rPr>
            </w:pPr>
            <w:r w:rsidRPr="005771BD">
              <w:rPr>
                <w:rFonts w:eastAsiaTheme="minorHAnsi" w:cs="Arial"/>
                <w:szCs w:val="20"/>
                <w:lang w:val="sl-SI"/>
              </w:rPr>
              <w:t>0.92</w:t>
            </w:r>
          </w:p>
        </w:tc>
        <w:tc>
          <w:tcPr>
            <w:tcW w:w="983" w:type="dxa"/>
            <w:tcBorders>
              <w:top w:val="nil"/>
              <w:bottom w:val="nil"/>
            </w:tcBorders>
            <w:vAlign w:val="center"/>
            <w:hideMark/>
          </w:tcPr>
          <w:p w:rsidR="0057482E" w:rsidRPr="005771BD" w:rsidRDefault="0057482E" w:rsidP="00E71CC6">
            <w:pPr>
              <w:spacing w:line="240" w:lineRule="auto"/>
              <w:jc w:val="center"/>
              <w:rPr>
                <w:rFonts w:eastAsiaTheme="minorHAnsi" w:cs="Arial"/>
                <w:szCs w:val="20"/>
                <w:lang w:val="sl-SI"/>
              </w:rPr>
            </w:pPr>
            <w:r w:rsidRPr="005771BD">
              <w:rPr>
                <w:rFonts w:eastAsiaTheme="minorHAnsi" w:cs="Arial"/>
                <w:szCs w:val="20"/>
                <w:lang w:val="sl-SI"/>
              </w:rPr>
              <w:t>0.69</w:t>
            </w:r>
          </w:p>
        </w:tc>
      </w:tr>
      <w:tr w:rsidR="0057482E" w:rsidRPr="005771BD" w:rsidTr="00E71CC6">
        <w:trPr>
          <w:tblHeader/>
          <w:tblCellSpacing w:w="15" w:type="dxa"/>
        </w:trPr>
        <w:tc>
          <w:tcPr>
            <w:tcW w:w="1940" w:type="dxa"/>
            <w:tcBorders>
              <w:top w:val="nil"/>
              <w:bottom w:val="nil"/>
              <w:right w:val="single" w:sz="4" w:space="0" w:color="auto"/>
            </w:tcBorders>
            <w:vAlign w:val="center"/>
            <w:hideMark/>
          </w:tcPr>
          <w:p w:rsidR="0057482E" w:rsidRPr="005771BD" w:rsidRDefault="0057482E" w:rsidP="00E71CC6">
            <w:pPr>
              <w:spacing w:line="240" w:lineRule="auto"/>
              <w:rPr>
                <w:rFonts w:eastAsiaTheme="minorHAnsi" w:cs="Arial"/>
                <w:szCs w:val="20"/>
                <w:lang w:val="sl-SI"/>
              </w:rPr>
            </w:pPr>
            <w:r w:rsidRPr="005771BD">
              <w:rPr>
                <w:rFonts w:eastAsiaTheme="minorHAnsi" w:cs="Arial"/>
                <w:szCs w:val="20"/>
                <w:lang w:val="sl-SI"/>
              </w:rPr>
              <w:t>meso in drobovina</w:t>
            </w:r>
          </w:p>
        </w:tc>
        <w:tc>
          <w:tcPr>
            <w:tcW w:w="1954" w:type="dxa"/>
            <w:tcBorders>
              <w:top w:val="nil"/>
              <w:bottom w:val="nil"/>
              <w:right w:val="single" w:sz="4" w:space="0" w:color="auto"/>
            </w:tcBorders>
            <w:vAlign w:val="center"/>
            <w:hideMark/>
          </w:tcPr>
          <w:p w:rsidR="0057482E" w:rsidRPr="005771BD" w:rsidRDefault="0057482E" w:rsidP="00E71CC6">
            <w:pPr>
              <w:spacing w:line="240" w:lineRule="auto"/>
              <w:rPr>
                <w:rFonts w:eastAsiaTheme="minorHAnsi" w:cs="Arial"/>
                <w:szCs w:val="20"/>
                <w:lang w:val="sl-SI"/>
              </w:rPr>
            </w:pPr>
            <w:r w:rsidRPr="005771BD">
              <w:rPr>
                <w:rFonts w:eastAsiaTheme="minorHAnsi" w:cs="Arial"/>
                <w:szCs w:val="20"/>
                <w:lang w:val="sl-SI"/>
              </w:rPr>
              <w:t>µg Cd/kg tm/teden</w:t>
            </w:r>
          </w:p>
        </w:tc>
        <w:tc>
          <w:tcPr>
            <w:tcW w:w="997" w:type="dxa"/>
            <w:tcBorders>
              <w:top w:val="nil"/>
              <w:bottom w:val="nil"/>
              <w:right w:val="single" w:sz="4" w:space="0" w:color="auto"/>
            </w:tcBorders>
            <w:vAlign w:val="center"/>
            <w:hideMark/>
          </w:tcPr>
          <w:p w:rsidR="0057482E" w:rsidRPr="005771BD" w:rsidRDefault="0057482E" w:rsidP="00E71CC6">
            <w:pPr>
              <w:spacing w:line="240" w:lineRule="auto"/>
              <w:jc w:val="center"/>
              <w:rPr>
                <w:rFonts w:eastAsiaTheme="minorHAnsi" w:cs="Arial"/>
                <w:szCs w:val="20"/>
                <w:lang w:val="sl-SI"/>
              </w:rPr>
            </w:pPr>
            <w:r w:rsidRPr="005771BD">
              <w:rPr>
                <w:rFonts w:eastAsiaTheme="minorHAnsi" w:cs="Arial"/>
                <w:szCs w:val="20"/>
                <w:lang w:val="sl-SI"/>
              </w:rPr>
              <w:t>0.38</w:t>
            </w:r>
          </w:p>
        </w:tc>
        <w:tc>
          <w:tcPr>
            <w:tcW w:w="998" w:type="dxa"/>
            <w:tcBorders>
              <w:top w:val="nil"/>
              <w:bottom w:val="nil"/>
              <w:right w:val="single" w:sz="4" w:space="0" w:color="auto"/>
            </w:tcBorders>
            <w:vAlign w:val="center"/>
            <w:hideMark/>
          </w:tcPr>
          <w:p w:rsidR="0057482E" w:rsidRPr="005771BD" w:rsidRDefault="0057482E" w:rsidP="00E71CC6">
            <w:pPr>
              <w:spacing w:line="240" w:lineRule="auto"/>
              <w:jc w:val="center"/>
              <w:rPr>
                <w:rFonts w:eastAsiaTheme="minorHAnsi" w:cs="Arial"/>
                <w:szCs w:val="20"/>
                <w:lang w:val="sl-SI"/>
              </w:rPr>
            </w:pPr>
            <w:r w:rsidRPr="005771BD">
              <w:rPr>
                <w:rFonts w:eastAsiaTheme="minorHAnsi" w:cs="Arial"/>
                <w:szCs w:val="20"/>
                <w:lang w:val="sl-SI"/>
              </w:rPr>
              <w:t>0.29</w:t>
            </w:r>
          </w:p>
        </w:tc>
        <w:tc>
          <w:tcPr>
            <w:tcW w:w="998" w:type="dxa"/>
            <w:tcBorders>
              <w:top w:val="nil"/>
              <w:bottom w:val="nil"/>
              <w:right w:val="single" w:sz="4" w:space="0" w:color="auto"/>
            </w:tcBorders>
            <w:vAlign w:val="center"/>
            <w:hideMark/>
          </w:tcPr>
          <w:p w:rsidR="0057482E" w:rsidRPr="005771BD" w:rsidRDefault="0057482E" w:rsidP="00E71CC6">
            <w:pPr>
              <w:spacing w:line="240" w:lineRule="auto"/>
              <w:jc w:val="center"/>
              <w:rPr>
                <w:rFonts w:eastAsiaTheme="minorHAnsi" w:cs="Arial"/>
                <w:szCs w:val="20"/>
                <w:lang w:val="sl-SI"/>
              </w:rPr>
            </w:pPr>
            <w:r w:rsidRPr="005771BD">
              <w:rPr>
                <w:rFonts w:eastAsiaTheme="minorHAnsi" w:cs="Arial"/>
                <w:szCs w:val="20"/>
                <w:lang w:val="sl-SI"/>
              </w:rPr>
              <w:t>0.22</w:t>
            </w:r>
          </w:p>
        </w:tc>
        <w:tc>
          <w:tcPr>
            <w:tcW w:w="983" w:type="dxa"/>
            <w:tcBorders>
              <w:top w:val="nil"/>
              <w:bottom w:val="nil"/>
            </w:tcBorders>
            <w:vAlign w:val="center"/>
            <w:hideMark/>
          </w:tcPr>
          <w:p w:rsidR="0057482E" w:rsidRPr="005771BD" w:rsidRDefault="0057482E" w:rsidP="00E71CC6">
            <w:pPr>
              <w:spacing w:line="240" w:lineRule="auto"/>
              <w:jc w:val="center"/>
              <w:rPr>
                <w:rFonts w:eastAsiaTheme="minorHAnsi" w:cs="Arial"/>
                <w:szCs w:val="20"/>
                <w:lang w:val="sl-SI"/>
              </w:rPr>
            </w:pPr>
            <w:r w:rsidRPr="005771BD">
              <w:rPr>
                <w:rFonts w:eastAsiaTheme="minorHAnsi" w:cs="Arial"/>
                <w:szCs w:val="20"/>
                <w:lang w:val="sl-SI"/>
              </w:rPr>
              <w:t>0.19</w:t>
            </w:r>
          </w:p>
        </w:tc>
      </w:tr>
      <w:tr w:rsidR="0057482E" w:rsidRPr="005771BD" w:rsidTr="00E71CC6">
        <w:trPr>
          <w:tblHeader/>
          <w:tblCellSpacing w:w="15" w:type="dxa"/>
        </w:trPr>
        <w:tc>
          <w:tcPr>
            <w:tcW w:w="1940" w:type="dxa"/>
            <w:tcBorders>
              <w:top w:val="nil"/>
              <w:bottom w:val="single" w:sz="4" w:space="0" w:color="auto"/>
              <w:right w:val="single" w:sz="4" w:space="0" w:color="auto"/>
            </w:tcBorders>
            <w:vAlign w:val="center"/>
            <w:hideMark/>
          </w:tcPr>
          <w:p w:rsidR="0057482E" w:rsidRPr="005771BD" w:rsidRDefault="0057482E" w:rsidP="00E71CC6">
            <w:pPr>
              <w:spacing w:line="240" w:lineRule="auto"/>
              <w:rPr>
                <w:rFonts w:eastAsiaTheme="minorHAnsi" w:cs="Arial"/>
                <w:szCs w:val="20"/>
                <w:lang w:val="sl-SI"/>
              </w:rPr>
            </w:pPr>
            <w:r w:rsidRPr="005771BD">
              <w:rPr>
                <w:rFonts w:eastAsiaTheme="minorHAnsi" w:cs="Arial"/>
                <w:szCs w:val="20"/>
                <w:lang w:val="sl-SI"/>
              </w:rPr>
              <w:t>ribe in mehkužci</w:t>
            </w:r>
          </w:p>
        </w:tc>
        <w:tc>
          <w:tcPr>
            <w:tcW w:w="1954" w:type="dxa"/>
            <w:tcBorders>
              <w:top w:val="nil"/>
              <w:bottom w:val="single" w:sz="4" w:space="0" w:color="auto"/>
              <w:right w:val="single" w:sz="4" w:space="0" w:color="auto"/>
            </w:tcBorders>
            <w:vAlign w:val="center"/>
            <w:hideMark/>
          </w:tcPr>
          <w:p w:rsidR="0057482E" w:rsidRPr="005771BD" w:rsidRDefault="0057482E" w:rsidP="00E71CC6">
            <w:pPr>
              <w:spacing w:line="240" w:lineRule="auto"/>
              <w:rPr>
                <w:rFonts w:eastAsiaTheme="minorHAnsi" w:cs="Arial"/>
                <w:szCs w:val="20"/>
                <w:lang w:val="sl-SI"/>
              </w:rPr>
            </w:pPr>
            <w:r w:rsidRPr="005771BD">
              <w:rPr>
                <w:rFonts w:eastAsiaTheme="minorHAnsi" w:cs="Arial"/>
                <w:szCs w:val="20"/>
                <w:lang w:val="sl-SI"/>
              </w:rPr>
              <w:t>µg Cd/kg tm/teden</w:t>
            </w:r>
          </w:p>
        </w:tc>
        <w:tc>
          <w:tcPr>
            <w:tcW w:w="997" w:type="dxa"/>
            <w:tcBorders>
              <w:top w:val="nil"/>
              <w:bottom w:val="single" w:sz="4" w:space="0" w:color="auto"/>
              <w:right w:val="single" w:sz="4" w:space="0" w:color="auto"/>
            </w:tcBorders>
            <w:vAlign w:val="center"/>
            <w:hideMark/>
          </w:tcPr>
          <w:p w:rsidR="0057482E" w:rsidRPr="005771BD" w:rsidRDefault="0057482E" w:rsidP="00E71CC6">
            <w:pPr>
              <w:spacing w:line="240" w:lineRule="auto"/>
              <w:jc w:val="center"/>
              <w:rPr>
                <w:rFonts w:eastAsiaTheme="minorHAnsi" w:cs="Arial"/>
                <w:szCs w:val="20"/>
                <w:lang w:val="sl-SI"/>
              </w:rPr>
            </w:pPr>
            <w:r w:rsidRPr="005771BD">
              <w:rPr>
                <w:rFonts w:eastAsiaTheme="minorHAnsi" w:cs="Arial"/>
                <w:szCs w:val="20"/>
                <w:lang w:val="sl-SI"/>
              </w:rPr>
              <w:t>0.02</w:t>
            </w:r>
          </w:p>
        </w:tc>
        <w:tc>
          <w:tcPr>
            <w:tcW w:w="998" w:type="dxa"/>
            <w:tcBorders>
              <w:top w:val="nil"/>
              <w:bottom w:val="single" w:sz="4" w:space="0" w:color="auto"/>
              <w:right w:val="single" w:sz="4" w:space="0" w:color="auto"/>
            </w:tcBorders>
            <w:vAlign w:val="center"/>
            <w:hideMark/>
          </w:tcPr>
          <w:p w:rsidR="0057482E" w:rsidRPr="005771BD" w:rsidRDefault="0057482E" w:rsidP="00E71CC6">
            <w:pPr>
              <w:spacing w:line="240" w:lineRule="auto"/>
              <w:jc w:val="center"/>
              <w:rPr>
                <w:rFonts w:eastAsiaTheme="minorHAnsi" w:cs="Arial"/>
                <w:szCs w:val="20"/>
                <w:lang w:val="sl-SI"/>
              </w:rPr>
            </w:pPr>
            <w:r w:rsidRPr="005771BD">
              <w:rPr>
                <w:rFonts w:eastAsiaTheme="minorHAnsi" w:cs="Arial"/>
                <w:szCs w:val="20"/>
                <w:lang w:val="sl-SI"/>
              </w:rPr>
              <w:t>0.02</w:t>
            </w:r>
          </w:p>
        </w:tc>
        <w:tc>
          <w:tcPr>
            <w:tcW w:w="998" w:type="dxa"/>
            <w:tcBorders>
              <w:top w:val="nil"/>
              <w:bottom w:val="single" w:sz="4" w:space="0" w:color="auto"/>
              <w:right w:val="single" w:sz="4" w:space="0" w:color="auto"/>
            </w:tcBorders>
            <w:vAlign w:val="center"/>
            <w:hideMark/>
          </w:tcPr>
          <w:p w:rsidR="0057482E" w:rsidRPr="005771BD" w:rsidRDefault="0057482E" w:rsidP="00E71CC6">
            <w:pPr>
              <w:spacing w:line="240" w:lineRule="auto"/>
              <w:jc w:val="center"/>
              <w:rPr>
                <w:rFonts w:eastAsiaTheme="minorHAnsi" w:cs="Arial"/>
                <w:szCs w:val="20"/>
                <w:lang w:val="sl-SI"/>
              </w:rPr>
            </w:pPr>
            <w:r w:rsidRPr="005771BD">
              <w:rPr>
                <w:rFonts w:eastAsiaTheme="minorHAnsi" w:cs="Arial"/>
                <w:szCs w:val="20"/>
                <w:lang w:val="sl-SI"/>
              </w:rPr>
              <w:t>0</w:t>
            </w:r>
          </w:p>
        </w:tc>
        <w:tc>
          <w:tcPr>
            <w:tcW w:w="983" w:type="dxa"/>
            <w:tcBorders>
              <w:top w:val="nil"/>
              <w:bottom w:val="single" w:sz="4" w:space="0" w:color="auto"/>
            </w:tcBorders>
            <w:vAlign w:val="center"/>
            <w:hideMark/>
          </w:tcPr>
          <w:p w:rsidR="0057482E" w:rsidRPr="005771BD" w:rsidRDefault="0057482E" w:rsidP="00E71CC6">
            <w:pPr>
              <w:spacing w:line="240" w:lineRule="auto"/>
              <w:jc w:val="center"/>
              <w:rPr>
                <w:rFonts w:eastAsiaTheme="minorHAnsi" w:cs="Arial"/>
                <w:szCs w:val="20"/>
                <w:lang w:val="sl-SI"/>
              </w:rPr>
            </w:pPr>
            <w:r w:rsidRPr="005771BD">
              <w:rPr>
                <w:rFonts w:eastAsiaTheme="minorHAnsi" w:cs="Arial"/>
                <w:szCs w:val="20"/>
                <w:lang w:val="sl-SI"/>
              </w:rPr>
              <w:t>0.07</w:t>
            </w:r>
          </w:p>
        </w:tc>
      </w:tr>
    </w:tbl>
    <w:p w:rsidR="0057482E" w:rsidRPr="005771BD" w:rsidRDefault="0057482E" w:rsidP="0057482E">
      <w:pPr>
        <w:tabs>
          <w:tab w:val="left" w:pos="3060"/>
          <w:tab w:val="left" w:pos="3600"/>
        </w:tabs>
        <w:spacing w:line="240" w:lineRule="auto"/>
        <w:jc w:val="both"/>
        <w:rPr>
          <w:rFonts w:eastAsiaTheme="minorHAnsi" w:cs="Arial"/>
          <w:szCs w:val="20"/>
          <w:lang w:val="sl-SI"/>
        </w:rPr>
      </w:pPr>
    </w:p>
    <w:p w:rsidR="0057482E" w:rsidRPr="005771BD" w:rsidRDefault="0057482E" w:rsidP="0057482E">
      <w:pPr>
        <w:spacing w:after="200" w:line="240" w:lineRule="auto"/>
        <w:jc w:val="both"/>
        <w:rPr>
          <w:rFonts w:eastAsiaTheme="minorHAnsi" w:cs="Arial"/>
          <w:szCs w:val="20"/>
          <w:lang w:val="sl-SI"/>
        </w:rPr>
      </w:pPr>
      <w:r>
        <w:rPr>
          <w:rFonts w:eastAsiaTheme="minorHAnsi" w:cs="Arial"/>
          <w:szCs w:val="20"/>
          <w:lang w:val="sl-SI"/>
        </w:rPr>
        <w:t>Večina</w:t>
      </w:r>
      <w:r w:rsidRPr="005771BD">
        <w:rPr>
          <w:rFonts w:eastAsiaTheme="minorHAnsi" w:cs="Arial"/>
          <w:szCs w:val="20"/>
          <w:lang w:val="sl-SI"/>
        </w:rPr>
        <w:t xml:space="preserve"> podatkov o prisotnosti (koncentraciji) kemijskih okoljskih onesnaževal v posameznih živilih v Sloveniji je zbran</w:t>
      </w:r>
      <w:r>
        <w:rPr>
          <w:rFonts w:eastAsiaTheme="minorHAnsi" w:cs="Arial"/>
          <w:szCs w:val="20"/>
          <w:lang w:val="sl-SI"/>
        </w:rPr>
        <w:t>a</w:t>
      </w:r>
      <w:r w:rsidRPr="005771BD">
        <w:rPr>
          <w:rFonts w:eastAsiaTheme="minorHAnsi" w:cs="Arial"/>
          <w:szCs w:val="20"/>
          <w:lang w:val="sl-SI"/>
        </w:rPr>
        <w:t xml:space="preserve"> v letnih poročilih uradnega nadzora Zdravstvenega inšpektorata RS (ZIRS) Ministrstva za zdravje in Uprave za varno hrano, veterinarstvo in varstvo rastlin (UVHVVR) Ministrstva za kmetijstvo, gozdarstvo in prehrano. Izpostavljenost prebivalcev Slovenije nekaterim kemijskim okoljskim onesnaževalom iz živil je prikazana v kazalnikih okolja: </w:t>
      </w:r>
      <w:r>
        <w:rPr>
          <w:rFonts w:eastAsiaTheme="minorHAnsi" w:cs="Arial"/>
          <w:szCs w:val="20"/>
          <w:lang w:val="sl-SI"/>
        </w:rPr>
        <w:t>v</w:t>
      </w:r>
      <w:r w:rsidRPr="005771BD">
        <w:rPr>
          <w:rFonts w:eastAsiaTheme="minorHAnsi" w:cs="Arial"/>
          <w:szCs w:val="20"/>
          <w:lang w:val="sl-SI"/>
        </w:rPr>
        <w:t xml:space="preserve">nos kovin v človeško telo s hrano, </w:t>
      </w:r>
      <w:r>
        <w:rPr>
          <w:rFonts w:eastAsiaTheme="minorHAnsi" w:cs="Arial"/>
          <w:szCs w:val="20"/>
          <w:lang w:val="sl-SI"/>
        </w:rPr>
        <w:t>v</w:t>
      </w:r>
      <w:r w:rsidRPr="005771BD">
        <w:rPr>
          <w:rFonts w:eastAsiaTheme="minorHAnsi" w:cs="Arial"/>
          <w:szCs w:val="20"/>
          <w:lang w:val="sl-SI"/>
        </w:rPr>
        <w:t xml:space="preserve">sebnost dioksinov v materinem mleku in </w:t>
      </w:r>
      <w:r>
        <w:rPr>
          <w:rFonts w:eastAsiaTheme="minorHAnsi" w:cs="Arial"/>
          <w:szCs w:val="20"/>
          <w:lang w:val="sl-SI"/>
        </w:rPr>
        <w:t>v</w:t>
      </w:r>
      <w:r w:rsidRPr="005771BD">
        <w:rPr>
          <w:rFonts w:eastAsiaTheme="minorHAnsi" w:cs="Arial"/>
          <w:szCs w:val="20"/>
          <w:lang w:val="sl-SI"/>
        </w:rPr>
        <w:t xml:space="preserve">sebnost svinca v krvi otrok na območju </w:t>
      </w:r>
      <w:r>
        <w:rPr>
          <w:rFonts w:eastAsiaTheme="minorHAnsi" w:cs="Arial"/>
          <w:szCs w:val="20"/>
          <w:lang w:val="sl-SI"/>
        </w:rPr>
        <w:t>z</w:t>
      </w:r>
      <w:r w:rsidRPr="005771BD">
        <w:rPr>
          <w:rFonts w:eastAsiaTheme="minorHAnsi" w:cs="Arial"/>
          <w:szCs w:val="20"/>
          <w:lang w:val="sl-SI"/>
        </w:rPr>
        <w:t xml:space="preserve">gornje Mežiške doline). V preglednici 14.2 je prikazan primer ocenjenega povprečnega vnosa kadmija po izbranih </w:t>
      </w:r>
      <w:r>
        <w:rPr>
          <w:rFonts w:eastAsiaTheme="minorHAnsi" w:cs="Arial"/>
          <w:szCs w:val="20"/>
          <w:lang w:val="sl-SI"/>
        </w:rPr>
        <w:t>skupinah</w:t>
      </w:r>
      <w:r w:rsidRPr="005771BD">
        <w:rPr>
          <w:rFonts w:eastAsiaTheme="minorHAnsi" w:cs="Arial"/>
          <w:szCs w:val="20"/>
          <w:lang w:val="sl-SI"/>
        </w:rPr>
        <w:t xml:space="preserve"> živil v Sloveniji v obdobju 2010</w:t>
      </w:r>
      <w:r>
        <w:rPr>
          <w:rFonts w:eastAsiaTheme="minorHAnsi" w:cs="Arial"/>
          <w:szCs w:val="20"/>
          <w:lang w:val="sl-SI"/>
        </w:rPr>
        <w:t>–</w:t>
      </w:r>
      <w:r w:rsidRPr="005771BD">
        <w:rPr>
          <w:rFonts w:eastAsiaTheme="minorHAnsi" w:cs="Arial"/>
          <w:szCs w:val="20"/>
          <w:lang w:val="sl-SI"/>
        </w:rPr>
        <w:t>2013.</w:t>
      </w:r>
    </w:p>
    <w:p w:rsidR="0057482E" w:rsidRPr="005771BD" w:rsidRDefault="0057482E" w:rsidP="0057482E">
      <w:pPr>
        <w:spacing w:after="200" w:line="240" w:lineRule="auto"/>
        <w:jc w:val="both"/>
        <w:rPr>
          <w:rFonts w:eastAsiaTheme="minorHAnsi" w:cs="Arial"/>
          <w:szCs w:val="20"/>
          <w:lang w:val="sl-SI"/>
        </w:rPr>
      </w:pPr>
      <w:r w:rsidRPr="005771BD">
        <w:rPr>
          <w:rFonts w:eastAsiaTheme="minorHAnsi" w:cs="Arial"/>
          <w:szCs w:val="20"/>
          <w:lang w:val="sl-SI"/>
        </w:rPr>
        <w:t xml:space="preserve">Kemijska okoljska onesnaževala v živilih so lahko razlog za zaskrbljenost za zdravje v vseh življenjskih obdobjih, vendar pa so otroci in mladostniki med najobčutljivejšimi populacijskimi skupinami (Vogt, 2012). Razlogi za to zaskrbljenost so v tem, da omenjeni skupini s hrano zaužijeta več energije na enoto telesne mase kot odrasli, da so zaradi posebnosti metabolizma bolj dovzetni za škodljive vplive </w:t>
      </w:r>
      <w:r>
        <w:rPr>
          <w:rFonts w:eastAsiaTheme="minorHAnsi" w:cs="Arial"/>
          <w:szCs w:val="20"/>
          <w:lang w:val="sl-SI"/>
        </w:rPr>
        <w:t>ter</w:t>
      </w:r>
      <w:r w:rsidRPr="005771BD">
        <w:rPr>
          <w:rFonts w:eastAsiaTheme="minorHAnsi" w:cs="Arial"/>
          <w:szCs w:val="20"/>
          <w:lang w:val="sl-SI"/>
        </w:rPr>
        <w:t xml:space="preserve"> da</w:t>
      </w:r>
      <w:r>
        <w:rPr>
          <w:rFonts w:eastAsiaTheme="minorHAnsi" w:cs="Arial"/>
          <w:szCs w:val="20"/>
          <w:lang w:val="sl-SI"/>
        </w:rPr>
        <w:t xml:space="preserve"> zaradi</w:t>
      </w:r>
      <w:r w:rsidRPr="005771BD">
        <w:rPr>
          <w:rFonts w:eastAsiaTheme="minorHAnsi" w:cs="Arial"/>
          <w:szCs w:val="20"/>
          <w:lang w:val="sl-SI"/>
        </w:rPr>
        <w:t xml:space="preserve"> hitr</w:t>
      </w:r>
      <w:r>
        <w:rPr>
          <w:rFonts w:eastAsiaTheme="minorHAnsi" w:cs="Arial"/>
          <w:szCs w:val="20"/>
          <w:lang w:val="sl-SI"/>
        </w:rPr>
        <w:t>e</w:t>
      </w:r>
      <w:r w:rsidRPr="005771BD">
        <w:rPr>
          <w:rFonts w:eastAsiaTheme="minorHAnsi" w:cs="Arial"/>
          <w:szCs w:val="20"/>
          <w:lang w:val="sl-SI"/>
        </w:rPr>
        <w:t xml:space="preserve"> rast</w:t>
      </w:r>
      <w:r>
        <w:rPr>
          <w:rFonts w:eastAsiaTheme="minorHAnsi" w:cs="Arial"/>
          <w:szCs w:val="20"/>
          <w:lang w:val="sl-SI"/>
        </w:rPr>
        <w:t>i</w:t>
      </w:r>
      <w:r w:rsidRPr="005771BD">
        <w:rPr>
          <w:rFonts w:eastAsiaTheme="minorHAnsi" w:cs="Arial"/>
          <w:szCs w:val="20"/>
          <w:lang w:val="sl-SI"/>
        </w:rPr>
        <w:t xml:space="preserve"> in celičn</w:t>
      </w:r>
      <w:r>
        <w:rPr>
          <w:rFonts w:eastAsiaTheme="minorHAnsi" w:cs="Arial"/>
          <w:szCs w:val="20"/>
          <w:lang w:val="sl-SI"/>
        </w:rPr>
        <w:t>e</w:t>
      </w:r>
      <w:r w:rsidRPr="005771BD">
        <w:rPr>
          <w:rFonts w:eastAsiaTheme="minorHAnsi" w:cs="Arial"/>
          <w:szCs w:val="20"/>
          <w:lang w:val="sl-SI"/>
        </w:rPr>
        <w:t xml:space="preserve"> delit</w:t>
      </w:r>
      <w:r>
        <w:rPr>
          <w:rFonts w:eastAsiaTheme="minorHAnsi" w:cs="Arial"/>
          <w:szCs w:val="20"/>
          <w:lang w:val="sl-SI"/>
        </w:rPr>
        <w:t>ve</w:t>
      </w:r>
      <w:r w:rsidRPr="005771BD">
        <w:rPr>
          <w:rFonts w:eastAsiaTheme="minorHAnsi" w:cs="Arial"/>
          <w:szCs w:val="20"/>
          <w:lang w:val="sl-SI"/>
        </w:rPr>
        <w:t xml:space="preserve"> v otroškem organizmu </w:t>
      </w:r>
      <w:r>
        <w:rPr>
          <w:rFonts w:eastAsiaTheme="minorHAnsi" w:cs="Arial"/>
          <w:szCs w:val="20"/>
          <w:lang w:val="sl-SI"/>
        </w:rPr>
        <w:t>lahko pride do</w:t>
      </w:r>
      <w:r w:rsidRPr="005771BD">
        <w:rPr>
          <w:rFonts w:eastAsiaTheme="minorHAnsi" w:cs="Arial"/>
          <w:szCs w:val="20"/>
          <w:lang w:val="sl-SI"/>
        </w:rPr>
        <w:t xml:space="preserve"> genotoksičnih pojavov. Izpostavljenost otrok in mladostnikov kemijskim okoljskim onesnaževalom v živilih povezujemo zlasti z motnjami hormonskega ravnovesja,</w:t>
      </w:r>
      <w:r>
        <w:rPr>
          <w:rFonts w:eastAsiaTheme="minorHAnsi" w:cs="Arial"/>
          <w:szCs w:val="20"/>
          <w:lang w:val="sl-SI"/>
        </w:rPr>
        <w:t xml:space="preserve"> </w:t>
      </w:r>
      <w:r w:rsidRPr="005771BD">
        <w:rPr>
          <w:rFonts w:eastAsiaTheme="minorHAnsi" w:cs="Arial"/>
          <w:szCs w:val="20"/>
          <w:lang w:val="sl-SI"/>
        </w:rPr>
        <w:t xml:space="preserve">motnjami vedenja in razvoja, okvarami ob rojstvu in </w:t>
      </w:r>
      <w:r>
        <w:rPr>
          <w:rFonts w:eastAsiaTheme="minorHAnsi" w:cs="Arial"/>
          <w:szCs w:val="20"/>
          <w:lang w:val="sl-SI"/>
        </w:rPr>
        <w:t xml:space="preserve">z </w:t>
      </w:r>
      <w:r w:rsidRPr="005771BD">
        <w:rPr>
          <w:rFonts w:eastAsiaTheme="minorHAnsi" w:cs="Arial"/>
          <w:szCs w:val="20"/>
          <w:lang w:val="sl-SI"/>
        </w:rPr>
        <w:t xml:space="preserve">rakavimi obolenji. Pri </w:t>
      </w:r>
      <w:r>
        <w:rPr>
          <w:rFonts w:eastAsiaTheme="minorHAnsi" w:cs="Arial"/>
          <w:szCs w:val="20"/>
          <w:lang w:val="sl-SI"/>
        </w:rPr>
        <w:t>drugem</w:t>
      </w:r>
      <w:r w:rsidRPr="005771BD">
        <w:rPr>
          <w:rFonts w:eastAsiaTheme="minorHAnsi" w:cs="Arial"/>
          <w:szCs w:val="20"/>
          <w:lang w:val="sl-SI"/>
        </w:rPr>
        <w:t xml:space="preserve"> delu populacije je breme bolezni zaradi kemijskih okoljskih onesnaževal v živilih povezano s kroničnimi nenalezljivimi boleznimi</w:t>
      </w:r>
      <w:r>
        <w:rPr>
          <w:rFonts w:eastAsiaTheme="minorHAnsi" w:cs="Arial"/>
          <w:szCs w:val="20"/>
          <w:lang w:val="sl-SI"/>
        </w:rPr>
        <w:t>,</w:t>
      </w:r>
      <w:r w:rsidRPr="005771BD">
        <w:rPr>
          <w:rFonts w:eastAsiaTheme="minorHAnsi" w:cs="Arial"/>
          <w:szCs w:val="20"/>
          <w:lang w:val="sl-SI"/>
        </w:rPr>
        <w:t xml:space="preserve"> kot so srčno</w:t>
      </w:r>
      <w:r>
        <w:rPr>
          <w:rFonts w:eastAsiaTheme="minorHAnsi" w:cs="Arial"/>
          <w:szCs w:val="20"/>
          <w:lang w:val="sl-SI"/>
        </w:rPr>
        <w:t>-</w:t>
      </w:r>
      <w:r w:rsidRPr="005771BD">
        <w:rPr>
          <w:rFonts w:eastAsiaTheme="minorHAnsi" w:cs="Arial"/>
          <w:szCs w:val="20"/>
          <w:lang w:val="sl-SI"/>
        </w:rPr>
        <w:t>žilne bolezni, rak ter mentalne, vedenjske in nevrološke motnje (WHO 2016).</w:t>
      </w:r>
    </w:p>
    <w:p w:rsidR="0057482E" w:rsidRPr="005771BD" w:rsidRDefault="0057482E" w:rsidP="0057482E">
      <w:pPr>
        <w:spacing w:before="120" w:line="240" w:lineRule="auto"/>
        <w:rPr>
          <w:rFonts w:eastAsiaTheme="minorHAnsi" w:cs="Arial"/>
          <w:b/>
          <w:szCs w:val="20"/>
          <w:u w:val="single"/>
          <w:lang w:val="sl-SI"/>
        </w:rPr>
      </w:pPr>
    </w:p>
    <w:p w:rsidR="0057482E" w:rsidRPr="005771BD" w:rsidRDefault="0057482E" w:rsidP="0057482E">
      <w:pPr>
        <w:spacing w:before="120" w:after="240" w:line="240" w:lineRule="auto"/>
        <w:rPr>
          <w:rFonts w:eastAsiaTheme="minorHAnsi" w:cs="Arial"/>
          <w:b/>
          <w:szCs w:val="20"/>
          <w:u w:val="single"/>
          <w:lang w:val="sl-SI"/>
        </w:rPr>
      </w:pPr>
      <w:r w:rsidRPr="005771BD">
        <w:rPr>
          <w:rFonts w:eastAsiaTheme="minorHAnsi" w:cs="Arial"/>
          <w:b/>
          <w:szCs w:val="20"/>
          <w:u w:val="single"/>
          <w:lang w:val="sl-SI"/>
        </w:rPr>
        <w:t>1</w:t>
      </w:r>
      <w:r w:rsidR="00A71F91">
        <w:rPr>
          <w:rFonts w:eastAsiaTheme="minorHAnsi" w:cs="Arial"/>
          <w:b/>
          <w:szCs w:val="20"/>
          <w:u w:val="single"/>
          <w:lang w:val="sl-SI"/>
        </w:rPr>
        <w:t>6</w:t>
      </w:r>
      <w:r w:rsidRPr="005771BD">
        <w:rPr>
          <w:rFonts w:eastAsiaTheme="minorHAnsi" w:cs="Arial"/>
          <w:b/>
          <w:szCs w:val="20"/>
          <w:u w:val="single"/>
          <w:lang w:val="sl-SI"/>
        </w:rPr>
        <w:t xml:space="preserve">.8 Uporabljeni kazalci stanja okolja  </w:t>
      </w:r>
    </w:p>
    <w:p w:rsidR="0057482E" w:rsidRPr="005771BD" w:rsidRDefault="0057482E" w:rsidP="0057482E">
      <w:pPr>
        <w:spacing w:before="120" w:line="240" w:lineRule="auto"/>
        <w:rPr>
          <w:rFonts w:eastAsiaTheme="minorHAnsi" w:cs="Arial"/>
          <w:szCs w:val="20"/>
          <w:lang w:val="sl-SI"/>
        </w:rPr>
      </w:pPr>
      <w:r w:rsidRPr="005771BD">
        <w:rPr>
          <w:rFonts w:eastAsiaTheme="minorHAnsi" w:cs="Arial"/>
          <w:szCs w:val="20"/>
          <w:lang w:val="sl-SI"/>
        </w:rPr>
        <w:t>[ZD 23] Izpostavljenost otrok povišani ravni hrupa zaradi cestnega prometa v Novi Gorici</w:t>
      </w:r>
    </w:p>
    <w:p w:rsidR="0057482E" w:rsidRPr="005771BD" w:rsidRDefault="0057482E" w:rsidP="0057482E">
      <w:pPr>
        <w:spacing w:before="120" w:line="240" w:lineRule="auto"/>
        <w:rPr>
          <w:rFonts w:eastAsiaTheme="minorHAnsi" w:cs="Arial"/>
          <w:szCs w:val="20"/>
          <w:lang w:val="sl-SI"/>
        </w:rPr>
      </w:pPr>
      <w:r w:rsidRPr="005771BD">
        <w:rPr>
          <w:rFonts w:eastAsiaTheme="minorHAnsi" w:cs="Arial"/>
          <w:szCs w:val="20"/>
          <w:lang w:val="sl-SI"/>
        </w:rPr>
        <w:t xml:space="preserve">[ZD 05] Dostop do varne pitne vode </w:t>
      </w:r>
    </w:p>
    <w:p w:rsidR="0057482E" w:rsidRPr="005771BD" w:rsidRDefault="0057482E" w:rsidP="0057482E">
      <w:pPr>
        <w:spacing w:before="120" w:line="240" w:lineRule="auto"/>
        <w:rPr>
          <w:rFonts w:eastAsiaTheme="minorHAnsi" w:cs="Arial"/>
          <w:szCs w:val="20"/>
          <w:lang w:val="sl-SI"/>
        </w:rPr>
      </w:pPr>
      <w:r w:rsidRPr="005771BD">
        <w:rPr>
          <w:rFonts w:eastAsiaTheme="minorHAnsi" w:cs="Arial"/>
          <w:szCs w:val="20"/>
          <w:lang w:val="sl-SI"/>
        </w:rPr>
        <w:t xml:space="preserve">[VD 08] Kakovost pitne vode </w:t>
      </w:r>
    </w:p>
    <w:p w:rsidR="0057482E" w:rsidRPr="005771BD" w:rsidRDefault="0057482E" w:rsidP="0057482E">
      <w:pPr>
        <w:spacing w:before="120" w:line="240" w:lineRule="auto"/>
        <w:rPr>
          <w:rFonts w:eastAsiaTheme="minorHAnsi" w:cs="Arial"/>
          <w:szCs w:val="20"/>
          <w:lang w:val="sl-SI"/>
        </w:rPr>
      </w:pPr>
      <w:r w:rsidRPr="005771BD">
        <w:rPr>
          <w:rFonts w:eastAsiaTheme="minorHAnsi" w:cs="Arial"/>
          <w:szCs w:val="20"/>
          <w:lang w:val="sl-SI"/>
        </w:rPr>
        <w:t xml:space="preserve">[ZD 04] Hidrični izbruhi (epidemije) </w:t>
      </w:r>
    </w:p>
    <w:p w:rsidR="0057482E" w:rsidRPr="005771BD" w:rsidRDefault="0057482E" w:rsidP="0057482E">
      <w:pPr>
        <w:spacing w:before="120" w:line="240" w:lineRule="auto"/>
        <w:rPr>
          <w:rFonts w:eastAsiaTheme="minorHAnsi" w:cs="Arial"/>
          <w:szCs w:val="20"/>
          <w:lang w:val="sl-SI"/>
        </w:rPr>
      </w:pPr>
      <w:r w:rsidRPr="005771BD">
        <w:rPr>
          <w:rFonts w:eastAsiaTheme="minorHAnsi" w:cs="Arial"/>
          <w:szCs w:val="20"/>
          <w:lang w:val="sl-SI"/>
        </w:rPr>
        <w:t xml:space="preserve">[ZD 18] Umrljivost zaradi bolezni dihal </w:t>
      </w:r>
    </w:p>
    <w:p w:rsidR="0057482E" w:rsidRPr="005771BD" w:rsidRDefault="0057482E" w:rsidP="0057482E">
      <w:pPr>
        <w:spacing w:before="120" w:line="240" w:lineRule="auto"/>
        <w:rPr>
          <w:rFonts w:eastAsiaTheme="minorHAnsi" w:cs="Arial"/>
          <w:color w:val="5F5F5F" w:themeColor="hyperlink"/>
          <w:szCs w:val="20"/>
          <w:u w:val="single"/>
          <w:lang w:val="sl-SI"/>
        </w:rPr>
      </w:pPr>
      <w:r w:rsidRPr="005771BD">
        <w:rPr>
          <w:rFonts w:eastAsiaTheme="minorHAnsi" w:cs="Arial"/>
          <w:szCs w:val="20"/>
          <w:lang w:val="sl-SI"/>
        </w:rPr>
        <w:t>[ZD 02] Astma in alergijske bolezni pri otrocih</w:t>
      </w:r>
      <w:r w:rsidRPr="005771BD">
        <w:rPr>
          <w:rFonts w:eastAsiaTheme="minorHAnsi" w:cs="Arial"/>
          <w:szCs w:val="20"/>
          <w:u w:val="single"/>
          <w:lang w:val="sl-SI"/>
        </w:rPr>
        <w:t xml:space="preserve"> </w:t>
      </w:r>
    </w:p>
    <w:p w:rsidR="0057482E" w:rsidRPr="005771BD" w:rsidRDefault="0057482E" w:rsidP="0057482E">
      <w:pPr>
        <w:spacing w:before="120" w:line="240" w:lineRule="auto"/>
        <w:rPr>
          <w:rFonts w:eastAsiaTheme="minorHAnsi" w:cs="Arial"/>
          <w:szCs w:val="20"/>
          <w:lang w:val="sl-SI"/>
        </w:rPr>
      </w:pPr>
      <w:r w:rsidRPr="005771BD">
        <w:rPr>
          <w:rFonts w:eastAsiaTheme="minorHAnsi" w:cs="Arial"/>
          <w:szCs w:val="20"/>
          <w:lang w:val="sl-SI"/>
        </w:rPr>
        <w:t>[ZD 01] Umrljivost dojenčkov zaradi bolezni dihal</w:t>
      </w:r>
    </w:p>
    <w:p w:rsidR="0057482E" w:rsidRPr="005771BD" w:rsidRDefault="0057482E" w:rsidP="0057482E">
      <w:pPr>
        <w:spacing w:before="120" w:line="240" w:lineRule="auto"/>
        <w:rPr>
          <w:rFonts w:eastAsiaTheme="minorHAnsi" w:cs="Arial"/>
          <w:szCs w:val="20"/>
          <w:lang w:val="sl-SI"/>
        </w:rPr>
      </w:pPr>
      <w:r w:rsidRPr="005771BD">
        <w:rPr>
          <w:rFonts w:eastAsiaTheme="minorHAnsi" w:cs="Arial"/>
          <w:szCs w:val="20"/>
          <w:lang w:val="sl-SI"/>
        </w:rPr>
        <w:t>[ZD14] Izpostavljenost otrok povišani ravni hrupa zaradi cestnega prometa v Ljubljani</w:t>
      </w:r>
    </w:p>
    <w:p w:rsidR="0057482E" w:rsidRPr="005771BD" w:rsidRDefault="0057482E" w:rsidP="0057482E">
      <w:pPr>
        <w:spacing w:before="120" w:line="240" w:lineRule="auto"/>
        <w:rPr>
          <w:rFonts w:eastAsiaTheme="minorHAnsi" w:cs="Arial"/>
          <w:b/>
          <w:szCs w:val="20"/>
          <w:u w:val="single"/>
          <w:lang w:val="sl-SI"/>
        </w:rPr>
      </w:pPr>
      <w:r w:rsidRPr="005771BD">
        <w:rPr>
          <w:rFonts w:eastAsiaTheme="minorHAnsi" w:cs="Arial"/>
          <w:szCs w:val="20"/>
          <w:lang w:val="sl-SI"/>
        </w:rPr>
        <w:t>[ZD27] Izpostavljenost otrok povišani ravni hrupa zaradi cestnega prometa v Mariboru</w:t>
      </w:r>
    </w:p>
    <w:p w:rsidR="0057482E" w:rsidRPr="005771BD" w:rsidRDefault="0057482E" w:rsidP="0057482E">
      <w:pPr>
        <w:spacing w:before="120" w:line="240" w:lineRule="auto"/>
        <w:rPr>
          <w:rFonts w:eastAsiaTheme="minorHAnsi" w:cs="Arial"/>
          <w:b/>
          <w:szCs w:val="20"/>
          <w:u w:val="single"/>
          <w:lang w:val="sl-SI"/>
        </w:rPr>
      </w:pPr>
    </w:p>
    <w:p w:rsidR="0057482E" w:rsidRPr="005771BD" w:rsidRDefault="0057482E" w:rsidP="0057482E">
      <w:pPr>
        <w:spacing w:before="120" w:line="240" w:lineRule="auto"/>
        <w:rPr>
          <w:rFonts w:eastAsiaTheme="minorHAnsi" w:cs="Arial"/>
          <w:b/>
          <w:szCs w:val="20"/>
          <w:u w:val="single"/>
          <w:lang w:val="sl-SI"/>
        </w:rPr>
      </w:pPr>
      <w:r w:rsidRPr="005771BD">
        <w:rPr>
          <w:rFonts w:eastAsiaTheme="minorHAnsi" w:cs="Arial"/>
          <w:b/>
          <w:szCs w:val="20"/>
          <w:u w:val="single"/>
          <w:lang w:val="sl-SI"/>
        </w:rPr>
        <w:t>1</w:t>
      </w:r>
      <w:r w:rsidR="004B2E4F">
        <w:rPr>
          <w:rFonts w:eastAsiaTheme="minorHAnsi" w:cs="Arial"/>
          <w:b/>
          <w:szCs w:val="20"/>
          <w:u w:val="single"/>
          <w:lang w:val="sl-SI"/>
        </w:rPr>
        <w:t>6</w:t>
      </w:r>
      <w:r w:rsidRPr="005771BD">
        <w:rPr>
          <w:rFonts w:eastAsiaTheme="minorHAnsi" w:cs="Arial"/>
          <w:b/>
          <w:szCs w:val="20"/>
          <w:u w:val="single"/>
          <w:lang w:val="sl-SI"/>
        </w:rPr>
        <w:t xml:space="preserve">.9 Literatura in viri </w:t>
      </w:r>
    </w:p>
    <w:p w:rsidR="0057482E" w:rsidRPr="005771BD" w:rsidRDefault="0057482E" w:rsidP="0057482E">
      <w:pPr>
        <w:spacing w:before="120" w:line="240" w:lineRule="auto"/>
        <w:jc w:val="both"/>
        <w:rPr>
          <w:rFonts w:eastAsiaTheme="minorHAnsi" w:cs="Arial"/>
          <w:szCs w:val="20"/>
          <w:lang w:val="sl-SI"/>
        </w:rPr>
      </w:pPr>
      <w:r w:rsidRPr="005771BD">
        <w:rPr>
          <w:rFonts w:eastAsiaTheme="minorHAnsi" w:cs="Arial"/>
          <w:szCs w:val="20"/>
          <w:lang w:val="sl-SI"/>
        </w:rPr>
        <w:t xml:space="preserve">ARSO, 2016. </w:t>
      </w:r>
      <w:r w:rsidRPr="005771BD">
        <w:rPr>
          <w:rFonts w:eastAsiaTheme="minorHAnsi" w:cs="Arial"/>
          <w:i/>
          <w:szCs w:val="20"/>
          <w:lang w:val="sl-SI"/>
        </w:rPr>
        <w:t>Kakovost kopalnih voda na naravnih kopališčih in na kopalnih območjih v Sloveniji v letu 2015 (in v letih 2010 do 2015)</w:t>
      </w:r>
      <w:r w:rsidRPr="005771BD">
        <w:rPr>
          <w:rFonts w:eastAsiaTheme="minorHAnsi" w:cs="Arial"/>
          <w:szCs w:val="20"/>
          <w:lang w:val="sl-SI"/>
        </w:rPr>
        <w:t xml:space="preserve">. Ljubljana: MOP ARSO. Dostop na:  </w:t>
      </w:r>
      <w:hyperlink r:id="rId325" w:history="1">
        <w:r w:rsidRPr="005771BD">
          <w:rPr>
            <w:rFonts w:eastAsiaTheme="minorHAnsi" w:cs="Arial"/>
            <w:color w:val="5F5F5F" w:themeColor="hyperlink"/>
            <w:szCs w:val="20"/>
            <w:u w:val="single"/>
            <w:lang w:val="sl-SI"/>
          </w:rPr>
          <w:t>http://www.arso.gov.si/vode/kopalne%20vode/poro%C4%8Dila%20in%20%C4%8Dlanki/</w:t>
        </w:r>
      </w:hyperlink>
    </w:p>
    <w:p w:rsidR="0057482E" w:rsidRPr="005771BD" w:rsidRDefault="0057482E" w:rsidP="0057482E">
      <w:pPr>
        <w:spacing w:before="120" w:line="240" w:lineRule="auto"/>
        <w:jc w:val="both"/>
        <w:rPr>
          <w:rFonts w:eastAsiaTheme="minorHAnsi" w:cs="Arial"/>
          <w:szCs w:val="20"/>
          <w:lang w:val="sl-SI"/>
        </w:rPr>
      </w:pPr>
      <w:r w:rsidRPr="005771BD">
        <w:rPr>
          <w:rFonts w:eastAsiaTheme="minorHAnsi" w:cs="Arial"/>
          <w:szCs w:val="20"/>
          <w:lang w:val="sl-SI"/>
        </w:rPr>
        <w:t xml:space="preserve">Basner M., Brink M., Bristow A., de Kluizenaar Y., Finegold L., Hong J, Janssen </w:t>
      </w:r>
      <w:r w:rsidRPr="005771BD">
        <w:rPr>
          <w:rFonts w:eastAsiaTheme="minorHAnsi" w:cs="Arial"/>
          <w:i/>
          <w:szCs w:val="20"/>
          <w:lang w:val="sl-SI"/>
        </w:rPr>
        <w:t>SA, Klaeboe R, Leroux T, Liebl A, Matsui T, Schwela D, Sliwinska-Kowalska M, Sörqvist P. 2015. ICBEN review of research on the biological effects of noise 2011</w:t>
      </w:r>
      <w:r>
        <w:rPr>
          <w:rFonts w:eastAsiaTheme="minorHAnsi" w:cs="Arial"/>
          <w:i/>
          <w:szCs w:val="20"/>
          <w:lang w:val="sl-SI"/>
        </w:rPr>
        <w:t>–</w:t>
      </w:r>
      <w:r w:rsidRPr="005771BD">
        <w:rPr>
          <w:rFonts w:eastAsiaTheme="minorHAnsi" w:cs="Arial"/>
          <w:i/>
          <w:szCs w:val="20"/>
          <w:lang w:val="sl-SI"/>
        </w:rPr>
        <w:t>2014</w:t>
      </w:r>
      <w:r w:rsidRPr="005771BD">
        <w:rPr>
          <w:rFonts w:eastAsiaTheme="minorHAnsi" w:cs="Arial"/>
          <w:szCs w:val="20"/>
          <w:lang w:val="sl-SI"/>
        </w:rPr>
        <w:t>. Noise Health 2015;17:57</w:t>
      </w:r>
      <w:r>
        <w:rPr>
          <w:rFonts w:eastAsiaTheme="minorHAnsi" w:cs="Arial"/>
          <w:szCs w:val="20"/>
          <w:lang w:val="sl-SI"/>
        </w:rPr>
        <w:t>–</w:t>
      </w:r>
      <w:r w:rsidRPr="005771BD">
        <w:rPr>
          <w:rFonts w:eastAsiaTheme="minorHAnsi" w:cs="Arial"/>
          <w:szCs w:val="20"/>
          <w:lang w:val="sl-SI"/>
        </w:rPr>
        <w:t>82.</w:t>
      </w:r>
    </w:p>
    <w:p w:rsidR="0057482E" w:rsidRPr="005771BD" w:rsidRDefault="0057482E" w:rsidP="0057482E">
      <w:pPr>
        <w:spacing w:before="120" w:line="240" w:lineRule="auto"/>
        <w:jc w:val="both"/>
        <w:rPr>
          <w:rFonts w:eastAsiaTheme="minorHAnsi" w:cs="Arial"/>
          <w:szCs w:val="20"/>
          <w:lang w:val="sl-SI"/>
        </w:rPr>
      </w:pPr>
      <w:r w:rsidRPr="005771BD">
        <w:rPr>
          <w:rFonts w:eastAsiaTheme="minorHAnsi" w:cs="Arial"/>
          <w:szCs w:val="20"/>
          <w:lang w:val="sl-SI"/>
        </w:rPr>
        <w:t xml:space="preserve">Birnbaum L.S., 2013. </w:t>
      </w:r>
      <w:r w:rsidRPr="005771BD">
        <w:rPr>
          <w:rFonts w:eastAsiaTheme="minorHAnsi" w:cs="Arial"/>
          <w:i/>
          <w:szCs w:val="20"/>
          <w:lang w:val="sl-SI"/>
        </w:rPr>
        <w:t>When environmental chemicals act like uncontrolled medicine. Trends Endocrinol. Metab</w:t>
      </w:r>
      <w:r w:rsidRPr="005771BD">
        <w:rPr>
          <w:rFonts w:eastAsiaTheme="minorHAnsi" w:cs="Arial"/>
          <w:szCs w:val="20"/>
          <w:lang w:val="sl-SI"/>
        </w:rPr>
        <w:t xml:space="preserve"> 24(7): 321</w:t>
      </w:r>
      <w:r>
        <w:rPr>
          <w:rFonts w:eastAsiaTheme="minorHAnsi" w:cs="Arial"/>
          <w:szCs w:val="20"/>
          <w:lang w:val="sl-SI"/>
        </w:rPr>
        <w:t>–</w:t>
      </w:r>
      <w:r w:rsidRPr="005771BD">
        <w:rPr>
          <w:rFonts w:eastAsiaTheme="minorHAnsi" w:cs="Arial"/>
          <w:szCs w:val="20"/>
          <w:lang w:val="sl-SI"/>
        </w:rPr>
        <w:t>323.</w:t>
      </w:r>
    </w:p>
    <w:p w:rsidR="0057482E" w:rsidRPr="005771BD" w:rsidRDefault="0057482E" w:rsidP="0057482E">
      <w:pPr>
        <w:spacing w:before="120" w:line="240" w:lineRule="auto"/>
        <w:jc w:val="both"/>
        <w:rPr>
          <w:rFonts w:eastAsiaTheme="minorHAnsi" w:cs="Arial"/>
          <w:szCs w:val="20"/>
          <w:lang w:val="sl-SI"/>
        </w:rPr>
      </w:pPr>
      <w:r w:rsidRPr="005771BD">
        <w:rPr>
          <w:rFonts w:eastAsiaTheme="minorHAnsi" w:cs="Arial"/>
          <w:szCs w:val="20"/>
          <w:lang w:val="sl-SI"/>
        </w:rPr>
        <w:t xml:space="preserve">EEA, 2013. </w:t>
      </w:r>
      <w:r w:rsidRPr="005771BD">
        <w:rPr>
          <w:rFonts w:eastAsiaTheme="minorHAnsi" w:cs="Arial"/>
          <w:i/>
          <w:szCs w:val="20"/>
          <w:lang w:val="sl-SI"/>
        </w:rPr>
        <w:t>SIGNALI 2013 - Kakšen zrak dihamo. Kakovost zraka v Evropi</w:t>
      </w:r>
      <w:r w:rsidRPr="005771BD">
        <w:rPr>
          <w:rFonts w:eastAsiaTheme="minorHAnsi" w:cs="Arial"/>
          <w:szCs w:val="20"/>
          <w:lang w:val="sl-SI"/>
        </w:rPr>
        <w:t xml:space="preserve">. Copenhagen: European Environmental Agency. Spletni vir: </w:t>
      </w:r>
      <w:hyperlink r:id="rId326" w:history="1">
        <w:r w:rsidRPr="005771BD">
          <w:rPr>
            <w:rFonts w:eastAsiaTheme="minorHAnsi" w:cs="Arial"/>
            <w:color w:val="5F5F5F" w:themeColor="hyperlink"/>
            <w:szCs w:val="20"/>
            <w:u w:val="single"/>
            <w:lang w:val="sl-SI"/>
          </w:rPr>
          <w:t>http://www.eea.europa.eu/sl/publications/eea-signali-2013-kaksen-zrak-dihamo</w:t>
        </w:r>
      </w:hyperlink>
      <w:r w:rsidRPr="005771BD">
        <w:rPr>
          <w:rFonts w:eastAsiaTheme="minorHAnsi" w:cs="Arial"/>
          <w:szCs w:val="20"/>
          <w:lang w:val="sl-SI"/>
        </w:rPr>
        <w:t>.</w:t>
      </w:r>
    </w:p>
    <w:p w:rsidR="0057482E" w:rsidRPr="005771BD" w:rsidRDefault="0057482E" w:rsidP="0057482E">
      <w:pPr>
        <w:spacing w:before="120" w:line="240" w:lineRule="auto"/>
        <w:jc w:val="both"/>
        <w:rPr>
          <w:rFonts w:cs="Arial"/>
          <w:szCs w:val="20"/>
          <w:lang w:val="sl-SI" w:eastAsia="sl-SI"/>
        </w:rPr>
      </w:pPr>
      <w:r w:rsidRPr="005771BD">
        <w:rPr>
          <w:rFonts w:eastAsiaTheme="minorHAnsi" w:cs="Arial"/>
          <w:szCs w:val="20"/>
          <w:lang w:val="sl-SI"/>
        </w:rPr>
        <w:t xml:space="preserve">EEA, 2015. </w:t>
      </w:r>
      <w:r w:rsidRPr="005771BD">
        <w:rPr>
          <w:rFonts w:cs="Arial"/>
          <w:szCs w:val="20"/>
          <w:lang w:val="sl-SI" w:eastAsia="sl-SI"/>
        </w:rPr>
        <w:t xml:space="preserve">Air quality in Europe-2015 report, EEA Report / No 5/2015. </w:t>
      </w:r>
      <w:r w:rsidRPr="005771BD">
        <w:rPr>
          <w:rFonts w:eastAsiaTheme="minorHAnsi" w:cs="Arial"/>
          <w:szCs w:val="20"/>
          <w:lang w:val="sl-SI"/>
        </w:rPr>
        <w:t xml:space="preserve">Copenhagen: European Environmental Agency. </w:t>
      </w:r>
    </w:p>
    <w:p w:rsidR="0057482E" w:rsidRPr="005771BD" w:rsidRDefault="0057482E" w:rsidP="0057482E">
      <w:pPr>
        <w:spacing w:before="120" w:line="240" w:lineRule="auto"/>
        <w:jc w:val="both"/>
        <w:rPr>
          <w:rFonts w:eastAsiaTheme="minorHAnsi" w:cs="Arial"/>
          <w:color w:val="5F5F5F" w:themeColor="hyperlink"/>
          <w:szCs w:val="20"/>
          <w:u w:val="single"/>
          <w:lang w:val="sl-SI"/>
        </w:rPr>
      </w:pPr>
      <w:r w:rsidRPr="005771BD">
        <w:rPr>
          <w:rFonts w:eastAsiaTheme="minorHAnsi" w:cs="Arial"/>
          <w:szCs w:val="20"/>
          <w:lang w:val="sl-SI"/>
        </w:rPr>
        <w:t xml:space="preserve">EEA, 2016. </w:t>
      </w:r>
      <w:r w:rsidRPr="005771BD">
        <w:rPr>
          <w:rFonts w:eastAsiaTheme="minorHAnsi" w:cs="Arial"/>
          <w:i/>
          <w:szCs w:val="20"/>
          <w:lang w:val="sl-SI"/>
        </w:rPr>
        <w:t>European bathing water quality in 2015. Poročilo EEA No. 9/2016</w:t>
      </w:r>
      <w:r w:rsidRPr="005771BD">
        <w:rPr>
          <w:rFonts w:eastAsiaTheme="minorHAnsi" w:cs="Arial"/>
          <w:szCs w:val="20"/>
          <w:lang w:val="sl-SI"/>
        </w:rPr>
        <w:t xml:space="preserve">. Luxembourg: Publications Office of the European Union. Dostop na: </w:t>
      </w:r>
      <w:hyperlink r:id="rId327" w:history="1">
        <w:r w:rsidRPr="005771BD">
          <w:rPr>
            <w:rFonts w:eastAsiaTheme="minorHAnsi" w:cs="Arial"/>
            <w:color w:val="5F5F5F" w:themeColor="hyperlink"/>
            <w:szCs w:val="20"/>
            <w:u w:val="single"/>
            <w:lang w:val="sl-SI"/>
          </w:rPr>
          <w:t>http://www.eea.europa.eu/publications/european-bathing-water-quality-2015</w:t>
        </w:r>
      </w:hyperlink>
    </w:p>
    <w:p w:rsidR="0057482E" w:rsidRPr="005771BD" w:rsidRDefault="0057482E" w:rsidP="0057482E">
      <w:pPr>
        <w:spacing w:before="120" w:line="240" w:lineRule="auto"/>
        <w:jc w:val="both"/>
        <w:rPr>
          <w:rFonts w:eastAsiaTheme="minorHAnsi" w:cs="Arial"/>
          <w:szCs w:val="20"/>
          <w:lang w:val="sl-SI"/>
        </w:rPr>
      </w:pPr>
      <w:r w:rsidRPr="005771BD">
        <w:rPr>
          <w:rFonts w:eastAsiaTheme="minorHAnsi" w:cs="Arial"/>
          <w:szCs w:val="20"/>
          <w:lang w:val="sl-SI"/>
        </w:rPr>
        <w:t>EEA, 2016</w:t>
      </w:r>
      <w:r w:rsidRPr="005771BD">
        <w:rPr>
          <w:rFonts w:eastAsiaTheme="minorHAnsi" w:cs="Arial"/>
          <w:i/>
          <w:szCs w:val="20"/>
          <w:lang w:val="sl-SI"/>
        </w:rPr>
        <w:t xml:space="preserve">. Quiet areas in Europe - The environment unaffected by noise pollution. </w:t>
      </w:r>
      <w:r w:rsidRPr="005771BD">
        <w:rPr>
          <w:rFonts w:eastAsiaTheme="minorHAnsi" w:cs="Arial"/>
          <w:szCs w:val="20"/>
          <w:lang w:val="sl-SI"/>
        </w:rPr>
        <w:t xml:space="preserve">European Environmental Agency, Report No 14/2016, ISSN 1977-8449. Dostopno na: </w:t>
      </w:r>
      <w:hyperlink r:id="rId328" w:history="1">
        <w:r w:rsidRPr="005771BD">
          <w:rPr>
            <w:rFonts w:eastAsiaTheme="minorHAnsi" w:cs="Arial"/>
            <w:color w:val="5F5F5F" w:themeColor="hyperlink"/>
            <w:szCs w:val="20"/>
            <w:u w:val="single"/>
            <w:lang w:val="sl-SI"/>
          </w:rPr>
          <w:t>http://www.eea.europa.eu/publications/quiet-areas-in-europe</w:t>
        </w:r>
      </w:hyperlink>
      <w:r w:rsidRPr="005771BD">
        <w:rPr>
          <w:rFonts w:eastAsiaTheme="minorHAnsi" w:cs="Arial"/>
          <w:szCs w:val="20"/>
          <w:lang w:val="sl-SI"/>
        </w:rPr>
        <w:t xml:space="preserve">. </w:t>
      </w:r>
    </w:p>
    <w:p w:rsidR="0057482E" w:rsidRPr="0035476E" w:rsidRDefault="0057482E" w:rsidP="0057482E">
      <w:pPr>
        <w:spacing w:before="120" w:line="240" w:lineRule="auto"/>
        <w:jc w:val="both"/>
        <w:rPr>
          <w:rFonts w:eastAsia="Calibri" w:cs="Arial"/>
          <w:noProof/>
          <w:szCs w:val="20"/>
          <w:lang w:val="sl-SI"/>
        </w:rPr>
      </w:pPr>
      <w:r w:rsidRPr="0035476E">
        <w:rPr>
          <w:rFonts w:eastAsia="Calibri" w:cs="Arial"/>
          <w:noProof/>
          <w:szCs w:val="20"/>
          <w:lang w:val="sl-SI"/>
        </w:rPr>
        <w:t xml:space="preserve">EFSA, 2008. </w:t>
      </w:r>
      <w:r w:rsidRPr="0035476E">
        <w:rPr>
          <w:rFonts w:eastAsia="Calibri" w:cs="Arial"/>
          <w:i/>
          <w:noProof/>
          <w:szCs w:val="20"/>
          <w:lang w:val="sl-SI"/>
        </w:rPr>
        <w:t>Polycyclic Aromatic Hydrocarbons in Food - Scientific Opinion of the Panel on Contaminants in the Food Chain.</w:t>
      </w:r>
      <w:r w:rsidRPr="0035476E">
        <w:rPr>
          <w:rFonts w:eastAsia="Calibri" w:cs="Arial"/>
          <w:noProof/>
          <w:szCs w:val="20"/>
          <w:lang w:val="sl-SI"/>
        </w:rPr>
        <w:t xml:space="preserve"> European Food Safety Authority</w:t>
      </w:r>
      <w:r w:rsidRPr="0035476E">
        <w:rPr>
          <w:rFonts w:eastAsia="Calibri" w:cs="Arial"/>
          <w:i/>
          <w:noProof/>
          <w:szCs w:val="20"/>
          <w:lang w:val="sl-SI"/>
        </w:rPr>
        <w:t xml:space="preserve"> Journal, 6</w:t>
      </w:r>
      <w:r w:rsidRPr="0035476E">
        <w:rPr>
          <w:rFonts w:eastAsia="Calibri" w:cs="Arial"/>
          <w:noProof/>
          <w:szCs w:val="20"/>
          <w:lang w:val="sl-SI"/>
        </w:rPr>
        <w:t xml:space="preserve">(8), 724-n/a. Dostopno na: </w:t>
      </w:r>
      <w:hyperlink r:id="rId329" w:history="1">
        <w:r w:rsidRPr="0035476E">
          <w:rPr>
            <w:rFonts w:eastAsia="Calibri" w:cs="Arial"/>
            <w:noProof/>
            <w:color w:val="5F5F5F" w:themeColor="hyperlink"/>
            <w:szCs w:val="20"/>
            <w:u w:val="single"/>
            <w:lang w:val="sl-SI"/>
          </w:rPr>
          <w:t>http://www.efsa.europa.eu/en/efsajournal/pub/724</w:t>
        </w:r>
      </w:hyperlink>
      <w:r w:rsidRPr="0035476E">
        <w:rPr>
          <w:rFonts w:eastAsia="Calibri" w:cs="Arial"/>
          <w:noProof/>
          <w:szCs w:val="20"/>
          <w:lang w:val="sl-SI"/>
        </w:rPr>
        <w:t xml:space="preserve">. </w:t>
      </w:r>
    </w:p>
    <w:p w:rsidR="0057482E" w:rsidRPr="0035476E" w:rsidRDefault="0057482E" w:rsidP="0057482E">
      <w:pPr>
        <w:spacing w:before="120" w:line="240" w:lineRule="auto"/>
        <w:jc w:val="both"/>
        <w:rPr>
          <w:rFonts w:eastAsia="Calibri" w:cs="Arial"/>
          <w:i/>
          <w:noProof/>
          <w:szCs w:val="20"/>
          <w:lang w:val="sl-SI"/>
        </w:rPr>
      </w:pPr>
      <w:r w:rsidRPr="0035476E">
        <w:rPr>
          <w:rFonts w:eastAsia="Calibri" w:cs="Arial"/>
          <w:noProof/>
          <w:szCs w:val="20"/>
          <w:lang w:val="sl-SI"/>
        </w:rPr>
        <w:t xml:space="preserve">EFSA, 2012. </w:t>
      </w:r>
      <w:r w:rsidRPr="0035476E">
        <w:rPr>
          <w:rFonts w:eastAsia="Calibri" w:cs="Arial"/>
          <w:i/>
          <w:noProof/>
          <w:szCs w:val="20"/>
          <w:lang w:val="sl-SI"/>
        </w:rPr>
        <w:t>Update of the monitoring of dioxins and PCBs levels in food and feed</w:t>
      </w:r>
      <w:r w:rsidRPr="0035476E">
        <w:rPr>
          <w:rFonts w:eastAsia="Calibri" w:cs="Arial"/>
          <w:noProof/>
          <w:szCs w:val="20"/>
          <w:lang w:val="sl-SI"/>
        </w:rPr>
        <w:t>. Journal.</w:t>
      </w:r>
      <w:r w:rsidRPr="0035476E">
        <w:rPr>
          <w:rFonts w:eastAsia="Calibri" w:cs="Arial"/>
          <w:i/>
          <w:noProof/>
          <w:szCs w:val="20"/>
          <w:lang w:val="sl-SI"/>
        </w:rPr>
        <w:t xml:space="preserve"> </w:t>
      </w:r>
      <w:r w:rsidRPr="0035476E">
        <w:rPr>
          <w:rFonts w:eastAsia="Calibri" w:cs="Arial"/>
          <w:noProof/>
          <w:szCs w:val="20"/>
          <w:lang w:val="sl-SI"/>
        </w:rPr>
        <w:t xml:space="preserve">European Food Safety Authority Journal. Dostopno na: </w:t>
      </w:r>
      <w:hyperlink r:id="rId330" w:history="1">
        <w:r w:rsidRPr="0035476E">
          <w:rPr>
            <w:rStyle w:val="Hiperpovezava"/>
            <w:rFonts w:eastAsia="Calibri"/>
            <w:lang w:val="sl-SI"/>
          </w:rPr>
          <w:t>https://www.efsa.europa.eu/en/efsajournal/pub/2832. Pridobljeno 7</w:t>
        </w:r>
      </w:hyperlink>
      <w:r w:rsidRPr="0035476E">
        <w:rPr>
          <w:rFonts w:eastAsia="Calibri" w:cs="Arial"/>
          <w:noProof/>
          <w:szCs w:val="20"/>
          <w:lang w:val="sl-SI"/>
        </w:rPr>
        <w:t>.</w:t>
      </w:r>
      <w:r>
        <w:rPr>
          <w:rFonts w:eastAsia="Calibri" w:cs="Arial"/>
          <w:noProof/>
          <w:szCs w:val="20"/>
          <w:lang w:val="sl-SI"/>
        </w:rPr>
        <w:t xml:space="preserve"> </w:t>
      </w:r>
      <w:r w:rsidRPr="0035476E">
        <w:rPr>
          <w:rFonts w:eastAsia="Calibri" w:cs="Arial"/>
          <w:noProof/>
          <w:szCs w:val="20"/>
          <w:lang w:val="sl-SI"/>
        </w:rPr>
        <w:t>11.</w:t>
      </w:r>
      <w:r>
        <w:rPr>
          <w:rFonts w:eastAsia="Calibri" w:cs="Arial"/>
          <w:noProof/>
          <w:szCs w:val="20"/>
          <w:lang w:val="sl-SI"/>
        </w:rPr>
        <w:t xml:space="preserve"> </w:t>
      </w:r>
      <w:r w:rsidRPr="0035476E">
        <w:rPr>
          <w:rFonts w:eastAsia="Calibri" w:cs="Arial"/>
          <w:noProof/>
          <w:szCs w:val="20"/>
          <w:lang w:val="sl-SI"/>
        </w:rPr>
        <w:t>2016.</w:t>
      </w:r>
    </w:p>
    <w:p w:rsidR="0057482E" w:rsidRPr="005771BD" w:rsidRDefault="0057482E" w:rsidP="0057482E">
      <w:pPr>
        <w:spacing w:before="120" w:line="240" w:lineRule="auto"/>
        <w:jc w:val="both"/>
        <w:rPr>
          <w:rFonts w:eastAsiaTheme="minorHAnsi" w:cs="Arial"/>
          <w:szCs w:val="20"/>
          <w:lang w:val="sl-SI"/>
        </w:rPr>
      </w:pPr>
      <w:r w:rsidRPr="005771BD">
        <w:rPr>
          <w:rFonts w:eastAsiaTheme="minorHAnsi" w:cs="Arial"/>
          <w:szCs w:val="20"/>
          <w:lang w:val="sl-SI"/>
        </w:rPr>
        <w:t xml:space="preserve">ENRHES, 2009. </w:t>
      </w:r>
      <w:r w:rsidRPr="005771BD">
        <w:rPr>
          <w:rFonts w:eastAsiaTheme="minorHAnsi" w:cs="Arial"/>
          <w:i/>
          <w:szCs w:val="20"/>
          <w:lang w:val="sl-SI"/>
        </w:rPr>
        <w:t>Engineered Nanoparticles: Review of Health and Environmental Safety. Project Final Report</w:t>
      </w:r>
      <w:r w:rsidRPr="005771BD">
        <w:rPr>
          <w:rFonts w:eastAsiaTheme="minorHAnsi" w:cs="Arial"/>
          <w:szCs w:val="20"/>
          <w:lang w:val="sl-SI"/>
        </w:rPr>
        <w:t>. Dostopno na:</w:t>
      </w:r>
    </w:p>
    <w:p w:rsidR="0057482E" w:rsidRPr="005771BD" w:rsidRDefault="0057482E" w:rsidP="0057482E">
      <w:pPr>
        <w:spacing w:line="240" w:lineRule="auto"/>
        <w:jc w:val="both"/>
        <w:rPr>
          <w:rFonts w:eastAsiaTheme="minorHAnsi" w:cs="Arial"/>
          <w:color w:val="5F5F5F" w:themeColor="hyperlink"/>
          <w:szCs w:val="20"/>
          <w:u w:val="single"/>
          <w:lang w:val="sl-SI"/>
        </w:rPr>
      </w:pPr>
      <w:r w:rsidRPr="005771BD">
        <w:rPr>
          <w:rFonts w:eastAsiaTheme="minorHAnsi" w:cs="Arial"/>
          <w:szCs w:val="20"/>
          <w:lang w:val="sl-SI"/>
        </w:rPr>
        <w:t xml:space="preserve"> </w:t>
      </w:r>
      <w:r w:rsidRPr="005771BD">
        <w:rPr>
          <w:rFonts w:eastAsiaTheme="minorHAnsi" w:cs="Arial"/>
          <w:color w:val="5F5F5F" w:themeColor="hyperlink"/>
          <w:szCs w:val="20"/>
          <w:u w:val="single"/>
          <w:lang w:val="sl-SI"/>
        </w:rPr>
        <w:t xml:space="preserve">http://nanopinion.archiv.zsi.at/sites/default/files/enrhes_review_0.pdf. </w:t>
      </w:r>
    </w:p>
    <w:p w:rsidR="0057482E" w:rsidRPr="005771BD" w:rsidRDefault="0057482E" w:rsidP="0057482E">
      <w:pPr>
        <w:spacing w:before="120" w:line="240" w:lineRule="auto"/>
        <w:jc w:val="both"/>
        <w:rPr>
          <w:rFonts w:eastAsiaTheme="minorHAnsi" w:cs="Arial"/>
          <w:color w:val="5F5F5F" w:themeColor="hyperlink"/>
          <w:szCs w:val="20"/>
          <w:u w:val="single"/>
          <w:lang w:val="sl-SI"/>
        </w:rPr>
      </w:pPr>
      <w:r w:rsidRPr="005771BD">
        <w:rPr>
          <w:rFonts w:eastAsiaTheme="minorHAnsi" w:cs="Arial"/>
          <w:szCs w:val="20"/>
          <w:lang w:val="sl-SI"/>
        </w:rPr>
        <w:t xml:space="preserve">EU, 2013. </w:t>
      </w:r>
      <w:r w:rsidRPr="005771BD">
        <w:rPr>
          <w:rFonts w:eastAsiaTheme="minorHAnsi" w:cs="Arial"/>
          <w:i/>
          <w:szCs w:val="20"/>
          <w:lang w:val="sl-SI"/>
        </w:rPr>
        <w:t>7. AOP, Sklep št. 1386/2013/EU Evropskega parlamenta in sveta z dne 20. novembra 2013 o splošnem okoljskem akcijskem programu Unije do leta 2020 „Dobro živeti ob upoštevanju omejitev našega planeta“ (7. OAP</w:t>
      </w:r>
      <w:r w:rsidRPr="005771BD">
        <w:rPr>
          <w:rFonts w:eastAsiaTheme="minorHAnsi" w:cs="Arial"/>
          <w:szCs w:val="20"/>
          <w:lang w:val="sl-SI"/>
        </w:rPr>
        <w:t xml:space="preserve">). Dostopno na: </w:t>
      </w:r>
      <w:r w:rsidRPr="005771BD">
        <w:rPr>
          <w:rFonts w:eastAsiaTheme="minorHAnsi" w:cs="Arial"/>
          <w:szCs w:val="20"/>
          <w:lang w:val="sl-SI"/>
        </w:rPr>
        <w:tab/>
      </w:r>
      <w:hyperlink r:id="rId331" w:history="1">
        <w:r w:rsidRPr="005771BD">
          <w:rPr>
            <w:rFonts w:eastAsiaTheme="minorHAnsi" w:cs="Arial"/>
            <w:color w:val="5F5F5F" w:themeColor="hyperlink"/>
            <w:szCs w:val="20"/>
            <w:u w:val="single"/>
            <w:lang w:val="sl-SI"/>
          </w:rPr>
          <w:t>http://eur-lex.europa.eu/legal-content/SL/TXT/PDF/?uri=CELEX:32013D1386&amp;from=EN</w:t>
        </w:r>
      </w:hyperlink>
    </w:p>
    <w:p w:rsidR="0057482E" w:rsidRPr="005771BD" w:rsidRDefault="0057482E" w:rsidP="0057482E">
      <w:pPr>
        <w:spacing w:before="120" w:line="240" w:lineRule="auto"/>
        <w:jc w:val="both"/>
        <w:rPr>
          <w:rFonts w:eastAsiaTheme="minorHAnsi" w:cs="Arial"/>
          <w:szCs w:val="20"/>
          <w:lang w:val="sl-SI"/>
        </w:rPr>
      </w:pPr>
      <w:r w:rsidRPr="005771BD">
        <w:rPr>
          <w:rFonts w:eastAsiaTheme="minorHAnsi" w:cs="Arial"/>
          <w:szCs w:val="20"/>
          <w:lang w:val="sl-SI"/>
        </w:rPr>
        <w:t>Gale</w:t>
      </w:r>
      <w:r>
        <w:rPr>
          <w:rFonts w:eastAsiaTheme="minorHAnsi" w:cs="Arial"/>
          <w:szCs w:val="20"/>
          <w:lang w:val="sl-SI"/>
        </w:rPr>
        <w:t>,</w:t>
      </w:r>
      <w:r w:rsidRPr="005771BD">
        <w:rPr>
          <w:rFonts w:eastAsiaTheme="minorHAnsi" w:cs="Arial"/>
          <w:szCs w:val="20"/>
          <w:lang w:val="sl-SI"/>
        </w:rPr>
        <w:t xml:space="preserve"> I., Grča</w:t>
      </w:r>
      <w:r>
        <w:rPr>
          <w:rFonts w:eastAsiaTheme="minorHAnsi" w:cs="Arial"/>
          <w:szCs w:val="20"/>
          <w:lang w:val="sl-SI"/>
        </w:rPr>
        <w:t>,</w:t>
      </w:r>
      <w:r w:rsidRPr="005771BD">
        <w:rPr>
          <w:rFonts w:eastAsiaTheme="minorHAnsi" w:cs="Arial"/>
          <w:szCs w:val="20"/>
          <w:lang w:val="sl-SI"/>
        </w:rPr>
        <w:t xml:space="preserve"> T., Bitenc</w:t>
      </w:r>
      <w:r>
        <w:rPr>
          <w:rFonts w:eastAsiaTheme="minorHAnsi" w:cs="Arial"/>
          <w:szCs w:val="20"/>
          <w:lang w:val="sl-SI"/>
        </w:rPr>
        <w:t>,</w:t>
      </w:r>
      <w:r w:rsidRPr="005771BD">
        <w:rPr>
          <w:rFonts w:eastAsiaTheme="minorHAnsi" w:cs="Arial"/>
          <w:szCs w:val="20"/>
          <w:lang w:val="sl-SI"/>
        </w:rPr>
        <w:t xml:space="preserve"> K., 2015a. </w:t>
      </w:r>
      <w:r w:rsidRPr="005771BD">
        <w:rPr>
          <w:rFonts w:eastAsiaTheme="minorHAnsi" w:cs="Arial"/>
          <w:i/>
          <w:szCs w:val="20"/>
          <w:lang w:val="sl-SI"/>
        </w:rPr>
        <w:t xml:space="preserve">Kazalci okolja </w:t>
      </w:r>
      <w:r>
        <w:rPr>
          <w:rFonts w:eastAsiaTheme="minorHAnsi" w:cs="Arial"/>
          <w:i/>
          <w:szCs w:val="20"/>
          <w:lang w:val="sl-SI"/>
        </w:rPr>
        <w:t>–</w:t>
      </w:r>
      <w:r w:rsidRPr="005771BD">
        <w:rPr>
          <w:rFonts w:eastAsiaTheme="minorHAnsi" w:cs="Arial"/>
          <w:i/>
          <w:szCs w:val="20"/>
          <w:lang w:val="sl-SI"/>
        </w:rPr>
        <w:t xml:space="preserve"> pitna voda: dostopnost pitne vode v Sloveniji = Environmental indicators - drinking water : availability of drinking water in Slovenia</w:t>
      </w:r>
      <w:r w:rsidRPr="005771BD">
        <w:rPr>
          <w:rFonts w:eastAsiaTheme="minorHAnsi" w:cs="Arial"/>
          <w:szCs w:val="20"/>
          <w:lang w:val="sl-SI"/>
        </w:rPr>
        <w:t xml:space="preserve">. </w:t>
      </w:r>
      <w:r w:rsidRPr="005771BD">
        <w:rPr>
          <w:rFonts w:eastAsiaTheme="minorHAnsi" w:cs="Arial"/>
          <w:i/>
          <w:szCs w:val="20"/>
          <w:lang w:val="sl-SI"/>
        </w:rPr>
        <w:t>Enboz</w:t>
      </w:r>
      <w:r w:rsidRPr="005771BD">
        <w:rPr>
          <w:rFonts w:eastAsiaTheme="minorHAnsi" w:cs="Arial"/>
          <w:szCs w:val="20"/>
          <w:lang w:val="sl-SI"/>
        </w:rPr>
        <w:t>, 5(9), 7</w:t>
      </w:r>
      <w:r>
        <w:rPr>
          <w:rFonts w:eastAsiaTheme="minorHAnsi" w:cs="Arial"/>
          <w:szCs w:val="20"/>
          <w:lang w:val="sl-SI"/>
        </w:rPr>
        <w:t>–</w:t>
      </w:r>
      <w:r w:rsidRPr="005771BD">
        <w:rPr>
          <w:rFonts w:eastAsiaTheme="minorHAnsi" w:cs="Arial"/>
          <w:szCs w:val="20"/>
          <w:lang w:val="sl-SI"/>
        </w:rPr>
        <w:t>11.</w:t>
      </w:r>
    </w:p>
    <w:p w:rsidR="0057482E" w:rsidRPr="005771BD" w:rsidRDefault="0057482E" w:rsidP="0057482E">
      <w:pPr>
        <w:spacing w:before="120" w:line="240" w:lineRule="auto"/>
        <w:jc w:val="both"/>
        <w:rPr>
          <w:rFonts w:eastAsiaTheme="minorHAnsi" w:cs="Arial"/>
          <w:szCs w:val="20"/>
          <w:lang w:val="sl-SI"/>
        </w:rPr>
      </w:pPr>
      <w:r w:rsidRPr="005771BD">
        <w:rPr>
          <w:rFonts w:eastAsiaTheme="minorHAnsi" w:cs="Arial"/>
          <w:szCs w:val="20"/>
          <w:lang w:val="sl-SI"/>
        </w:rPr>
        <w:t>Gale</w:t>
      </w:r>
      <w:r>
        <w:rPr>
          <w:rFonts w:eastAsiaTheme="minorHAnsi" w:cs="Arial"/>
          <w:szCs w:val="20"/>
          <w:lang w:val="sl-SI"/>
        </w:rPr>
        <w:t>,</w:t>
      </w:r>
      <w:r w:rsidRPr="005771BD">
        <w:rPr>
          <w:rFonts w:eastAsiaTheme="minorHAnsi" w:cs="Arial"/>
          <w:szCs w:val="20"/>
          <w:lang w:val="sl-SI"/>
        </w:rPr>
        <w:t xml:space="preserve"> I., Grča</w:t>
      </w:r>
      <w:r>
        <w:rPr>
          <w:rFonts w:eastAsiaTheme="minorHAnsi" w:cs="Arial"/>
          <w:szCs w:val="20"/>
          <w:lang w:val="sl-SI"/>
        </w:rPr>
        <w:t>,</w:t>
      </w:r>
      <w:r w:rsidRPr="005771BD">
        <w:rPr>
          <w:rFonts w:eastAsiaTheme="minorHAnsi" w:cs="Arial"/>
          <w:szCs w:val="20"/>
          <w:lang w:val="sl-SI"/>
        </w:rPr>
        <w:t xml:space="preserve"> T., Bitenc</w:t>
      </w:r>
      <w:r>
        <w:rPr>
          <w:rFonts w:eastAsiaTheme="minorHAnsi" w:cs="Arial"/>
          <w:szCs w:val="20"/>
          <w:lang w:val="sl-SI"/>
        </w:rPr>
        <w:t>,</w:t>
      </w:r>
      <w:r w:rsidRPr="005771BD">
        <w:rPr>
          <w:rFonts w:eastAsiaTheme="minorHAnsi" w:cs="Arial"/>
          <w:szCs w:val="20"/>
          <w:lang w:val="sl-SI"/>
        </w:rPr>
        <w:t xml:space="preserve"> K., 2015b. </w:t>
      </w:r>
      <w:r w:rsidRPr="005771BD">
        <w:rPr>
          <w:rFonts w:eastAsiaTheme="minorHAnsi" w:cs="Arial"/>
          <w:i/>
          <w:szCs w:val="20"/>
          <w:lang w:val="sl-SI"/>
        </w:rPr>
        <w:t xml:space="preserve">Kazalci okolja </w:t>
      </w:r>
      <w:r>
        <w:rPr>
          <w:rFonts w:eastAsiaTheme="minorHAnsi" w:cs="Arial"/>
          <w:i/>
          <w:szCs w:val="20"/>
          <w:lang w:val="sl-SI"/>
        </w:rPr>
        <w:t>–</w:t>
      </w:r>
      <w:r w:rsidRPr="005771BD">
        <w:rPr>
          <w:rFonts w:eastAsiaTheme="minorHAnsi" w:cs="Arial"/>
          <w:i/>
          <w:szCs w:val="20"/>
          <w:lang w:val="sl-SI"/>
        </w:rPr>
        <w:t xml:space="preserve"> pitna voda </w:t>
      </w:r>
      <w:r>
        <w:rPr>
          <w:rFonts w:eastAsiaTheme="minorHAnsi" w:cs="Arial"/>
          <w:i/>
          <w:szCs w:val="20"/>
          <w:lang w:val="sl-SI"/>
        </w:rPr>
        <w:t>–</w:t>
      </w:r>
      <w:r w:rsidRPr="005771BD">
        <w:rPr>
          <w:rFonts w:eastAsiaTheme="minorHAnsi" w:cs="Arial"/>
          <w:i/>
          <w:szCs w:val="20"/>
          <w:lang w:val="sl-SI"/>
        </w:rPr>
        <w:t xml:space="preserve"> kakovost pitne vode v Sloveniji = Environmental indicators </w:t>
      </w:r>
      <w:r>
        <w:rPr>
          <w:rFonts w:eastAsiaTheme="minorHAnsi" w:cs="Arial"/>
          <w:i/>
          <w:szCs w:val="20"/>
          <w:lang w:val="sl-SI"/>
        </w:rPr>
        <w:t>–</w:t>
      </w:r>
      <w:r w:rsidRPr="005771BD">
        <w:rPr>
          <w:rFonts w:eastAsiaTheme="minorHAnsi" w:cs="Arial"/>
          <w:i/>
          <w:szCs w:val="20"/>
          <w:lang w:val="sl-SI"/>
        </w:rPr>
        <w:t xml:space="preserve"> drinking water </w:t>
      </w:r>
      <w:r>
        <w:rPr>
          <w:rFonts w:eastAsiaTheme="minorHAnsi" w:cs="Arial"/>
          <w:i/>
          <w:szCs w:val="20"/>
          <w:lang w:val="sl-SI"/>
        </w:rPr>
        <w:t>–</w:t>
      </w:r>
      <w:r w:rsidRPr="005771BD">
        <w:rPr>
          <w:rFonts w:eastAsiaTheme="minorHAnsi" w:cs="Arial"/>
          <w:i/>
          <w:szCs w:val="20"/>
          <w:lang w:val="sl-SI"/>
        </w:rPr>
        <w:t xml:space="preserve"> the qualitiy of drinking water in Slovenia</w:t>
      </w:r>
      <w:r w:rsidRPr="005771BD">
        <w:rPr>
          <w:rFonts w:eastAsiaTheme="minorHAnsi" w:cs="Arial"/>
          <w:szCs w:val="20"/>
          <w:lang w:val="sl-SI"/>
        </w:rPr>
        <w:t xml:space="preserve">. </w:t>
      </w:r>
      <w:r w:rsidRPr="005771BD">
        <w:rPr>
          <w:rFonts w:eastAsiaTheme="minorHAnsi" w:cs="Arial"/>
          <w:i/>
          <w:szCs w:val="20"/>
          <w:lang w:val="sl-SI"/>
        </w:rPr>
        <w:t>Enboz</w:t>
      </w:r>
      <w:r w:rsidRPr="005771BD">
        <w:rPr>
          <w:rFonts w:eastAsiaTheme="minorHAnsi" w:cs="Arial"/>
          <w:szCs w:val="20"/>
          <w:lang w:val="sl-SI"/>
        </w:rPr>
        <w:t>, 5(10), 15</w:t>
      </w:r>
      <w:r>
        <w:rPr>
          <w:rFonts w:eastAsiaTheme="minorHAnsi" w:cs="Arial"/>
          <w:szCs w:val="20"/>
          <w:lang w:val="sl-SI"/>
        </w:rPr>
        <w:t>–</w:t>
      </w:r>
      <w:r w:rsidRPr="005771BD">
        <w:rPr>
          <w:rFonts w:eastAsiaTheme="minorHAnsi" w:cs="Arial"/>
          <w:szCs w:val="20"/>
          <w:lang w:val="sl-SI"/>
        </w:rPr>
        <w:t>21.</w:t>
      </w:r>
    </w:p>
    <w:p w:rsidR="0057482E" w:rsidRPr="005771BD" w:rsidRDefault="0057482E" w:rsidP="0057482E">
      <w:pPr>
        <w:spacing w:before="120" w:line="240" w:lineRule="auto"/>
        <w:jc w:val="both"/>
        <w:rPr>
          <w:rFonts w:eastAsiaTheme="minorHAnsi" w:cs="Arial"/>
          <w:szCs w:val="20"/>
          <w:lang w:val="sl-SI"/>
        </w:rPr>
      </w:pPr>
      <w:r w:rsidRPr="005771BD">
        <w:rPr>
          <w:rFonts w:eastAsiaTheme="minorHAnsi" w:cs="Arial"/>
          <w:szCs w:val="20"/>
          <w:lang w:val="sl-SI"/>
        </w:rPr>
        <w:t xml:space="preserve">IARC, 2012. </w:t>
      </w:r>
      <w:r w:rsidRPr="005771BD">
        <w:rPr>
          <w:rFonts w:eastAsiaTheme="minorHAnsi" w:cs="Arial"/>
          <w:i/>
          <w:szCs w:val="20"/>
          <w:lang w:val="sl-SI"/>
        </w:rPr>
        <w:t>Air pollution and cancer</w:t>
      </w:r>
      <w:r w:rsidRPr="005771BD">
        <w:rPr>
          <w:rFonts w:eastAsiaTheme="minorHAnsi" w:cs="Arial"/>
          <w:szCs w:val="20"/>
          <w:lang w:val="sl-SI"/>
        </w:rPr>
        <w:t>, IARC Scientific Publication No 161, IARC Lyon.</w:t>
      </w:r>
    </w:p>
    <w:p w:rsidR="0057482E" w:rsidRPr="005771BD" w:rsidRDefault="0057482E" w:rsidP="0057482E">
      <w:pPr>
        <w:spacing w:before="120" w:line="240" w:lineRule="auto"/>
        <w:jc w:val="both"/>
        <w:rPr>
          <w:rFonts w:eastAsiaTheme="minorHAnsi" w:cs="Arial"/>
          <w:szCs w:val="20"/>
          <w:lang w:val="sl-SI"/>
        </w:rPr>
      </w:pPr>
      <w:r w:rsidRPr="005771BD">
        <w:rPr>
          <w:rFonts w:eastAsiaTheme="minorHAnsi" w:cs="Arial"/>
          <w:szCs w:val="20"/>
          <w:lang w:val="sl-SI"/>
        </w:rPr>
        <w:t xml:space="preserve">IRSOP, 2015. </w:t>
      </w:r>
      <w:r w:rsidRPr="005771BD">
        <w:rPr>
          <w:rFonts w:eastAsiaTheme="minorHAnsi" w:cs="Arial"/>
          <w:i/>
          <w:szCs w:val="20"/>
          <w:lang w:val="sl-SI"/>
        </w:rPr>
        <w:t>Inšpektorat RS za okolje. Poročilo o delu za leto 2015</w:t>
      </w:r>
      <w:r w:rsidRPr="005771BD">
        <w:rPr>
          <w:rFonts w:eastAsiaTheme="minorHAnsi" w:cs="Arial"/>
          <w:szCs w:val="20"/>
          <w:lang w:val="sl-SI"/>
        </w:rPr>
        <w:t xml:space="preserve">. Dostopno na: </w:t>
      </w:r>
      <w:hyperlink r:id="rId332" w:history="1">
        <w:r w:rsidRPr="005771BD">
          <w:rPr>
            <w:rFonts w:eastAsiaTheme="minorHAnsi" w:cs="Arial"/>
            <w:color w:val="5F5F5F" w:themeColor="hyperlink"/>
            <w:szCs w:val="20"/>
            <w:u w:val="single"/>
            <w:lang w:val="sl-SI"/>
          </w:rPr>
          <w:t>http://www.iop.gov.si/fileadmin/iop.gov.si/pageuploads/5_O_INSPEKTORATU/Porocila_in_na</w:t>
        </w:r>
        <w:r w:rsidRPr="005771BD">
          <w:rPr>
            <w:rFonts w:eastAsiaTheme="minorHAnsi" w:cs="Arial"/>
            <w:color w:val="5F5F5F" w:themeColor="hyperlink"/>
            <w:szCs w:val="20"/>
            <w:u w:val="single"/>
            <w:lang w:val="sl-SI"/>
          </w:rPr>
          <w:tab/>
          <w:t>crti_dela/Porocilo_IRSOP_2015.pdf</w:t>
        </w:r>
      </w:hyperlink>
      <w:r w:rsidRPr="005771BD">
        <w:rPr>
          <w:rFonts w:eastAsiaTheme="minorHAnsi" w:cs="Arial"/>
          <w:color w:val="5F5F5F" w:themeColor="hyperlink"/>
          <w:szCs w:val="20"/>
          <w:u w:val="single"/>
          <w:lang w:val="sl-SI"/>
        </w:rPr>
        <w:t>.</w:t>
      </w:r>
      <w:r w:rsidRPr="005771BD">
        <w:rPr>
          <w:rFonts w:eastAsiaTheme="minorHAnsi" w:cs="Arial"/>
          <w:szCs w:val="20"/>
          <w:lang w:val="sl-SI"/>
        </w:rPr>
        <w:t xml:space="preserve"> </w:t>
      </w:r>
    </w:p>
    <w:p w:rsidR="0057482E" w:rsidRPr="005771BD" w:rsidRDefault="0057482E" w:rsidP="0057482E">
      <w:pPr>
        <w:spacing w:before="120" w:line="276" w:lineRule="auto"/>
        <w:jc w:val="both"/>
        <w:rPr>
          <w:rFonts w:eastAsiaTheme="minorHAnsi" w:cs="Arial"/>
          <w:szCs w:val="20"/>
          <w:lang w:val="sl-SI"/>
        </w:rPr>
      </w:pPr>
      <w:bookmarkStart w:id="52" w:name="_Ref456791749"/>
      <w:r w:rsidRPr="005771BD">
        <w:rPr>
          <w:rFonts w:eastAsiaTheme="minorHAnsi" w:cs="Arial"/>
          <w:szCs w:val="20"/>
          <w:lang w:val="sl-SI"/>
        </w:rPr>
        <w:t>Martuzzi M, Mitis F, Lavarone I [</w:t>
      </w:r>
      <w:r w:rsidRPr="005771BD">
        <w:rPr>
          <w:rFonts w:eastAsiaTheme="minorHAnsi" w:cs="Arial"/>
          <w:i/>
          <w:szCs w:val="20"/>
          <w:lang w:val="sl-SI"/>
        </w:rPr>
        <w:t>et al</w:t>
      </w:r>
      <w:r w:rsidRPr="005771BD">
        <w:rPr>
          <w:rFonts w:eastAsiaTheme="minorHAnsi" w:cs="Arial"/>
          <w:szCs w:val="20"/>
          <w:lang w:val="sl-SI"/>
        </w:rPr>
        <w:t xml:space="preserve">.], 2006. </w:t>
      </w:r>
      <w:r w:rsidRPr="005771BD">
        <w:rPr>
          <w:rFonts w:eastAsiaTheme="minorHAnsi" w:cs="Arial"/>
          <w:i/>
          <w:szCs w:val="20"/>
          <w:lang w:val="sl-SI"/>
        </w:rPr>
        <w:t>Health impact of PM</w:t>
      </w:r>
      <w:r w:rsidRPr="005771BD">
        <w:rPr>
          <w:rFonts w:eastAsiaTheme="minorHAnsi" w:cs="Arial"/>
          <w:i/>
          <w:szCs w:val="20"/>
          <w:vertAlign w:val="subscript"/>
          <w:lang w:val="sl-SI"/>
        </w:rPr>
        <w:t xml:space="preserve">10 </w:t>
      </w:r>
      <w:r w:rsidRPr="005771BD">
        <w:rPr>
          <w:rFonts w:eastAsiaTheme="minorHAnsi" w:cs="Arial"/>
          <w:i/>
          <w:szCs w:val="20"/>
          <w:lang w:val="sl-SI"/>
        </w:rPr>
        <w:t>and ozone in 13 Italian cities</w:t>
      </w:r>
      <w:r w:rsidRPr="005771BD">
        <w:rPr>
          <w:rFonts w:eastAsiaTheme="minorHAnsi" w:cs="Arial"/>
          <w:szCs w:val="20"/>
          <w:lang w:val="sl-SI"/>
        </w:rPr>
        <w:t>. Publications WHO Regional Office for Europe, DK-2100 Copenhagen, Denmark.</w:t>
      </w:r>
      <w:bookmarkEnd w:id="52"/>
      <w:r w:rsidRPr="005771BD">
        <w:rPr>
          <w:rFonts w:eastAsiaTheme="minorHAnsi" w:cs="Arial"/>
          <w:szCs w:val="20"/>
          <w:lang w:val="sl-SI"/>
        </w:rPr>
        <w:t xml:space="preserve"> </w:t>
      </w:r>
    </w:p>
    <w:p w:rsidR="0057482E" w:rsidRPr="005771BD" w:rsidRDefault="0057482E" w:rsidP="0057482E">
      <w:pPr>
        <w:spacing w:before="120" w:line="240" w:lineRule="auto"/>
        <w:jc w:val="both"/>
        <w:rPr>
          <w:rFonts w:eastAsiaTheme="minorHAnsi" w:cs="Arial"/>
          <w:szCs w:val="20"/>
          <w:u w:val="single"/>
          <w:lang w:val="sl-SI"/>
        </w:rPr>
      </w:pPr>
      <w:r w:rsidRPr="005771BD">
        <w:rPr>
          <w:rFonts w:eastAsiaTheme="minorHAnsi" w:cs="Arial"/>
          <w:szCs w:val="20"/>
          <w:lang w:val="sl-SI"/>
        </w:rPr>
        <w:t xml:space="preserve">NIJZ, 2016a. </w:t>
      </w:r>
      <w:r w:rsidRPr="005771BD">
        <w:rPr>
          <w:rFonts w:eastAsiaTheme="minorHAnsi" w:cs="Arial"/>
          <w:i/>
          <w:szCs w:val="20"/>
          <w:lang w:val="sl-SI"/>
        </w:rPr>
        <w:t>Ocena vpliva onesnaženosti zraka z delci PM2,5 na smrtnost v krajih s prekomerno onesnaženim zrakom, opazovalno obdobje 2012</w:t>
      </w:r>
      <w:r>
        <w:rPr>
          <w:rFonts w:eastAsiaTheme="minorHAnsi" w:cs="Arial"/>
          <w:i/>
          <w:szCs w:val="20"/>
          <w:lang w:val="sl-SI"/>
        </w:rPr>
        <w:t>–</w:t>
      </w:r>
      <w:r w:rsidRPr="005771BD">
        <w:rPr>
          <w:rFonts w:eastAsiaTheme="minorHAnsi" w:cs="Arial"/>
          <w:i/>
          <w:szCs w:val="20"/>
          <w:lang w:val="sl-SI"/>
        </w:rPr>
        <w:t>2014</w:t>
      </w:r>
      <w:r w:rsidRPr="005771BD">
        <w:rPr>
          <w:rFonts w:eastAsiaTheme="minorHAnsi" w:cs="Arial"/>
          <w:szCs w:val="20"/>
          <w:lang w:val="sl-SI"/>
        </w:rPr>
        <w:t xml:space="preserve">. Ljubljana, Nacionalni institut za javno zdravje. Dostopno na: </w:t>
      </w:r>
      <w:hyperlink r:id="rId333" w:history="1">
        <w:r w:rsidRPr="005771BD">
          <w:rPr>
            <w:rFonts w:eastAsiaTheme="minorHAnsi" w:cs="Arial"/>
            <w:color w:val="5F5F5F" w:themeColor="hyperlink"/>
            <w:szCs w:val="20"/>
            <w:u w:val="single"/>
            <w:lang w:val="sl-SI"/>
          </w:rPr>
          <w:t>http://www.nijz.si/sl/ocena-vpliva-onesnazenosti-zraka-z-delci-pm25-na-smrtnost-v-krajih-s-prekomerno-onesnazenim-zrakom</w:t>
        </w:r>
      </w:hyperlink>
      <w:r w:rsidRPr="005771BD">
        <w:rPr>
          <w:rFonts w:eastAsiaTheme="minorHAnsi" w:cs="Arial"/>
          <w:color w:val="5F5F5F" w:themeColor="hyperlink"/>
          <w:szCs w:val="20"/>
          <w:u w:val="single"/>
          <w:lang w:val="sl-SI"/>
        </w:rPr>
        <w:t>.</w:t>
      </w:r>
      <w:r w:rsidRPr="005771BD">
        <w:rPr>
          <w:rFonts w:eastAsiaTheme="minorHAnsi" w:cs="Arial"/>
          <w:szCs w:val="20"/>
          <w:lang w:val="sl-SI"/>
        </w:rPr>
        <w:t xml:space="preserve"> </w:t>
      </w:r>
    </w:p>
    <w:p w:rsidR="0057482E" w:rsidRPr="005771BD" w:rsidRDefault="0057482E" w:rsidP="0057482E">
      <w:pPr>
        <w:spacing w:before="120" w:line="240" w:lineRule="auto"/>
        <w:jc w:val="both"/>
        <w:rPr>
          <w:rFonts w:eastAsiaTheme="minorHAnsi" w:cs="Arial"/>
          <w:szCs w:val="20"/>
          <w:lang w:val="sl-SI"/>
        </w:rPr>
      </w:pPr>
      <w:r w:rsidRPr="005771BD">
        <w:rPr>
          <w:rFonts w:eastAsiaTheme="minorHAnsi" w:cs="Arial"/>
          <w:szCs w:val="20"/>
          <w:lang w:val="sl-SI"/>
        </w:rPr>
        <w:t xml:space="preserve">NIJZ, 2016b. Kazalci okolja v Sloveniji (v pripravi). </w:t>
      </w:r>
      <w:r w:rsidRPr="005771BD">
        <w:rPr>
          <w:rFonts w:eastAsiaTheme="minorHAnsi" w:cs="Arial"/>
          <w:i/>
          <w:szCs w:val="20"/>
          <w:lang w:val="sl-SI"/>
        </w:rPr>
        <w:t>Izpostavljenost prebivalcev ozonu, SOMO</w:t>
      </w:r>
      <w:r w:rsidRPr="005771BD">
        <w:rPr>
          <w:rFonts w:eastAsiaTheme="minorHAnsi" w:cs="Arial"/>
          <w:i/>
          <w:szCs w:val="20"/>
          <w:vertAlign w:val="subscript"/>
          <w:lang w:val="sl-SI"/>
        </w:rPr>
        <w:t>35</w:t>
      </w:r>
      <w:r w:rsidRPr="005771BD">
        <w:rPr>
          <w:rFonts w:eastAsiaTheme="minorHAnsi" w:cs="Arial"/>
          <w:szCs w:val="20"/>
          <w:lang w:val="sl-SI"/>
        </w:rPr>
        <w:t>. Ljubljana, Nacionalni institut za javno zdravje.</w:t>
      </w:r>
    </w:p>
    <w:p w:rsidR="0057482E" w:rsidRPr="005771BD" w:rsidRDefault="0057482E" w:rsidP="0057482E">
      <w:pPr>
        <w:spacing w:before="120" w:line="240" w:lineRule="auto"/>
        <w:jc w:val="both"/>
        <w:rPr>
          <w:rFonts w:eastAsiaTheme="minorHAnsi" w:cs="Arial"/>
          <w:szCs w:val="20"/>
          <w:lang w:val="sl-SI"/>
        </w:rPr>
      </w:pPr>
      <w:r w:rsidRPr="005771BD">
        <w:rPr>
          <w:rFonts w:eastAsiaTheme="minorHAnsi" w:cs="Arial"/>
          <w:szCs w:val="20"/>
          <w:lang w:val="sl-SI"/>
        </w:rPr>
        <w:t>NIJZ, 2016c.</w:t>
      </w:r>
      <w:r w:rsidRPr="005771BD">
        <w:rPr>
          <w:rFonts w:eastAsiaTheme="minorHAnsi" w:cs="Arial"/>
          <w:b/>
          <w:bCs/>
          <w:szCs w:val="20"/>
          <w:lang w:val="sl-SI"/>
        </w:rPr>
        <w:t xml:space="preserve"> </w:t>
      </w:r>
      <w:r w:rsidRPr="005771BD">
        <w:rPr>
          <w:rFonts w:eastAsiaTheme="minorHAnsi" w:cs="Arial"/>
          <w:bCs/>
          <w:i/>
          <w:szCs w:val="20"/>
          <w:lang w:val="sl-SI"/>
        </w:rPr>
        <w:t xml:space="preserve">Onesnaženost zunanjega zraka z ozonom na primorskem območju (SIP) v obdobju 2007–2015 in ocena vplivov na zdravje. </w:t>
      </w:r>
      <w:r w:rsidRPr="005771BD">
        <w:rPr>
          <w:rFonts w:eastAsiaTheme="minorHAnsi" w:cs="Arial"/>
          <w:i/>
          <w:szCs w:val="20"/>
          <w:lang w:val="sl-SI"/>
        </w:rPr>
        <w:t>Ljubljana</w:t>
      </w:r>
      <w:r w:rsidRPr="005771BD">
        <w:rPr>
          <w:rFonts w:eastAsiaTheme="minorHAnsi" w:cs="Arial"/>
          <w:szCs w:val="20"/>
          <w:lang w:val="sl-SI"/>
        </w:rPr>
        <w:t xml:space="preserve">, Nacionalni institut za javno zdravje. Dostopon na: </w:t>
      </w:r>
      <w:hyperlink r:id="rId334" w:history="1">
        <w:r w:rsidRPr="005771BD">
          <w:rPr>
            <w:rFonts w:eastAsiaTheme="minorHAnsi" w:cs="Arial"/>
            <w:color w:val="5F5F5F" w:themeColor="hyperlink"/>
            <w:szCs w:val="20"/>
            <w:u w:val="single"/>
            <w:lang w:val="sl-SI"/>
          </w:rPr>
          <w:t>http://www.nijz.si/sl/publikacije/onesnazenost-zunanjega-zraka-z-ozonom-na-primorskem-obmocju-sip-v-obdobju-2007-2015-in</w:t>
        </w:r>
      </w:hyperlink>
      <w:r w:rsidRPr="005771BD">
        <w:rPr>
          <w:rFonts w:eastAsiaTheme="minorHAnsi" w:cs="Arial"/>
          <w:color w:val="5F5F5F" w:themeColor="hyperlink"/>
          <w:szCs w:val="20"/>
          <w:u w:val="single"/>
          <w:lang w:val="sl-SI"/>
        </w:rPr>
        <w:t xml:space="preserve">. </w:t>
      </w:r>
      <w:r w:rsidRPr="005771BD">
        <w:rPr>
          <w:rFonts w:eastAsiaTheme="minorHAnsi" w:cs="Arial"/>
          <w:szCs w:val="20"/>
          <w:lang w:val="sl-SI"/>
        </w:rPr>
        <w:t xml:space="preserve"> </w:t>
      </w:r>
    </w:p>
    <w:p w:rsidR="0057482E" w:rsidRPr="005771BD" w:rsidRDefault="0057482E" w:rsidP="0057482E">
      <w:pPr>
        <w:spacing w:before="120" w:line="240" w:lineRule="auto"/>
        <w:jc w:val="both"/>
        <w:rPr>
          <w:rFonts w:eastAsiaTheme="minorHAnsi" w:cs="Arial"/>
          <w:szCs w:val="20"/>
          <w:lang w:val="sl-SI"/>
        </w:rPr>
      </w:pPr>
      <w:r w:rsidRPr="005771BD">
        <w:rPr>
          <w:rFonts w:eastAsiaTheme="minorHAnsi" w:cs="Arial"/>
          <w:color w:val="000000"/>
          <w:szCs w:val="20"/>
          <w:lang w:val="sl-SI" w:eastAsia="sl-SI"/>
        </w:rPr>
        <w:t>Polajnar</w:t>
      </w:r>
      <w:r>
        <w:rPr>
          <w:rFonts w:eastAsiaTheme="minorHAnsi" w:cs="Arial"/>
          <w:color w:val="000000"/>
          <w:szCs w:val="20"/>
          <w:lang w:val="sl-SI" w:eastAsia="sl-SI"/>
        </w:rPr>
        <w:t>,</w:t>
      </w:r>
      <w:r w:rsidRPr="005771BD">
        <w:rPr>
          <w:rFonts w:eastAsiaTheme="minorHAnsi" w:cs="Arial"/>
          <w:color w:val="000000"/>
          <w:szCs w:val="20"/>
          <w:lang w:val="sl-SI" w:eastAsia="sl-SI"/>
        </w:rPr>
        <w:t xml:space="preserve"> J., 2013. </w:t>
      </w:r>
      <w:r w:rsidRPr="005771BD">
        <w:rPr>
          <w:rFonts w:eastAsiaTheme="minorHAnsi" w:cs="Arial"/>
          <w:i/>
          <w:szCs w:val="20"/>
          <w:lang w:val="sl-SI" w:eastAsia="sl-SI"/>
        </w:rPr>
        <w:t>Visoke vode v Sloveniji leta 2012</w:t>
      </w:r>
      <w:r w:rsidRPr="005771BD">
        <w:rPr>
          <w:rFonts w:eastAsiaTheme="minorHAnsi" w:cs="Arial"/>
          <w:szCs w:val="20"/>
          <w:lang w:val="sl-SI" w:eastAsia="sl-SI"/>
        </w:rPr>
        <w:t>.</w:t>
      </w:r>
      <w:r w:rsidRPr="005771BD">
        <w:rPr>
          <w:rFonts w:eastAsiaTheme="minorHAnsi" w:cs="Arial"/>
          <w:color w:val="EE1D24"/>
          <w:szCs w:val="20"/>
          <w:lang w:val="sl-SI" w:eastAsia="sl-SI"/>
        </w:rPr>
        <w:t xml:space="preserve"> </w:t>
      </w:r>
      <w:r w:rsidRPr="005771BD">
        <w:rPr>
          <w:rFonts w:eastAsiaTheme="minorHAnsi" w:cs="Arial"/>
          <w:szCs w:val="20"/>
          <w:lang w:val="sl-SI"/>
        </w:rPr>
        <w:t>UJMA</w:t>
      </w:r>
      <w:r>
        <w:rPr>
          <w:rFonts w:eastAsiaTheme="minorHAnsi" w:cs="Arial"/>
          <w:szCs w:val="20"/>
          <w:lang w:val="sl-SI"/>
        </w:rPr>
        <w:t>,</w:t>
      </w:r>
      <w:r w:rsidRPr="005771BD">
        <w:rPr>
          <w:rFonts w:eastAsiaTheme="minorHAnsi" w:cs="Arial"/>
          <w:szCs w:val="20"/>
          <w:lang w:val="sl-SI"/>
        </w:rPr>
        <w:t xml:space="preserve"> </w:t>
      </w:r>
      <w:r w:rsidRPr="005771BD">
        <w:rPr>
          <w:rFonts w:eastAsiaTheme="minorHAnsi" w:cs="Arial"/>
          <w:bCs/>
          <w:szCs w:val="20"/>
          <w:lang w:val="sl-SI" w:eastAsia="sl-SI"/>
        </w:rPr>
        <w:t>revija za vprašanja varstva pred naravnimi in drugimi nesrečami</w:t>
      </w:r>
      <w:r w:rsidRPr="005771BD">
        <w:rPr>
          <w:rFonts w:eastAsiaTheme="minorHAnsi" w:cs="Arial"/>
          <w:szCs w:val="20"/>
          <w:lang w:val="sl-SI"/>
        </w:rPr>
        <w:t>, 27: 33</w:t>
      </w:r>
      <w:r>
        <w:rPr>
          <w:rFonts w:eastAsiaTheme="minorHAnsi" w:cs="Arial"/>
          <w:szCs w:val="20"/>
          <w:lang w:val="sl-SI"/>
        </w:rPr>
        <w:t>–</w:t>
      </w:r>
      <w:r w:rsidRPr="005771BD">
        <w:rPr>
          <w:rFonts w:eastAsiaTheme="minorHAnsi" w:cs="Arial"/>
          <w:szCs w:val="20"/>
          <w:lang w:val="sl-SI"/>
        </w:rPr>
        <w:t>35.</w:t>
      </w:r>
    </w:p>
    <w:p w:rsidR="0057482E" w:rsidRPr="005771BD" w:rsidRDefault="0057482E" w:rsidP="0057482E">
      <w:pPr>
        <w:spacing w:before="120" w:line="240" w:lineRule="auto"/>
        <w:jc w:val="both"/>
        <w:rPr>
          <w:rFonts w:eastAsiaTheme="minorHAnsi" w:cs="Arial"/>
          <w:szCs w:val="20"/>
          <w:lang w:val="sl-SI"/>
        </w:rPr>
      </w:pPr>
      <w:r w:rsidRPr="005771BD">
        <w:rPr>
          <w:rFonts w:eastAsiaTheme="minorHAnsi" w:cs="Arial"/>
          <w:szCs w:val="20"/>
          <w:lang w:val="sl-SI"/>
        </w:rPr>
        <w:t xml:space="preserve">Policija, 2015. </w:t>
      </w:r>
      <w:r w:rsidRPr="005771BD">
        <w:rPr>
          <w:rFonts w:eastAsiaTheme="minorHAnsi" w:cs="Arial"/>
          <w:i/>
          <w:szCs w:val="20"/>
          <w:lang w:val="sl-SI"/>
        </w:rPr>
        <w:t>Poročilo o delu Policije za leto 2015</w:t>
      </w:r>
      <w:r w:rsidRPr="005771BD">
        <w:rPr>
          <w:rFonts w:eastAsiaTheme="minorHAnsi" w:cs="Arial"/>
          <w:szCs w:val="20"/>
          <w:lang w:val="sl-SI"/>
        </w:rPr>
        <w:t xml:space="preserve">. Dostopno na: </w:t>
      </w:r>
      <w:hyperlink r:id="rId335" w:history="1">
        <w:r w:rsidRPr="005771BD">
          <w:rPr>
            <w:rFonts w:eastAsiaTheme="minorHAnsi" w:cs="Arial"/>
            <w:color w:val="5F5F5F" w:themeColor="hyperlink"/>
            <w:szCs w:val="20"/>
            <w:u w:val="single"/>
            <w:lang w:val="sl-SI"/>
          </w:rPr>
          <w:t>http://www.policija.si/images/stories/Statistika/LetnaPorocila/PDF/LetnoPorocilo2015_popravljeno.pdf</w:t>
        </w:r>
      </w:hyperlink>
      <w:r w:rsidRPr="005771BD">
        <w:rPr>
          <w:rFonts w:eastAsiaTheme="minorHAnsi" w:cs="Arial"/>
          <w:szCs w:val="20"/>
          <w:lang w:val="sl-SI"/>
        </w:rPr>
        <w:t>.</w:t>
      </w:r>
    </w:p>
    <w:p w:rsidR="0057482E" w:rsidRPr="005771BD" w:rsidRDefault="0057482E" w:rsidP="0057482E">
      <w:pPr>
        <w:spacing w:before="120" w:line="240" w:lineRule="auto"/>
        <w:jc w:val="both"/>
        <w:rPr>
          <w:rFonts w:eastAsiaTheme="minorHAnsi" w:cs="Arial"/>
          <w:szCs w:val="20"/>
          <w:lang w:val="sl-SI"/>
        </w:rPr>
      </w:pPr>
      <w:r w:rsidRPr="005771BD">
        <w:rPr>
          <w:rFonts w:eastAsiaTheme="minorHAnsi" w:cs="Arial"/>
          <w:szCs w:val="20"/>
          <w:lang w:val="sl-SI"/>
        </w:rPr>
        <w:t xml:space="preserve">RIKILT and JRC, 2014. </w:t>
      </w:r>
      <w:r w:rsidRPr="005771BD">
        <w:rPr>
          <w:rFonts w:eastAsiaTheme="minorHAnsi" w:cs="Arial"/>
          <w:i/>
          <w:szCs w:val="20"/>
          <w:lang w:val="sl-SI"/>
        </w:rPr>
        <w:t>Inventory of Nanotechnology applications in the agricultural, feed and food sector</w:t>
      </w:r>
      <w:r w:rsidRPr="005771BD">
        <w:rPr>
          <w:rFonts w:eastAsiaTheme="minorHAnsi" w:cs="Arial"/>
          <w:szCs w:val="20"/>
          <w:lang w:val="sl-SI"/>
        </w:rPr>
        <w:t>. EFSA supporting publication 2014:EN-621, 125 pp.</w:t>
      </w:r>
    </w:p>
    <w:p w:rsidR="0057482E" w:rsidRPr="0035476E" w:rsidRDefault="0057482E" w:rsidP="0057482E">
      <w:pPr>
        <w:spacing w:before="120" w:line="240" w:lineRule="auto"/>
        <w:rPr>
          <w:rFonts w:eastAsia="Calibri" w:cs="Arial"/>
          <w:i/>
          <w:noProof/>
          <w:szCs w:val="20"/>
          <w:lang w:val="sl-SI"/>
        </w:rPr>
      </w:pPr>
      <w:r w:rsidRPr="0035476E">
        <w:rPr>
          <w:rFonts w:eastAsia="Calibri" w:cs="Arial"/>
          <w:noProof/>
          <w:szCs w:val="20"/>
          <w:lang w:val="sl-SI"/>
        </w:rPr>
        <w:t xml:space="preserve">Schrenk D., 2012. </w:t>
      </w:r>
      <w:r w:rsidRPr="0035476E">
        <w:rPr>
          <w:rFonts w:eastAsia="Calibri" w:cs="Arial"/>
          <w:i/>
          <w:noProof/>
          <w:szCs w:val="20"/>
          <w:lang w:val="sl-SI"/>
        </w:rPr>
        <w:t>Chemical contaminants and residues in food</w:t>
      </w:r>
      <w:r w:rsidRPr="0035476E">
        <w:rPr>
          <w:rFonts w:eastAsia="Calibri" w:cs="Arial"/>
          <w:noProof/>
          <w:szCs w:val="20"/>
          <w:lang w:val="sl-SI"/>
        </w:rPr>
        <w:t>. In D. Schrenk (Ed</w:t>
      </w:r>
      <w:r w:rsidRPr="0035476E">
        <w:rPr>
          <w:rFonts w:eastAsia="Calibri" w:cs="Arial"/>
          <w:i/>
          <w:noProof/>
          <w:szCs w:val="20"/>
          <w:lang w:val="sl-SI"/>
        </w:rPr>
        <w:t>.), Chemical Contaminants and Residues in Food.</w:t>
      </w:r>
    </w:p>
    <w:p w:rsidR="0057482E" w:rsidRPr="005771BD" w:rsidRDefault="0057482E" w:rsidP="0057482E">
      <w:pPr>
        <w:spacing w:before="120" w:line="240" w:lineRule="auto"/>
        <w:rPr>
          <w:rFonts w:eastAsia="FrutigerLTPro-Condensed" w:cs="Arial"/>
          <w:szCs w:val="20"/>
          <w:lang w:val="sl-SI"/>
        </w:rPr>
      </w:pPr>
      <w:r w:rsidRPr="005771BD">
        <w:rPr>
          <w:rFonts w:eastAsiaTheme="minorHAnsi" w:cs="Arial"/>
          <w:bCs/>
          <w:szCs w:val="20"/>
          <w:lang w:val="sl-SI"/>
        </w:rPr>
        <w:t>Smith</w:t>
      </w:r>
      <w:r w:rsidRPr="005771BD">
        <w:rPr>
          <w:rFonts w:eastAsia="FrutigerLTPro-Condensed" w:cs="Arial"/>
          <w:szCs w:val="20"/>
          <w:lang w:val="sl-SI"/>
        </w:rPr>
        <w:t xml:space="preserve"> K.</w:t>
      </w:r>
      <w:r>
        <w:rPr>
          <w:rFonts w:eastAsia="FrutigerLTPro-Condensed" w:cs="Arial"/>
          <w:szCs w:val="20"/>
          <w:lang w:val="sl-SI"/>
        </w:rPr>
        <w:t xml:space="preserve"> </w:t>
      </w:r>
      <w:r w:rsidRPr="005771BD">
        <w:rPr>
          <w:rFonts w:eastAsia="FrutigerLTPro-Condensed" w:cs="Arial"/>
          <w:szCs w:val="20"/>
          <w:lang w:val="sl-SI"/>
        </w:rPr>
        <w:t>R., Woodward A., Campbell-Lendrum D., [</w:t>
      </w:r>
      <w:r w:rsidRPr="005771BD">
        <w:rPr>
          <w:rFonts w:eastAsia="FrutigerLTPro-Condensed" w:cs="Arial"/>
          <w:i/>
          <w:szCs w:val="20"/>
          <w:lang w:val="sl-SI"/>
        </w:rPr>
        <w:t>et al</w:t>
      </w:r>
      <w:r w:rsidRPr="005771BD">
        <w:rPr>
          <w:rFonts w:eastAsia="FrutigerLTPro-Condensed" w:cs="Arial"/>
          <w:szCs w:val="20"/>
          <w:lang w:val="sl-SI"/>
        </w:rPr>
        <w:t xml:space="preserve">.], 2014. </w:t>
      </w:r>
      <w:r w:rsidRPr="005771BD">
        <w:rPr>
          <w:rFonts w:eastAsia="FrutigerLTPro-Condensed" w:cs="Arial"/>
          <w:i/>
          <w:szCs w:val="20"/>
          <w:lang w:val="sl-SI"/>
        </w:rPr>
        <w:t>Human health: impacts, adaptation, and co-benefits</w:t>
      </w:r>
      <w:r w:rsidRPr="005771BD">
        <w:rPr>
          <w:rFonts w:eastAsia="FrutigerLTPro-Condensed" w:cs="Arial"/>
          <w:szCs w:val="20"/>
          <w:lang w:val="sl-SI"/>
        </w:rPr>
        <w:t>. In: Field C.B, Barros V.R, Dokken D.J, Mach K.J, Mastrandrea M.D, Bilir T.</w:t>
      </w:r>
      <w:r>
        <w:rPr>
          <w:rFonts w:eastAsia="FrutigerLTPro-Condensed" w:cs="Arial"/>
          <w:szCs w:val="20"/>
          <w:lang w:val="sl-SI"/>
        </w:rPr>
        <w:t xml:space="preserve"> </w:t>
      </w:r>
      <w:r w:rsidRPr="005771BD">
        <w:rPr>
          <w:rFonts w:eastAsia="FrutigerLTPro-Condensed" w:cs="Arial"/>
          <w:szCs w:val="20"/>
          <w:lang w:val="sl-SI"/>
        </w:rPr>
        <w:t xml:space="preserve">E, et al. </w:t>
      </w:r>
      <w:r w:rsidRPr="005771BD">
        <w:rPr>
          <w:rFonts w:eastAsiaTheme="minorHAnsi" w:cs="Arial"/>
          <w:iCs/>
          <w:szCs w:val="20"/>
          <w:lang w:val="sl-SI"/>
        </w:rPr>
        <w:t>Climate Change 2014: Impacts,Adaptation, and Vulnerability. Part A: Global and Sectoral Aspects. Contribution of Working Group II to the Fifth Assessment Report of the Intergovernmental Panel on Climate Change.</w:t>
      </w:r>
      <w:r w:rsidRPr="005771BD">
        <w:rPr>
          <w:rFonts w:eastAsiaTheme="minorHAnsi" w:cs="Arial"/>
          <w:i/>
          <w:iCs/>
          <w:szCs w:val="20"/>
          <w:lang w:val="sl-SI"/>
        </w:rPr>
        <w:t xml:space="preserve"> </w:t>
      </w:r>
      <w:r w:rsidRPr="005771BD">
        <w:rPr>
          <w:rFonts w:eastAsia="FrutigerLTPro-Condensed" w:cs="Arial"/>
          <w:szCs w:val="20"/>
          <w:lang w:val="sl-SI"/>
        </w:rPr>
        <w:t>Cambridge, New York: Cambridge University Press, 2014, 709-754.</w:t>
      </w:r>
    </w:p>
    <w:p w:rsidR="0057482E" w:rsidRPr="005771BD" w:rsidRDefault="0057482E" w:rsidP="0057482E">
      <w:pPr>
        <w:spacing w:before="120" w:line="240" w:lineRule="auto"/>
        <w:rPr>
          <w:rFonts w:eastAsiaTheme="minorHAnsi" w:cs="Arial"/>
          <w:iCs/>
          <w:szCs w:val="20"/>
          <w:lang w:val="sl-SI"/>
        </w:rPr>
      </w:pPr>
      <w:r w:rsidRPr="005771BD">
        <w:rPr>
          <w:rFonts w:eastAsiaTheme="minorHAnsi" w:cs="Arial"/>
          <w:szCs w:val="20"/>
          <w:lang w:val="sl-SI"/>
        </w:rPr>
        <w:t xml:space="preserve">UNECE, 2004. </w:t>
      </w:r>
      <w:r w:rsidRPr="005771BD">
        <w:rPr>
          <w:rFonts w:eastAsiaTheme="minorHAnsi" w:cs="Arial"/>
          <w:i/>
          <w:iCs/>
          <w:szCs w:val="20"/>
          <w:lang w:val="sl-SI"/>
        </w:rPr>
        <w:t>Modelling and assessment of the health impact of particulate matter and ozone</w:t>
      </w:r>
      <w:r w:rsidRPr="005771BD">
        <w:rPr>
          <w:rFonts w:eastAsiaTheme="minorHAnsi" w:cs="Arial"/>
          <w:iCs/>
          <w:szCs w:val="20"/>
          <w:lang w:val="sl-SI"/>
        </w:rPr>
        <w:t xml:space="preserve">. UNECE Geneva. </w:t>
      </w:r>
    </w:p>
    <w:p w:rsidR="0057482E" w:rsidRPr="0035476E" w:rsidRDefault="0057482E" w:rsidP="0057482E">
      <w:pPr>
        <w:spacing w:before="120" w:line="240" w:lineRule="auto"/>
        <w:rPr>
          <w:rFonts w:eastAsia="Calibri" w:cs="Arial"/>
          <w:noProof/>
          <w:szCs w:val="20"/>
          <w:lang w:val="sl-SI"/>
        </w:rPr>
      </w:pPr>
      <w:r w:rsidRPr="0035476E">
        <w:rPr>
          <w:rFonts w:eastAsia="Calibri" w:cs="Arial"/>
          <w:noProof/>
          <w:szCs w:val="20"/>
          <w:lang w:val="sl-SI"/>
        </w:rPr>
        <w:t xml:space="preserve">Vogt R., Bennett D., Cassady D., Frost J., Ritz B., &amp; Hertz-Picciotto I., 2012. </w:t>
      </w:r>
      <w:r w:rsidRPr="0035476E">
        <w:rPr>
          <w:rFonts w:eastAsia="Calibri" w:cs="Arial"/>
          <w:i/>
          <w:noProof/>
          <w:szCs w:val="20"/>
          <w:lang w:val="sl-SI"/>
        </w:rPr>
        <w:t>Cancer and non-cancer health effects from food contaminant exposures for children and adults in California: a risk assessment</w:t>
      </w:r>
      <w:r w:rsidRPr="0035476E">
        <w:rPr>
          <w:rFonts w:eastAsia="Calibri" w:cs="Arial"/>
          <w:noProof/>
          <w:szCs w:val="20"/>
          <w:lang w:val="sl-SI"/>
        </w:rPr>
        <w:t xml:space="preserve">. </w:t>
      </w:r>
      <w:r w:rsidRPr="0035476E">
        <w:rPr>
          <w:rFonts w:eastAsia="Calibri" w:cs="Arial"/>
          <w:i/>
          <w:noProof/>
          <w:szCs w:val="20"/>
          <w:lang w:val="sl-SI"/>
        </w:rPr>
        <w:t>Environ Health, 11</w:t>
      </w:r>
      <w:r w:rsidRPr="0035476E">
        <w:rPr>
          <w:rFonts w:eastAsia="Calibri" w:cs="Arial"/>
          <w:noProof/>
          <w:szCs w:val="20"/>
          <w:lang w:val="sl-SI"/>
        </w:rPr>
        <w:t>, 83.</w:t>
      </w:r>
    </w:p>
    <w:p w:rsidR="0057482E" w:rsidRPr="005771BD" w:rsidRDefault="0057482E" w:rsidP="0057482E">
      <w:pPr>
        <w:spacing w:before="120" w:line="240" w:lineRule="auto"/>
        <w:rPr>
          <w:rFonts w:eastAsiaTheme="minorHAnsi" w:cs="Arial"/>
          <w:szCs w:val="20"/>
          <w:lang w:val="sl-SI"/>
        </w:rPr>
      </w:pPr>
      <w:r w:rsidRPr="005771BD">
        <w:rPr>
          <w:rFonts w:eastAsiaTheme="minorHAnsi" w:cs="Arial"/>
          <w:szCs w:val="20"/>
          <w:lang w:val="sl-SI"/>
        </w:rPr>
        <w:t xml:space="preserve">WHO, 1999. </w:t>
      </w:r>
      <w:r w:rsidRPr="005771BD">
        <w:rPr>
          <w:rFonts w:eastAsiaTheme="minorHAnsi" w:cs="Arial"/>
          <w:i/>
          <w:szCs w:val="20"/>
          <w:lang w:val="sl-SI"/>
        </w:rPr>
        <w:t>Guidelines for community noise</w:t>
      </w:r>
      <w:r w:rsidRPr="005771BD">
        <w:rPr>
          <w:rFonts w:eastAsiaTheme="minorHAnsi" w:cs="Arial"/>
          <w:szCs w:val="20"/>
          <w:lang w:val="sl-SI"/>
        </w:rPr>
        <w:t xml:space="preserve">. World Health Organization, Geneva 1999. Dostopno na: </w:t>
      </w:r>
      <w:hyperlink r:id="rId336" w:history="1">
        <w:r w:rsidRPr="005771BD">
          <w:rPr>
            <w:rFonts w:eastAsiaTheme="minorHAnsi" w:cs="Arial"/>
            <w:color w:val="5F5F5F" w:themeColor="hyperlink"/>
            <w:szCs w:val="20"/>
            <w:u w:val="single"/>
            <w:lang w:val="sl-SI"/>
          </w:rPr>
          <w:t>http://www.who.int/docstore/peh/noise/guidelines2.html</w:t>
        </w:r>
      </w:hyperlink>
      <w:r w:rsidRPr="005771BD">
        <w:rPr>
          <w:rFonts w:eastAsiaTheme="minorHAnsi" w:cs="Arial"/>
          <w:szCs w:val="20"/>
          <w:lang w:val="sl-SI"/>
        </w:rPr>
        <w:t xml:space="preserve">. </w:t>
      </w:r>
    </w:p>
    <w:p w:rsidR="0057482E" w:rsidRPr="005771BD" w:rsidRDefault="0057482E" w:rsidP="0057482E">
      <w:pPr>
        <w:spacing w:before="120" w:line="240" w:lineRule="auto"/>
        <w:rPr>
          <w:rFonts w:eastAsiaTheme="minorHAnsi" w:cs="Arial"/>
          <w:szCs w:val="20"/>
          <w:lang w:val="sl-SI"/>
        </w:rPr>
      </w:pPr>
      <w:r w:rsidRPr="005771BD">
        <w:rPr>
          <w:rFonts w:eastAsiaTheme="minorHAnsi" w:cs="Arial"/>
          <w:szCs w:val="20"/>
          <w:lang w:val="sl-SI"/>
        </w:rPr>
        <w:t xml:space="preserve">WHO, 2009a. </w:t>
      </w:r>
      <w:r w:rsidRPr="005771BD">
        <w:rPr>
          <w:rFonts w:eastAsiaTheme="minorHAnsi" w:cs="Arial"/>
          <w:i/>
          <w:szCs w:val="20"/>
          <w:lang w:val="sl-SI"/>
        </w:rPr>
        <w:t>Protecting health from climate change: connecting science, policy and people</w:t>
      </w:r>
      <w:r w:rsidRPr="005771BD">
        <w:rPr>
          <w:rFonts w:eastAsiaTheme="minorHAnsi" w:cs="Arial"/>
          <w:szCs w:val="20"/>
          <w:lang w:val="sl-SI"/>
        </w:rPr>
        <w:t xml:space="preserve">. Geneva. World Health Organization </w:t>
      </w:r>
    </w:p>
    <w:p w:rsidR="0057482E" w:rsidRPr="005771BD" w:rsidRDefault="0057482E" w:rsidP="0057482E">
      <w:pPr>
        <w:spacing w:before="120" w:line="240" w:lineRule="auto"/>
        <w:rPr>
          <w:rFonts w:eastAsiaTheme="minorHAnsi" w:cs="Arial"/>
          <w:szCs w:val="20"/>
          <w:lang w:val="sl-SI"/>
        </w:rPr>
      </w:pPr>
      <w:r w:rsidRPr="005771BD">
        <w:rPr>
          <w:rFonts w:eastAsiaTheme="minorHAnsi" w:cs="Arial"/>
          <w:szCs w:val="20"/>
          <w:lang w:val="sl-SI"/>
        </w:rPr>
        <w:t xml:space="preserve">WHO, 2009b. </w:t>
      </w:r>
      <w:r w:rsidRPr="005771BD">
        <w:rPr>
          <w:rFonts w:eastAsiaTheme="minorHAnsi" w:cs="Arial"/>
          <w:i/>
          <w:szCs w:val="20"/>
          <w:lang w:val="sl-SI"/>
        </w:rPr>
        <w:t>Night noise guidelines for Europe. World Health Organization</w:t>
      </w:r>
      <w:r w:rsidRPr="005771BD">
        <w:rPr>
          <w:rFonts w:eastAsiaTheme="minorHAnsi" w:cs="Arial"/>
          <w:szCs w:val="20"/>
          <w:lang w:val="sl-SI"/>
        </w:rPr>
        <w:t xml:space="preserve">, Copenhagen 2009. Dostopno na: </w:t>
      </w:r>
      <w:hyperlink r:id="rId337" w:history="1">
        <w:r w:rsidRPr="005771BD">
          <w:rPr>
            <w:rFonts w:eastAsiaTheme="minorHAnsi" w:cs="Arial"/>
            <w:color w:val="5F5F5F" w:themeColor="hyperlink"/>
            <w:szCs w:val="20"/>
            <w:u w:val="single"/>
            <w:lang w:val="sl-SI"/>
          </w:rPr>
          <w:t>http://www.euro.who.int/__data/assets/pdf_file/0017/43316/E92845.pdf</w:t>
        </w:r>
      </w:hyperlink>
      <w:r w:rsidRPr="005771BD">
        <w:rPr>
          <w:rFonts w:eastAsiaTheme="minorHAnsi" w:cs="Arial"/>
          <w:color w:val="5F5F5F" w:themeColor="hyperlink"/>
          <w:szCs w:val="20"/>
          <w:u w:val="single"/>
          <w:lang w:val="sl-SI"/>
        </w:rPr>
        <w:t xml:space="preserve">. </w:t>
      </w:r>
    </w:p>
    <w:p w:rsidR="0057482E" w:rsidRPr="005771BD" w:rsidRDefault="0057482E" w:rsidP="0057482E">
      <w:pPr>
        <w:spacing w:before="120" w:line="240" w:lineRule="auto"/>
        <w:rPr>
          <w:rFonts w:eastAsiaTheme="minorHAnsi" w:cs="Arial"/>
          <w:szCs w:val="20"/>
          <w:lang w:val="sl-SI"/>
        </w:rPr>
      </w:pPr>
      <w:r w:rsidRPr="005771BD">
        <w:rPr>
          <w:rFonts w:eastAsiaTheme="minorHAnsi" w:cs="Arial"/>
          <w:szCs w:val="20"/>
          <w:lang w:val="sl-SI"/>
        </w:rPr>
        <w:t xml:space="preserve">WHO, 2011. </w:t>
      </w:r>
      <w:r w:rsidRPr="005771BD">
        <w:rPr>
          <w:rFonts w:eastAsiaTheme="minorHAnsi" w:cs="Arial"/>
          <w:i/>
          <w:szCs w:val="20"/>
          <w:lang w:val="sl-SI"/>
        </w:rPr>
        <w:t>Burden of disease from environmental noise. Quantification of healthy life years lost in Europe.</w:t>
      </w:r>
      <w:r w:rsidRPr="005771BD">
        <w:rPr>
          <w:rFonts w:eastAsiaTheme="minorHAnsi" w:cs="Arial"/>
          <w:szCs w:val="20"/>
          <w:lang w:val="sl-SI"/>
        </w:rPr>
        <w:t xml:space="preserve"> World Health Organisation and EC Joint Research Centre.</w:t>
      </w:r>
    </w:p>
    <w:p w:rsidR="0057482E" w:rsidRPr="005771BD" w:rsidRDefault="0057482E" w:rsidP="0057482E">
      <w:pPr>
        <w:spacing w:before="120" w:line="240" w:lineRule="auto"/>
        <w:rPr>
          <w:rFonts w:eastAsiaTheme="minorHAnsi" w:cs="Arial"/>
          <w:szCs w:val="20"/>
          <w:lang w:val="sl-SI"/>
        </w:rPr>
      </w:pPr>
      <w:r w:rsidRPr="005771BD">
        <w:rPr>
          <w:rFonts w:eastAsiaTheme="minorHAnsi" w:cs="Arial"/>
          <w:szCs w:val="20"/>
          <w:lang w:val="sl-SI"/>
        </w:rPr>
        <w:t xml:space="preserve">WHO, 2013. </w:t>
      </w:r>
      <w:r w:rsidRPr="005771BD">
        <w:rPr>
          <w:rFonts w:eastAsiaTheme="minorHAnsi" w:cs="Arial"/>
          <w:i/>
          <w:szCs w:val="20"/>
          <w:lang w:val="sl-SI"/>
        </w:rPr>
        <w:t>Review of evidence on health aspects of air pollution REVIHAAP Project Technical Report pollution</w:t>
      </w:r>
      <w:r w:rsidRPr="005771BD">
        <w:rPr>
          <w:rFonts w:eastAsiaTheme="minorHAnsi" w:cs="Arial"/>
          <w:szCs w:val="20"/>
          <w:lang w:val="sl-SI"/>
        </w:rPr>
        <w:t xml:space="preserve">. World Health Organization. The Regional Office for Europe, Copenhagen. Dostopno na: </w:t>
      </w:r>
      <w:hyperlink r:id="rId338" w:history="1">
        <w:r w:rsidRPr="005771BD">
          <w:rPr>
            <w:rFonts w:eastAsiaTheme="minorHAnsi" w:cs="Arial"/>
            <w:color w:val="5F5F5F" w:themeColor="hyperlink"/>
            <w:szCs w:val="20"/>
            <w:u w:val="single"/>
            <w:lang w:val="sl-SI"/>
          </w:rPr>
          <w:t>http://www.euro.who.int/__data/assets/pdf_file/0004/193108/REVIHAAP-Final-technical-report-final-version.pdf</w:t>
        </w:r>
      </w:hyperlink>
      <w:r w:rsidRPr="005771BD">
        <w:rPr>
          <w:rFonts w:eastAsiaTheme="minorHAnsi" w:cs="Arial"/>
          <w:szCs w:val="20"/>
          <w:lang w:val="sl-SI"/>
        </w:rPr>
        <w:t xml:space="preserve">. </w:t>
      </w:r>
    </w:p>
    <w:p w:rsidR="0057482E" w:rsidRPr="005771BD" w:rsidRDefault="0057482E" w:rsidP="0057482E">
      <w:pPr>
        <w:spacing w:before="120" w:line="240" w:lineRule="auto"/>
        <w:rPr>
          <w:rFonts w:eastAsiaTheme="minorHAnsi" w:cs="Arial"/>
          <w:szCs w:val="20"/>
          <w:u w:val="single"/>
          <w:lang w:val="sl-SI"/>
        </w:rPr>
      </w:pPr>
      <w:r w:rsidRPr="005771BD">
        <w:rPr>
          <w:rFonts w:eastAsiaTheme="minorHAnsi" w:cs="Arial"/>
          <w:szCs w:val="20"/>
          <w:lang w:val="sl-SI"/>
        </w:rPr>
        <w:t xml:space="preserve">WHO, 2014. </w:t>
      </w:r>
      <w:r w:rsidRPr="005771BD">
        <w:rPr>
          <w:rFonts w:eastAsiaTheme="minorHAnsi" w:cs="Arial"/>
          <w:i/>
          <w:szCs w:val="20"/>
          <w:lang w:val="sl-SI"/>
        </w:rPr>
        <w:t>Global health Observatory data. Mortality from ambient air pollution</w:t>
      </w:r>
      <w:r w:rsidRPr="005771BD">
        <w:rPr>
          <w:rFonts w:eastAsiaTheme="minorHAnsi" w:cs="Arial"/>
          <w:szCs w:val="20"/>
          <w:lang w:val="sl-SI"/>
        </w:rPr>
        <w:t xml:space="preserve">. Geneva, World Health Organization. Dostopno na:  </w:t>
      </w:r>
      <w:hyperlink r:id="rId339" w:history="1">
        <w:r w:rsidRPr="005771BD">
          <w:rPr>
            <w:rFonts w:eastAsiaTheme="minorHAnsi" w:cs="Arial"/>
            <w:color w:val="5F5F5F" w:themeColor="hyperlink"/>
            <w:szCs w:val="20"/>
            <w:u w:val="single"/>
            <w:lang w:val="sl-SI"/>
          </w:rPr>
          <w:t>http://www.who.int/gho/phe/outdoor_air_pollution/burden_text/en/</w:t>
        </w:r>
      </w:hyperlink>
      <w:r w:rsidRPr="005771BD">
        <w:rPr>
          <w:rFonts w:eastAsiaTheme="minorHAnsi" w:cs="Arial"/>
          <w:color w:val="5F5F5F" w:themeColor="hyperlink"/>
          <w:szCs w:val="20"/>
          <w:u w:val="single"/>
          <w:lang w:val="sl-SI"/>
        </w:rPr>
        <w:t>.</w:t>
      </w:r>
    </w:p>
    <w:p w:rsidR="0057482E" w:rsidRPr="005771BD" w:rsidRDefault="0057482E" w:rsidP="0057482E">
      <w:pPr>
        <w:spacing w:before="120" w:line="240" w:lineRule="auto"/>
        <w:outlineLvl w:val="0"/>
        <w:rPr>
          <w:rFonts w:eastAsiaTheme="majorEastAsia" w:cs="Arial"/>
          <w:bCs/>
          <w:color w:val="A5A5A5" w:themeColor="accent1" w:themeShade="BF"/>
          <w:szCs w:val="20"/>
          <w:lang w:val="sl-SI"/>
        </w:rPr>
      </w:pPr>
      <w:r w:rsidRPr="005771BD">
        <w:rPr>
          <w:rFonts w:eastAsiaTheme="majorEastAsia" w:cs="Arial"/>
          <w:bCs/>
          <w:color w:val="000000" w:themeColor="text1"/>
          <w:szCs w:val="20"/>
          <w:lang w:val="sl-SI"/>
        </w:rPr>
        <w:t xml:space="preserve">WHO, 2015a. </w:t>
      </w:r>
      <w:r w:rsidRPr="005771BD">
        <w:rPr>
          <w:rFonts w:eastAsiaTheme="majorEastAsia" w:cs="Arial"/>
          <w:bCs/>
          <w:i/>
          <w:color w:val="000000" w:themeColor="text1"/>
          <w:szCs w:val="20"/>
          <w:lang w:val="sl-SI"/>
        </w:rPr>
        <w:t>Climate change and health. Fact sheet No.266 Updated September 2015</w:t>
      </w:r>
      <w:r w:rsidRPr="005771BD">
        <w:rPr>
          <w:rFonts w:eastAsiaTheme="majorEastAsia" w:cs="Arial"/>
          <w:bCs/>
          <w:color w:val="000000" w:themeColor="text1"/>
          <w:szCs w:val="20"/>
          <w:lang w:val="sl-SI"/>
        </w:rPr>
        <w:t>.</w:t>
      </w:r>
      <w:r w:rsidRPr="005771BD">
        <w:rPr>
          <w:rFonts w:eastAsiaTheme="majorEastAsia" w:cs="Arial"/>
          <w:b/>
          <w:bCs/>
          <w:color w:val="000000" w:themeColor="text1"/>
          <w:szCs w:val="20"/>
          <w:lang w:val="sl-SI"/>
        </w:rPr>
        <w:t xml:space="preserve"> </w:t>
      </w:r>
      <w:r w:rsidRPr="005771BD">
        <w:rPr>
          <w:rFonts w:eastAsiaTheme="majorEastAsia" w:cs="Arial"/>
          <w:bCs/>
          <w:color w:val="000000" w:themeColor="text1"/>
          <w:szCs w:val="20"/>
          <w:lang w:val="sl-SI"/>
        </w:rPr>
        <w:t xml:space="preserve">Dostopno na: </w:t>
      </w:r>
      <w:hyperlink r:id="rId340" w:history="1">
        <w:r w:rsidRPr="005771BD">
          <w:rPr>
            <w:rFonts w:eastAsiaTheme="majorEastAsia" w:cs="Arial"/>
            <w:bCs/>
            <w:color w:val="5F5F5F" w:themeColor="hyperlink"/>
            <w:szCs w:val="20"/>
            <w:u w:val="single"/>
            <w:lang w:val="sl-SI"/>
          </w:rPr>
          <w:t>http://www.who.int/mediacentre/factsheets/fs266/en/</w:t>
        </w:r>
      </w:hyperlink>
      <w:r w:rsidRPr="005771BD">
        <w:rPr>
          <w:rFonts w:eastAsiaTheme="majorEastAsia" w:cs="Arial"/>
          <w:bCs/>
          <w:color w:val="5F5F5F" w:themeColor="hyperlink"/>
          <w:szCs w:val="20"/>
          <w:u w:val="single"/>
          <w:lang w:val="sl-SI"/>
        </w:rPr>
        <w:t xml:space="preserve">. </w:t>
      </w:r>
      <w:r w:rsidRPr="005771BD">
        <w:rPr>
          <w:rFonts w:eastAsiaTheme="majorEastAsia" w:cs="Arial"/>
          <w:bCs/>
          <w:color w:val="000000" w:themeColor="text1"/>
          <w:szCs w:val="20"/>
          <w:lang w:val="sl-SI"/>
        </w:rPr>
        <w:t xml:space="preserve"> </w:t>
      </w:r>
    </w:p>
    <w:p w:rsidR="0057482E" w:rsidRPr="0035476E" w:rsidRDefault="0057482E" w:rsidP="0057482E">
      <w:pPr>
        <w:spacing w:before="120" w:line="240" w:lineRule="auto"/>
        <w:rPr>
          <w:rFonts w:eastAsia="Calibri" w:cs="Arial"/>
          <w:noProof/>
          <w:szCs w:val="20"/>
          <w:lang w:val="sl-SI"/>
        </w:rPr>
      </w:pPr>
      <w:r w:rsidRPr="0035476E">
        <w:rPr>
          <w:rFonts w:eastAsia="Calibri" w:cs="Arial"/>
          <w:noProof/>
          <w:szCs w:val="20"/>
          <w:lang w:val="sl-SI"/>
        </w:rPr>
        <w:t xml:space="preserve">WHO, 2015b. </w:t>
      </w:r>
      <w:r w:rsidRPr="0035476E">
        <w:rPr>
          <w:rFonts w:eastAsia="Calibri" w:cs="Arial"/>
          <w:i/>
          <w:noProof/>
          <w:szCs w:val="20"/>
          <w:lang w:val="sl-SI"/>
        </w:rPr>
        <w:t>Estimates of the global burden of foodborne disease, Foodborne disease burden epidemiology reference group 2007</w:t>
      </w:r>
      <w:r>
        <w:rPr>
          <w:rFonts w:eastAsia="Calibri" w:cs="Arial"/>
          <w:i/>
          <w:noProof/>
          <w:szCs w:val="20"/>
          <w:lang w:val="sl-SI"/>
        </w:rPr>
        <w:t>–</w:t>
      </w:r>
      <w:r w:rsidRPr="0035476E">
        <w:rPr>
          <w:rFonts w:eastAsia="Calibri" w:cs="Arial"/>
          <w:i/>
          <w:noProof/>
          <w:szCs w:val="20"/>
          <w:lang w:val="sl-SI"/>
        </w:rPr>
        <w:t>2015</w:t>
      </w:r>
      <w:r w:rsidRPr="0035476E">
        <w:rPr>
          <w:rFonts w:eastAsia="Calibri" w:cs="Arial"/>
          <w:noProof/>
          <w:szCs w:val="20"/>
          <w:lang w:val="sl-SI"/>
        </w:rPr>
        <w:t xml:space="preserve">. Dostopno na: </w:t>
      </w:r>
      <w:hyperlink r:id="rId341" w:history="1">
        <w:r w:rsidRPr="0035476E">
          <w:rPr>
            <w:rFonts w:eastAsia="Calibri" w:cs="Arial"/>
            <w:noProof/>
            <w:color w:val="5F5F5F" w:themeColor="hyperlink"/>
            <w:szCs w:val="20"/>
            <w:u w:val="single"/>
            <w:lang w:val="sl-SI"/>
          </w:rPr>
          <w:t>http://www.who.int/foodsafety/publications/foodborne_disease/fergreport/en/</w:t>
        </w:r>
      </w:hyperlink>
      <w:r w:rsidRPr="0035476E">
        <w:rPr>
          <w:rFonts w:eastAsia="Calibri" w:cs="Arial"/>
          <w:noProof/>
          <w:color w:val="5F5F5F" w:themeColor="hyperlink"/>
          <w:szCs w:val="20"/>
          <w:u w:val="single"/>
          <w:lang w:val="sl-SI"/>
        </w:rPr>
        <w:t xml:space="preserve">. </w:t>
      </w:r>
    </w:p>
    <w:p w:rsidR="0057482E" w:rsidRPr="005771BD" w:rsidRDefault="0057482E" w:rsidP="0057482E">
      <w:pPr>
        <w:tabs>
          <w:tab w:val="left" w:pos="3060"/>
          <w:tab w:val="left" w:pos="3600"/>
        </w:tabs>
        <w:spacing w:before="120" w:line="240" w:lineRule="auto"/>
        <w:rPr>
          <w:rFonts w:eastAsiaTheme="minorHAnsi" w:cs="Arial"/>
          <w:szCs w:val="20"/>
          <w:lang w:val="sl-SI"/>
        </w:rPr>
      </w:pPr>
      <w:r w:rsidRPr="005771BD">
        <w:rPr>
          <w:rFonts w:eastAsiaTheme="minorHAnsi" w:cs="Arial"/>
          <w:szCs w:val="20"/>
          <w:lang w:val="sl-SI"/>
        </w:rPr>
        <w:t xml:space="preserve">WHO, 2016. </w:t>
      </w:r>
      <w:r w:rsidRPr="005771BD">
        <w:rPr>
          <w:rFonts w:eastAsiaTheme="minorHAnsi" w:cs="Arial"/>
          <w:i/>
          <w:szCs w:val="20"/>
          <w:lang w:val="sl-SI"/>
        </w:rPr>
        <w:t>International Programme on chemical safety. The public health impact of chemicals: knowns and unknowns</w:t>
      </w:r>
      <w:r w:rsidRPr="005771BD">
        <w:rPr>
          <w:rFonts w:eastAsiaTheme="minorHAnsi" w:cs="Arial"/>
          <w:szCs w:val="20"/>
          <w:lang w:val="sl-SI"/>
        </w:rPr>
        <w:t xml:space="preserve">. Dostopno na:  </w:t>
      </w:r>
      <w:hyperlink r:id="rId342" w:history="1">
        <w:r w:rsidRPr="005771BD">
          <w:rPr>
            <w:rFonts w:eastAsiaTheme="minorHAnsi" w:cs="Arial"/>
            <w:color w:val="5F5F5F" w:themeColor="hyperlink"/>
            <w:szCs w:val="20"/>
            <w:u w:val="single"/>
            <w:lang w:val="sl-SI"/>
          </w:rPr>
          <w:t>http://www.who.int/ipcs/publications/chemicals-public-health-impact/en/</w:t>
        </w:r>
      </w:hyperlink>
      <w:r w:rsidRPr="005771BD">
        <w:rPr>
          <w:rFonts w:eastAsiaTheme="minorHAnsi" w:cs="Arial"/>
          <w:color w:val="5F5F5F" w:themeColor="hyperlink"/>
          <w:szCs w:val="20"/>
          <w:u w:val="single"/>
          <w:lang w:val="sl-SI"/>
        </w:rPr>
        <w:t>.</w:t>
      </w:r>
    </w:p>
    <w:p w:rsidR="0057482E" w:rsidRPr="005771BD" w:rsidRDefault="0057482E" w:rsidP="0057482E">
      <w:pPr>
        <w:autoSpaceDE w:val="0"/>
        <w:autoSpaceDN w:val="0"/>
        <w:adjustRightInd w:val="0"/>
        <w:spacing w:before="120" w:line="240" w:lineRule="auto"/>
        <w:rPr>
          <w:rFonts w:eastAsiaTheme="minorHAnsi" w:cs="Arial"/>
          <w:szCs w:val="20"/>
          <w:lang w:val="sl-SI"/>
        </w:rPr>
      </w:pPr>
      <w:r w:rsidRPr="005771BD">
        <w:rPr>
          <w:rFonts w:eastAsiaTheme="minorHAnsi" w:cs="Arial"/>
          <w:szCs w:val="20"/>
          <w:lang w:val="sl-SI"/>
        </w:rPr>
        <w:t xml:space="preserve">Ziska L.H., Beggs P.J., 2012. </w:t>
      </w:r>
      <w:r w:rsidRPr="005771BD">
        <w:rPr>
          <w:rFonts w:eastAsiaTheme="minorHAnsi" w:cs="Arial"/>
          <w:i/>
          <w:szCs w:val="20"/>
          <w:lang w:val="sl-SI"/>
        </w:rPr>
        <w:t>Anthropogenic climate change and allergen exposure: The role of plant biology</w:t>
      </w:r>
      <w:r w:rsidRPr="005771BD">
        <w:rPr>
          <w:rFonts w:eastAsiaTheme="minorHAnsi" w:cs="Arial"/>
          <w:szCs w:val="20"/>
          <w:lang w:val="sl-SI"/>
        </w:rPr>
        <w:t>. J Allergy Clin Immunol, 129(1): 27</w:t>
      </w:r>
      <w:r>
        <w:rPr>
          <w:rFonts w:eastAsiaTheme="minorHAnsi" w:cs="Arial"/>
          <w:szCs w:val="20"/>
          <w:lang w:val="sl-SI"/>
        </w:rPr>
        <w:t>–</w:t>
      </w:r>
      <w:r w:rsidRPr="005771BD">
        <w:rPr>
          <w:rFonts w:eastAsiaTheme="minorHAnsi" w:cs="Arial"/>
          <w:szCs w:val="20"/>
          <w:lang w:val="sl-SI"/>
        </w:rPr>
        <w:t>32.</w:t>
      </w:r>
    </w:p>
    <w:p w:rsidR="0057482E" w:rsidRDefault="0057482E" w:rsidP="0057482E">
      <w:pPr>
        <w:spacing w:after="200" w:line="276" w:lineRule="auto"/>
        <w:rPr>
          <w:rFonts w:eastAsia="Calibri" w:cs="Arial"/>
          <w:b/>
          <w:sz w:val="22"/>
          <w:szCs w:val="22"/>
          <w:lang w:val="sl-SI"/>
        </w:rPr>
      </w:pPr>
    </w:p>
    <w:p w:rsidR="00BA11EF" w:rsidRPr="005771BD" w:rsidRDefault="0057482E" w:rsidP="00BA11EF">
      <w:pPr>
        <w:spacing w:after="240" w:line="276" w:lineRule="auto"/>
        <w:rPr>
          <w:rFonts w:eastAsia="Calibri" w:cs="Arial"/>
          <w:b/>
          <w:sz w:val="22"/>
          <w:szCs w:val="22"/>
          <w:lang w:val="sl-SI"/>
        </w:rPr>
      </w:pPr>
      <w:r>
        <w:rPr>
          <w:rFonts w:eastAsia="Calibri" w:cs="Arial"/>
          <w:b/>
          <w:sz w:val="22"/>
          <w:szCs w:val="22"/>
          <w:lang w:val="sl-SI"/>
        </w:rPr>
        <w:br w:type="column"/>
      </w:r>
      <w:r w:rsidR="00BA11EF" w:rsidRPr="005771BD">
        <w:rPr>
          <w:rFonts w:eastAsia="Calibri" w:cs="Arial"/>
          <w:b/>
          <w:sz w:val="22"/>
          <w:szCs w:val="22"/>
          <w:lang w:val="sl-SI"/>
        </w:rPr>
        <w:t>1</w:t>
      </w:r>
      <w:r w:rsidR="004B2E4F">
        <w:rPr>
          <w:rFonts w:eastAsia="Calibri" w:cs="Arial"/>
          <w:b/>
          <w:sz w:val="22"/>
          <w:szCs w:val="22"/>
          <w:lang w:val="sl-SI"/>
        </w:rPr>
        <w:t>7</w:t>
      </w:r>
      <w:r w:rsidR="00BA11EF" w:rsidRPr="005771BD">
        <w:rPr>
          <w:rFonts w:eastAsia="Calibri" w:cs="Arial"/>
          <w:b/>
          <w:sz w:val="22"/>
          <w:szCs w:val="22"/>
          <w:lang w:val="sl-SI"/>
        </w:rPr>
        <w:t xml:space="preserve"> TRAJNOSTNA RABA PROSTORA</w:t>
      </w:r>
    </w:p>
    <w:p w:rsidR="00BA11EF" w:rsidRPr="005771BD" w:rsidRDefault="00BA11EF" w:rsidP="00BA11EF">
      <w:pPr>
        <w:spacing w:line="276" w:lineRule="auto"/>
        <w:rPr>
          <w:rFonts w:eastAsia="Calibri" w:cs="Arial"/>
          <w:b/>
          <w:sz w:val="22"/>
          <w:szCs w:val="22"/>
          <w:lang w:val="sl-SI"/>
        </w:rPr>
      </w:pPr>
    </w:p>
    <w:p w:rsidR="00BA11EF" w:rsidRPr="005771BD" w:rsidRDefault="00BA11EF" w:rsidP="00BA11EF">
      <w:pPr>
        <w:spacing w:after="240" w:line="276" w:lineRule="auto"/>
        <w:rPr>
          <w:rFonts w:eastAsiaTheme="minorHAnsi" w:cs="Arial"/>
          <w:b/>
          <w:szCs w:val="20"/>
          <w:u w:val="single"/>
          <w:lang w:val="sl-SI"/>
        </w:rPr>
      </w:pPr>
      <w:r w:rsidRPr="005771BD">
        <w:rPr>
          <w:rFonts w:eastAsiaTheme="minorHAnsi" w:cs="Arial"/>
          <w:b/>
          <w:szCs w:val="20"/>
          <w:u w:val="single"/>
          <w:lang w:val="sl-SI"/>
        </w:rPr>
        <w:t>1</w:t>
      </w:r>
      <w:r w:rsidR="004B2E4F">
        <w:rPr>
          <w:rFonts w:eastAsiaTheme="minorHAnsi" w:cs="Arial"/>
          <w:b/>
          <w:szCs w:val="20"/>
          <w:u w:val="single"/>
          <w:lang w:val="sl-SI"/>
        </w:rPr>
        <w:t>7</w:t>
      </w:r>
      <w:r w:rsidRPr="005771BD">
        <w:rPr>
          <w:rFonts w:eastAsiaTheme="minorHAnsi" w:cs="Arial"/>
          <w:b/>
          <w:szCs w:val="20"/>
          <w:u w:val="single"/>
          <w:lang w:val="sl-SI"/>
        </w:rPr>
        <w:t>.1 Trajnostno načrtovanje prostorskega razvoja v Sloveniji</w:t>
      </w:r>
    </w:p>
    <w:p w:rsidR="00BA11EF" w:rsidRPr="005771BD" w:rsidRDefault="00BA11EF" w:rsidP="00BA11EF">
      <w:pPr>
        <w:spacing w:after="240" w:line="276" w:lineRule="auto"/>
        <w:jc w:val="both"/>
        <w:rPr>
          <w:rFonts w:eastAsiaTheme="minorHAnsi" w:cs="Arial"/>
          <w:szCs w:val="20"/>
          <w:lang w:val="sl-SI"/>
        </w:rPr>
      </w:pPr>
      <w:r w:rsidRPr="005771BD">
        <w:rPr>
          <w:rFonts w:eastAsiaTheme="minorHAnsi" w:cs="Arial"/>
          <w:szCs w:val="20"/>
          <w:lang w:val="sl-SI"/>
        </w:rPr>
        <w:t xml:space="preserve">Prostorsko načrtovanje je dejavnost, s katero se načrtujejo posegi v prostor, prostorske ureditve </w:t>
      </w:r>
      <w:r>
        <w:rPr>
          <w:rFonts w:eastAsiaTheme="minorHAnsi" w:cs="Arial"/>
          <w:szCs w:val="20"/>
          <w:lang w:val="sl-SI"/>
        </w:rPr>
        <w:t xml:space="preserve">in </w:t>
      </w:r>
      <w:r w:rsidRPr="005771BD">
        <w:rPr>
          <w:rFonts w:eastAsiaTheme="minorHAnsi" w:cs="Arial"/>
          <w:szCs w:val="20"/>
          <w:lang w:val="sl-SI"/>
        </w:rPr>
        <w:t xml:space="preserve">namenska raba prostora. S spodbujanjem in usmerjanjem prostorskega razvoja prostorsko načrtovanje prispeva k razvoju države, doseganju blaginje </w:t>
      </w:r>
      <w:r>
        <w:rPr>
          <w:rFonts w:eastAsiaTheme="minorHAnsi" w:cs="Arial"/>
          <w:szCs w:val="20"/>
          <w:lang w:val="sl-SI"/>
        </w:rPr>
        <w:t>in</w:t>
      </w:r>
      <w:r w:rsidRPr="005771BD">
        <w:rPr>
          <w:rFonts w:eastAsiaTheme="minorHAnsi" w:cs="Arial"/>
          <w:szCs w:val="20"/>
          <w:lang w:val="sl-SI"/>
        </w:rPr>
        <w:t xml:space="preserve"> izboljšanju kakovosti življenja vseh prebivalcev države.</w:t>
      </w:r>
    </w:p>
    <w:p w:rsidR="00BA11EF" w:rsidRPr="005771BD" w:rsidRDefault="00BA11EF" w:rsidP="00BA11EF">
      <w:pPr>
        <w:spacing w:after="240" w:line="276" w:lineRule="auto"/>
        <w:jc w:val="both"/>
        <w:rPr>
          <w:rFonts w:eastAsiaTheme="minorHAnsi" w:cs="Arial"/>
          <w:szCs w:val="20"/>
          <w:lang w:val="sl-SI"/>
        </w:rPr>
      </w:pPr>
      <w:r w:rsidRPr="005771BD">
        <w:rPr>
          <w:rFonts w:eastAsiaTheme="minorHAnsi" w:cs="Arial"/>
          <w:szCs w:val="20"/>
          <w:lang w:val="sl-SI"/>
        </w:rPr>
        <w:t>S Strategijo prostorskega razvoja Slovenije (2004) je bil v Sloveniji uveljavljen vzdržn</w:t>
      </w:r>
      <w:r>
        <w:rPr>
          <w:rFonts w:eastAsiaTheme="minorHAnsi" w:cs="Arial"/>
          <w:szCs w:val="20"/>
          <w:lang w:val="sl-SI"/>
        </w:rPr>
        <w:t>i</w:t>
      </w:r>
      <w:r w:rsidRPr="005771BD">
        <w:rPr>
          <w:rFonts w:eastAsiaTheme="minorHAnsi" w:cs="Arial"/>
          <w:szCs w:val="20"/>
          <w:lang w:val="sl-SI"/>
        </w:rPr>
        <w:t xml:space="preserve"> prostorsk</w:t>
      </w:r>
      <w:r>
        <w:rPr>
          <w:rFonts w:eastAsiaTheme="minorHAnsi" w:cs="Arial"/>
          <w:szCs w:val="20"/>
          <w:lang w:val="sl-SI"/>
        </w:rPr>
        <w:t>i</w:t>
      </w:r>
      <w:r w:rsidRPr="005771BD">
        <w:rPr>
          <w:rFonts w:eastAsiaTheme="minorHAnsi" w:cs="Arial"/>
          <w:szCs w:val="20"/>
          <w:lang w:val="sl-SI"/>
        </w:rPr>
        <w:t xml:space="preserve"> razvoj. </w:t>
      </w:r>
      <w:r>
        <w:rPr>
          <w:rFonts w:eastAsiaTheme="minorHAnsi" w:cs="Arial"/>
          <w:szCs w:val="20"/>
          <w:lang w:val="sl-SI"/>
        </w:rPr>
        <w:t>To</w:t>
      </w:r>
      <w:r w:rsidRPr="005771BD">
        <w:rPr>
          <w:rFonts w:eastAsiaTheme="minorHAnsi" w:cs="Arial"/>
          <w:szCs w:val="20"/>
          <w:lang w:val="sl-SI"/>
        </w:rPr>
        <w:t xml:space="preserve"> pomeni zagotavljanje take rabe prostora in prostorskih ureditev, ki ob varovanju okolja, ohranjanju narave in trajnostni rabi naravnih dobrin (virov), ohranjanju kulturne dediščine in drugih kakovosti naravnega in bivalnega okolja</w:t>
      </w:r>
      <w:r>
        <w:rPr>
          <w:rFonts w:eastAsiaTheme="minorHAnsi" w:cs="Arial"/>
          <w:szCs w:val="20"/>
          <w:lang w:val="sl-SI"/>
        </w:rPr>
        <w:t>,</w:t>
      </w:r>
      <w:r w:rsidRPr="005771BD">
        <w:rPr>
          <w:rFonts w:eastAsiaTheme="minorHAnsi" w:cs="Arial"/>
          <w:szCs w:val="20"/>
          <w:lang w:val="sl-SI"/>
        </w:rPr>
        <w:t xml:space="preserve"> omogoča zadovoljitev potreb sedanje generacije brez ogrožanja potreb prihodnjih generacij (SPRS 2004). Pri načrtovanju razvoja prostorsko načrtovanje izhaja iz upoštevanja družbenih, gospodarskih in okoljskih dejavnikov. </w:t>
      </w:r>
    </w:p>
    <w:p w:rsidR="00BA11EF" w:rsidRPr="005771BD" w:rsidRDefault="00BA11EF" w:rsidP="00BA11EF">
      <w:pPr>
        <w:spacing w:after="240" w:line="276" w:lineRule="auto"/>
        <w:jc w:val="both"/>
        <w:rPr>
          <w:rFonts w:eastAsiaTheme="minorHAnsi" w:cs="Arial"/>
          <w:szCs w:val="20"/>
          <w:lang w:val="sl-SI"/>
        </w:rPr>
      </w:pPr>
      <w:r w:rsidRPr="005771BD">
        <w:rPr>
          <w:rFonts w:eastAsiaTheme="minorHAnsi" w:cs="Arial"/>
          <w:szCs w:val="20"/>
          <w:lang w:val="sl-SI"/>
        </w:rPr>
        <w:t>Zagotavljanje in varstvo kakovosti okolja je eno izmed pomembnih izhodišč načrtovanja; ohranjanje narave, varstvo prostorske identitete in kulturne dediščine so v prostorskem načrtovanju prepoznane kot temeljne razvojne zahteve (SPRS 2004).</w:t>
      </w:r>
    </w:p>
    <w:p w:rsidR="00BA11EF" w:rsidRPr="005771BD" w:rsidRDefault="00BA11EF" w:rsidP="00BA11EF">
      <w:pPr>
        <w:spacing w:after="240" w:line="276" w:lineRule="auto"/>
        <w:jc w:val="both"/>
        <w:rPr>
          <w:rFonts w:eastAsiaTheme="minorHAnsi" w:cs="Arial"/>
          <w:szCs w:val="20"/>
          <w:lang w:val="sl-SI"/>
        </w:rPr>
      </w:pPr>
      <w:r w:rsidRPr="005771BD">
        <w:rPr>
          <w:rFonts w:eastAsiaTheme="minorHAnsi" w:cs="Arial"/>
          <w:szCs w:val="20"/>
          <w:lang w:val="sl-SI"/>
        </w:rPr>
        <w:t>Vzdržni prostorski razvoj temelji p</w:t>
      </w:r>
      <w:r>
        <w:rPr>
          <w:rFonts w:eastAsiaTheme="minorHAnsi" w:cs="Arial"/>
          <w:szCs w:val="20"/>
          <w:lang w:val="sl-SI"/>
        </w:rPr>
        <w:t>redvsem</w:t>
      </w:r>
      <w:r w:rsidRPr="005771BD">
        <w:rPr>
          <w:rFonts w:eastAsiaTheme="minorHAnsi" w:cs="Arial"/>
          <w:szCs w:val="20"/>
          <w:lang w:val="sl-SI"/>
        </w:rPr>
        <w:t xml:space="preserve"> na varovanju in ohranjanju  pogojev za </w:t>
      </w:r>
      <w:r>
        <w:rPr>
          <w:rFonts w:eastAsiaTheme="minorHAnsi" w:cs="Arial"/>
          <w:szCs w:val="20"/>
          <w:lang w:val="sl-SI"/>
        </w:rPr>
        <w:t xml:space="preserve">dolgoročno </w:t>
      </w:r>
      <w:r w:rsidRPr="005771BD">
        <w:rPr>
          <w:rFonts w:eastAsiaTheme="minorHAnsi" w:cs="Arial"/>
          <w:szCs w:val="20"/>
          <w:lang w:val="sl-SI"/>
        </w:rPr>
        <w:t xml:space="preserve">vzdrževanje predvidljivega razvoja mest, ki naj bi potekal čim bolj uravnovešeno in brez velikih nihanj. Tej opredelitvi najbolj ustreza preusmeritev v notranji razvoj mest, ki temelji na prenavljanju stavb in zgoščevanju zazidave na praznih ali zapuščenih stavbnih zemljiščih. Na ta način je mogoče z delnimi izboljšavami in postopnim preurejanjem prostorskih struktur dolgoročno ohranjati pogoje, ki dovoljujejo stalno presnavljanje in izpopolnjevanje urbanega sistema, da ostaja prostorsko in energetsko vzdržen (Koželj 2016).  </w:t>
      </w:r>
    </w:p>
    <w:p w:rsidR="00BA11EF" w:rsidRPr="005771BD" w:rsidRDefault="00BA11EF" w:rsidP="00BA11EF">
      <w:pPr>
        <w:spacing w:line="276" w:lineRule="auto"/>
        <w:jc w:val="both"/>
        <w:rPr>
          <w:rFonts w:eastAsiaTheme="minorHAnsi" w:cs="Arial"/>
          <w:b/>
          <w:szCs w:val="20"/>
          <w:lang w:val="sl-SI"/>
        </w:rPr>
      </w:pPr>
    </w:p>
    <w:p w:rsidR="00BA11EF" w:rsidRPr="005771BD" w:rsidRDefault="00BA11EF" w:rsidP="00BA11EF">
      <w:pPr>
        <w:spacing w:after="240" w:line="276" w:lineRule="auto"/>
        <w:jc w:val="both"/>
        <w:rPr>
          <w:rFonts w:eastAsiaTheme="minorHAnsi" w:cs="Arial"/>
          <w:b/>
          <w:szCs w:val="20"/>
          <w:u w:val="single"/>
          <w:lang w:val="sl-SI"/>
        </w:rPr>
      </w:pPr>
      <w:r w:rsidRPr="005771BD">
        <w:rPr>
          <w:rFonts w:eastAsiaTheme="minorHAnsi" w:cs="Arial"/>
          <w:b/>
          <w:szCs w:val="20"/>
          <w:u w:val="single"/>
          <w:lang w:val="sl-SI"/>
        </w:rPr>
        <w:t>1</w:t>
      </w:r>
      <w:r w:rsidR="004B2E4F">
        <w:rPr>
          <w:rFonts w:eastAsiaTheme="minorHAnsi" w:cs="Arial"/>
          <w:b/>
          <w:szCs w:val="20"/>
          <w:u w:val="single"/>
          <w:lang w:val="sl-SI"/>
        </w:rPr>
        <w:t>7</w:t>
      </w:r>
      <w:r w:rsidRPr="005771BD">
        <w:rPr>
          <w:rFonts w:eastAsiaTheme="minorHAnsi" w:cs="Arial"/>
          <w:b/>
          <w:szCs w:val="20"/>
          <w:u w:val="single"/>
          <w:lang w:val="sl-SI"/>
        </w:rPr>
        <w:t xml:space="preserve">.2 Trendi prostorskega razvoja </w:t>
      </w:r>
    </w:p>
    <w:p w:rsidR="00BA11EF" w:rsidRPr="005771BD" w:rsidRDefault="00BA11EF" w:rsidP="00BA11EF">
      <w:pPr>
        <w:spacing w:after="240" w:line="276" w:lineRule="auto"/>
        <w:jc w:val="both"/>
        <w:rPr>
          <w:rFonts w:eastAsiaTheme="minorHAnsi" w:cs="Arial"/>
          <w:szCs w:val="20"/>
          <w:lang w:val="sl-SI"/>
        </w:rPr>
      </w:pPr>
      <w:r w:rsidRPr="005771BD">
        <w:rPr>
          <w:rFonts w:eastAsiaTheme="minorHAnsi" w:cs="Arial"/>
          <w:szCs w:val="20"/>
          <w:lang w:val="sl-SI"/>
        </w:rPr>
        <w:t xml:space="preserve">Za Slovenijo je značilna raznovrstnost poselitvenih struktur. Ozemlje države je neenakomerno poseljeno, značilna je velika razpršenost in veliko število majhnih naselij. V letu 2014 je bilo v Sloveniji 6.034 naselij (SURS 2014 v MOP 2015), od katerih je bilo 57 naselij brez prebivalcev. Poselitev je zgoščena v ravninskem, kotlinskem in dolinskem svetu (slika </w:t>
      </w:r>
      <w:r w:rsidR="00307F4E">
        <w:rPr>
          <w:rFonts w:eastAsiaTheme="minorHAnsi" w:cs="Arial"/>
          <w:szCs w:val="20"/>
          <w:lang w:val="sl-SI"/>
        </w:rPr>
        <w:t>17.</w:t>
      </w:r>
      <w:r w:rsidRPr="005771BD">
        <w:rPr>
          <w:rFonts w:eastAsiaTheme="minorHAnsi" w:cs="Arial"/>
          <w:szCs w:val="20"/>
          <w:lang w:val="sl-SI"/>
        </w:rPr>
        <w:t xml:space="preserve">1), med temi gosteje poseljenimi območji pa </w:t>
      </w:r>
      <w:r>
        <w:rPr>
          <w:rFonts w:eastAsiaTheme="minorHAnsi" w:cs="Arial"/>
          <w:szCs w:val="20"/>
          <w:lang w:val="sl-SI"/>
        </w:rPr>
        <w:t>so</w:t>
      </w:r>
      <w:r w:rsidRPr="005771BD">
        <w:rPr>
          <w:rFonts w:eastAsiaTheme="minorHAnsi" w:cs="Arial"/>
          <w:szCs w:val="20"/>
          <w:lang w:val="sl-SI"/>
        </w:rPr>
        <w:t xml:space="preserve"> obsežna redkeje poseljena ali sploh neposeljena območja</w:t>
      </w:r>
      <w:r>
        <w:rPr>
          <w:rFonts w:eastAsiaTheme="minorHAnsi" w:cs="Arial"/>
          <w:szCs w:val="20"/>
          <w:lang w:val="sl-SI"/>
        </w:rPr>
        <w:t xml:space="preserve">, zlasti </w:t>
      </w:r>
      <w:r w:rsidRPr="005771BD">
        <w:rPr>
          <w:rFonts w:eastAsiaTheme="minorHAnsi" w:cs="Arial"/>
          <w:szCs w:val="20"/>
          <w:lang w:val="sl-SI"/>
        </w:rPr>
        <w:t xml:space="preserve">alpski svet ter območja dinarskih planot na Notranjskem in Kočevskem. Ob obilici majhnih naselij je za slovenski prostor značilno prepletanje gozdnih in kmetijskih površin, kar povečuje pokrajinsko pestrost. </w:t>
      </w:r>
    </w:p>
    <w:p w:rsidR="00BA11EF" w:rsidRPr="005771BD" w:rsidRDefault="00BA11EF" w:rsidP="00BA11EF">
      <w:pPr>
        <w:spacing w:after="240" w:line="276" w:lineRule="auto"/>
        <w:jc w:val="both"/>
        <w:rPr>
          <w:rFonts w:eastAsiaTheme="minorHAnsi" w:cs="Arial"/>
          <w:szCs w:val="20"/>
          <w:lang w:val="sl-SI"/>
        </w:rPr>
      </w:pPr>
      <w:r w:rsidRPr="005771BD">
        <w:rPr>
          <w:rFonts w:eastAsiaTheme="minorHAnsi" w:cs="Arial"/>
          <w:szCs w:val="20"/>
          <w:lang w:val="sl-SI"/>
        </w:rPr>
        <w:t xml:space="preserve">Večjih mest je v Sloveniji malo, le sedem mest ima več kot 20.000 prebivalcev, v njih pa živi dobra četrtina vseh prebivalcev države. Po stopnji urbanizacije sodi Slovenija med najmanj urbanizirane evropske države. Stopnja urbanizacije </w:t>
      </w:r>
      <w:r>
        <w:rPr>
          <w:rFonts w:eastAsiaTheme="minorHAnsi" w:cs="Arial"/>
          <w:szCs w:val="20"/>
          <w:lang w:val="sl-SI"/>
        </w:rPr>
        <w:t>je</w:t>
      </w:r>
      <w:r w:rsidRPr="005771BD">
        <w:rPr>
          <w:rFonts w:eastAsiaTheme="minorHAnsi" w:cs="Arial"/>
          <w:szCs w:val="20"/>
          <w:lang w:val="sl-SI"/>
        </w:rPr>
        <w:t xml:space="preserve"> okoli 50 %</w:t>
      </w:r>
      <w:r>
        <w:rPr>
          <w:rFonts w:eastAsiaTheme="minorHAnsi" w:cs="Arial"/>
          <w:szCs w:val="20"/>
          <w:lang w:val="sl-SI"/>
        </w:rPr>
        <w:t xml:space="preserve"> in</w:t>
      </w:r>
      <w:r w:rsidRPr="005771BD">
        <w:rPr>
          <w:rFonts w:eastAsiaTheme="minorHAnsi" w:cs="Arial"/>
          <w:szCs w:val="20"/>
          <w:lang w:val="sl-SI"/>
        </w:rPr>
        <w:t xml:space="preserve"> se v zadnjem desetletju kljub usmeritvi prostorske politike v krepitev in širitev urbanih središč ni povečevala. Nasprotno, bolj kot v mestih, ki demografsko stagnirajo, se prebivalstvo </w:t>
      </w:r>
      <w:r>
        <w:rPr>
          <w:rFonts w:eastAsiaTheme="minorHAnsi" w:cs="Arial"/>
          <w:szCs w:val="20"/>
          <w:lang w:val="sl-SI"/>
        </w:rPr>
        <w:t>zgoščeno</w:t>
      </w:r>
      <w:r w:rsidRPr="005771BD">
        <w:rPr>
          <w:rFonts w:eastAsiaTheme="minorHAnsi" w:cs="Arial"/>
          <w:szCs w:val="20"/>
          <w:lang w:val="sl-SI"/>
        </w:rPr>
        <w:t xml:space="preserve"> </w:t>
      </w:r>
      <w:r>
        <w:rPr>
          <w:rFonts w:eastAsiaTheme="minorHAnsi" w:cs="Arial"/>
          <w:szCs w:val="20"/>
          <w:lang w:val="sl-SI"/>
        </w:rPr>
        <w:t xml:space="preserve">naseljuje </w:t>
      </w:r>
      <w:r w:rsidRPr="005771BD">
        <w:rPr>
          <w:rFonts w:eastAsiaTheme="minorHAnsi" w:cs="Arial"/>
          <w:szCs w:val="20"/>
          <w:lang w:val="sl-SI"/>
        </w:rPr>
        <w:t xml:space="preserve">v manjših naseljih v širših mestnih območjih </w:t>
      </w:r>
      <w:r>
        <w:rPr>
          <w:rFonts w:eastAsiaTheme="minorHAnsi" w:cs="Arial"/>
          <w:szCs w:val="20"/>
          <w:lang w:val="sl-SI"/>
        </w:rPr>
        <w:t>državnih</w:t>
      </w:r>
      <w:r w:rsidRPr="005771BD">
        <w:rPr>
          <w:rFonts w:eastAsiaTheme="minorHAnsi" w:cs="Arial"/>
          <w:szCs w:val="20"/>
          <w:lang w:val="sl-SI"/>
        </w:rPr>
        <w:t xml:space="preserve"> središč. Za ta območja je tudi v zadnjem desetletju značilno nadaljevanje trenda suburbanizacije. Naselja se na teh območjih pogosto širijo v smereh </w:t>
      </w:r>
      <w:r>
        <w:rPr>
          <w:rFonts w:eastAsiaTheme="minorHAnsi" w:cs="Arial"/>
          <w:szCs w:val="20"/>
          <w:lang w:val="sl-SI"/>
        </w:rPr>
        <w:t>povezovalne</w:t>
      </w:r>
      <w:r w:rsidRPr="005771BD">
        <w:rPr>
          <w:rFonts w:eastAsiaTheme="minorHAnsi" w:cs="Arial"/>
          <w:szCs w:val="20"/>
          <w:lang w:val="sl-SI"/>
        </w:rPr>
        <w:t xml:space="preserve"> infrastrukture (v smeri glavnih cestnih prometnic), kar povzroča morfološko združevanje naselij v dolge neprekinjene nize. Takšen </w:t>
      </w:r>
      <w:r>
        <w:rPr>
          <w:rFonts w:eastAsiaTheme="minorHAnsi" w:cs="Arial"/>
          <w:szCs w:val="20"/>
          <w:lang w:val="sl-SI"/>
        </w:rPr>
        <w:t>način</w:t>
      </w:r>
      <w:r w:rsidRPr="005771BD">
        <w:rPr>
          <w:rFonts w:eastAsiaTheme="minorHAnsi" w:cs="Arial"/>
          <w:szCs w:val="20"/>
          <w:lang w:val="sl-SI"/>
        </w:rPr>
        <w:t xml:space="preserve"> širitve povzroča </w:t>
      </w:r>
      <w:r>
        <w:rPr>
          <w:rFonts w:eastAsiaTheme="minorHAnsi" w:cs="Arial"/>
          <w:szCs w:val="20"/>
          <w:lang w:val="sl-SI"/>
        </w:rPr>
        <w:t>razdrobljenost</w:t>
      </w:r>
      <w:r w:rsidRPr="005771BD">
        <w:rPr>
          <w:rFonts w:eastAsiaTheme="minorHAnsi" w:cs="Arial"/>
          <w:szCs w:val="20"/>
          <w:lang w:val="sl-SI"/>
        </w:rPr>
        <w:t xml:space="preserve"> prostora, prekinja zelene koridorje med naselji, zaradi nižje gostote stanovanj otež</w:t>
      </w:r>
      <w:r>
        <w:rPr>
          <w:rFonts w:eastAsiaTheme="minorHAnsi" w:cs="Arial"/>
          <w:szCs w:val="20"/>
          <w:lang w:val="sl-SI"/>
        </w:rPr>
        <w:t>uje</w:t>
      </w:r>
      <w:r w:rsidRPr="005771BD">
        <w:rPr>
          <w:rFonts w:eastAsiaTheme="minorHAnsi" w:cs="Arial"/>
          <w:szCs w:val="20"/>
          <w:lang w:val="sl-SI"/>
        </w:rPr>
        <w:t xml:space="preserve"> organizacijo javnega potniškega prometa (JPP), zmanjšuje potovaln</w:t>
      </w:r>
      <w:r>
        <w:rPr>
          <w:rFonts w:eastAsiaTheme="minorHAnsi" w:cs="Arial"/>
          <w:szCs w:val="20"/>
          <w:lang w:val="sl-SI"/>
        </w:rPr>
        <w:t>o</w:t>
      </w:r>
      <w:r w:rsidRPr="005771BD">
        <w:rPr>
          <w:rFonts w:eastAsiaTheme="minorHAnsi" w:cs="Arial"/>
          <w:szCs w:val="20"/>
          <w:lang w:val="sl-SI"/>
        </w:rPr>
        <w:t xml:space="preserve"> hitrost na prometni infrastrukturi. Zaradi bivanja v neposredni bližini prometne infrastrukture je pereč problem izpostavljenost prebivalcev prekomernemu hrupu. Ta</w:t>
      </w:r>
      <w:r>
        <w:rPr>
          <w:rFonts w:eastAsiaTheme="minorHAnsi" w:cs="Arial"/>
          <w:szCs w:val="20"/>
          <w:lang w:val="sl-SI"/>
        </w:rPr>
        <w:t>kšen</w:t>
      </w:r>
      <w:r w:rsidRPr="005771BD">
        <w:rPr>
          <w:rFonts w:eastAsiaTheme="minorHAnsi" w:cs="Arial"/>
          <w:szCs w:val="20"/>
          <w:lang w:val="sl-SI"/>
        </w:rPr>
        <w:t xml:space="preserve"> razvoj je še posebej pereč na območju Ljubljanske kotline, v Podravju, Vipavski dolini, pa se tudi drugod (npr. </w:t>
      </w:r>
      <w:r>
        <w:rPr>
          <w:rFonts w:eastAsiaTheme="minorHAnsi" w:cs="Arial"/>
          <w:szCs w:val="20"/>
          <w:lang w:val="sl-SI"/>
        </w:rPr>
        <w:t xml:space="preserve">v </w:t>
      </w:r>
      <w:r w:rsidRPr="005771BD">
        <w:rPr>
          <w:rFonts w:eastAsiaTheme="minorHAnsi" w:cs="Arial"/>
          <w:szCs w:val="20"/>
          <w:lang w:val="sl-SI"/>
        </w:rPr>
        <w:t>Ribnic</w:t>
      </w:r>
      <w:r>
        <w:rPr>
          <w:rFonts w:eastAsiaTheme="minorHAnsi" w:cs="Arial"/>
          <w:szCs w:val="20"/>
          <w:lang w:val="sl-SI"/>
        </w:rPr>
        <w:t>i</w:t>
      </w:r>
      <w:r w:rsidRPr="005771BD">
        <w:rPr>
          <w:rFonts w:eastAsiaTheme="minorHAnsi" w:cs="Arial"/>
          <w:szCs w:val="20"/>
          <w:lang w:val="sl-SI"/>
        </w:rPr>
        <w:t>, Ilirsk</w:t>
      </w:r>
      <w:r>
        <w:rPr>
          <w:rFonts w:eastAsiaTheme="minorHAnsi" w:cs="Arial"/>
          <w:szCs w:val="20"/>
          <w:lang w:val="sl-SI"/>
        </w:rPr>
        <w:t>i</w:t>
      </w:r>
      <w:r w:rsidRPr="005771BD">
        <w:rPr>
          <w:rFonts w:eastAsiaTheme="minorHAnsi" w:cs="Arial"/>
          <w:szCs w:val="20"/>
          <w:lang w:val="sl-SI"/>
        </w:rPr>
        <w:t xml:space="preserve"> Bistric</w:t>
      </w:r>
      <w:r>
        <w:rPr>
          <w:rFonts w:eastAsiaTheme="minorHAnsi" w:cs="Arial"/>
          <w:szCs w:val="20"/>
          <w:lang w:val="sl-SI"/>
        </w:rPr>
        <w:t>i itd.</w:t>
      </w:r>
      <w:r w:rsidRPr="005771BD">
        <w:rPr>
          <w:rFonts w:eastAsiaTheme="minorHAnsi" w:cs="Arial"/>
          <w:szCs w:val="20"/>
          <w:lang w:val="sl-SI"/>
        </w:rPr>
        <w:t xml:space="preserve">) (MOP 2015). </w:t>
      </w:r>
    </w:p>
    <w:p w:rsidR="00BA11EF" w:rsidRPr="005771BD" w:rsidRDefault="00BA11EF" w:rsidP="00BA11EF">
      <w:pPr>
        <w:spacing w:after="240" w:line="276" w:lineRule="auto"/>
        <w:jc w:val="center"/>
        <w:rPr>
          <w:rFonts w:eastAsiaTheme="minorHAnsi" w:cs="Arial"/>
          <w:szCs w:val="20"/>
          <w:lang w:val="sl-SI"/>
        </w:rPr>
      </w:pPr>
      <w:r w:rsidRPr="007F272F">
        <w:rPr>
          <w:rFonts w:eastAsiaTheme="minorHAnsi" w:cs="Arial"/>
          <w:noProof/>
          <w:szCs w:val="20"/>
          <w:lang w:val="sl-SI" w:eastAsia="sl-SI"/>
        </w:rPr>
        <w:drawing>
          <wp:inline distT="0" distB="0" distL="0" distR="0" wp14:anchorId="3CDA95E7" wp14:editId="28B5A2F3">
            <wp:extent cx="4343400" cy="3079586"/>
            <wp:effectExtent l="0" t="0" r="0" b="6985"/>
            <wp:docPr id="659" name="Slika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4351922" cy="3085628"/>
                    </a:xfrm>
                    <a:prstGeom prst="rect">
                      <a:avLst/>
                    </a:prstGeom>
                    <a:noFill/>
                  </pic:spPr>
                </pic:pic>
              </a:graphicData>
            </a:graphic>
          </wp:inline>
        </w:drawing>
      </w:r>
    </w:p>
    <w:p w:rsidR="00BA11EF" w:rsidRPr="005771BD" w:rsidRDefault="00BA11EF" w:rsidP="00BA11EF">
      <w:pPr>
        <w:keepNext/>
        <w:spacing w:after="240" w:line="276" w:lineRule="auto"/>
        <w:jc w:val="both"/>
        <w:rPr>
          <w:rFonts w:eastAsiaTheme="minorHAnsi" w:cs="Arial"/>
          <w:i/>
          <w:szCs w:val="20"/>
          <w:lang w:val="sl-SI"/>
        </w:rPr>
      </w:pPr>
      <w:bookmarkStart w:id="53" w:name="_Ref433111741"/>
      <w:bookmarkStart w:id="54" w:name="_Toc451512461"/>
      <w:r w:rsidRPr="005771BD">
        <w:rPr>
          <w:rFonts w:eastAsia="Calibri" w:cs="Arial"/>
          <w:bCs/>
          <w:i/>
          <w:szCs w:val="20"/>
          <w:lang w:val="sl-SI"/>
        </w:rPr>
        <w:t xml:space="preserve">Slika </w:t>
      </w:r>
      <w:bookmarkEnd w:id="53"/>
      <w:r w:rsidRPr="005771BD">
        <w:rPr>
          <w:rFonts w:eastAsia="Calibri" w:cs="Arial"/>
          <w:bCs/>
          <w:i/>
          <w:szCs w:val="20"/>
          <w:lang w:val="sl-SI"/>
        </w:rPr>
        <w:t>1</w:t>
      </w:r>
      <w:r w:rsidR="004B2E4F">
        <w:rPr>
          <w:rFonts w:eastAsia="Calibri" w:cs="Arial"/>
          <w:bCs/>
          <w:i/>
          <w:szCs w:val="20"/>
          <w:lang w:val="sl-SI"/>
        </w:rPr>
        <w:t>7</w:t>
      </w:r>
      <w:r w:rsidRPr="005771BD">
        <w:rPr>
          <w:rFonts w:eastAsia="Calibri" w:cs="Arial"/>
          <w:bCs/>
          <w:i/>
          <w:szCs w:val="20"/>
          <w:lang w:val="sl-SI"/>
        </w:rPr>
        <w:t>.1: Območja stavbnih zemljišč, Slovenija, 2015</w:t>
      </w:r>
      <w:bookmarkEnd w:id="54"/>
      <w:r w:rsidRPr="005771BD">
        <w:rPr>
          <w:rFonts w:eastAsia="Calibri" w:cs="Arial"/>
          <w:bCs/>
          <w:i/>
          <w:szCs w:val="20"/>
          <w:lang w:val="sl-SI"/>
        </w:rPr>
        <w:t xml:space="preserve"> </w:t>
      </w:r>
    </w:p>
    <w:p w:rsidR="00BA11EF" w:rsidRPr="005771BD" w:rsidRDefault="00BA11EF" w:rsidP="00BA11EF">
      <w:pPr>
        <w:spacing w:after="240" w:line="276" w:lineRule="auto"/>
        <w:jc w:val="both"/>
        <w:rPr>
          <w:rFonts w:eastAsiaTheme="minorHAnsi" w:cs="Arial"/>
          <w:szCs w:val="20"/>
          <w:lang w:val="sl-SI"/>
        </w:rPr>
      </w:pPr>
      <w:r w:rsidRPr="005771BD">
        <w:rPr>
          <w:rFonts w:eastAsiaTheme="minorHAnsi" w:cs="Arial"/>
          <w:szCs w:val="20"/>
          <w:lang w:val="sl-SI"/>
        </w:rPr>
        <w:t>90 % vseh naselij v Sloveniji ima manj kot 500 prebivalcev, v njih pa prebiva tretjina vsega prebivalstva, okoli četrtina naselij ima manj kot 50 prebivalcev. Za redkeje poseljena območja je značilen vzorec razpršene poselitve (Goričko, Slovenske Gorice, Haloze, Škofjeloško in Cerkljansko hribovje). Na nekaterih redkeje poseljenih območjih se ohranja gručast</w:t>
      </w:r>
      <w:r>
        <w:rPr>
          <w:rFonts w:eastAsiaTheme="minorHAnsi" w:cs="Arial"/>
          <w:szCs w:val="20"/>
          <w:lang w:val="sl-SI"/>
        </w:rPr>
        <w:t>a</w:t>
      </w:r>
      <w:r w:rsidRPr="005771BD">
        <w:rPr>
          <w:rFonts w:eastAsiaTheme="minorHAnsi" w:cs="Arial"/>
          <w:szCs w:val="20"/>
          <w:lang w:val="sl-SI"/>
        </w:rPr>
        <w:t xml:space="preserve"> poselit</w:t>
      </w:r>
      <w:r>
        <w:rPr>
          <w:rFonts w:eastAsiaTheme="minorHAnsi" w:cs="Arial"/>
          <w:szCs w:val="20"/>
          <w:lang w:val="sl-SI"/>
        </w:rPr>
        <w:t>ev</w:t>
      </w:r>
      <w:r w:rsidRPr="005771BD">
        <w:rPr>
          <w:rFonts w:eastAsiaTheme="minorHAnsi" w:cs="Arial"/>
          <w:szCs w:val="20"/>
          <w:lang w:val="sl-SI"/>
        </w:rPr>
        <w:t>, pa tudi na teh območjih</w:t>
      </w:r>
      <w:r>
        <w:rPr>
          <w:rFonts w:eastAsiaTheme="minorHAnsi" w:cs="Arial"/>
          <w:szCs w:val="20"/>
          <w:lang w:val="sl-SI"/>
        </w:rPr>
        <w:t>,</w:t>
      </w:r>
      <w:r w:rsidRPr="005771BD">
        <w:rPr>
          <w:rFonts w:eastAsiaTheme="minorHAnsi" w:cs="Arial"/>
          <w:szCs w:val="20"/>
          <w:lang w:val="sl-SI"/>
        </w:rPr>
        <w:t xml:space="preserve"> npr. na Krasu ali v slovenski Istri v okolici večjih naselij</w:t>
      </w:r>
      <w:r>
        <w:rPr>
          <w:rFonts w:eastAsiaTheme="minorHAnsi" w:cs="Arial"/>
          <w:szCs w:val="20"/>
          <w:lang w:val="sl-SI"/>
        </w:rPr>
        <w:t>,</w:t>
      </w:r>
      <w:r w:rsidRPr="005771BD">
        <w:rPr>
          <w:rFonts w:eastAsiaTheme="minorHAnsi" w:cs="Arial"/>
          <w:szCs w:val="20"/>
          <w:lang w:val="sl-SI"/>
        </w:rPr>
        <w:t xml:space="preserve"> </w:t>
      </w:r>
      <w:r>
        <w:rPr>
          <w:rFonts w:eastAsiaTheme="minorHAnsi" w:cs="Arial"/>
          <w:szCs w:val="20"/>
          <w:lang w:val="sl-SI"/>
        </w:rPr>
        <w:t>nastajajo</w:t>
      </w:r>
      <w:r w:rsidRPr="005771BD">
        <w:rPr>
          <w:rFonts w:eastAsiaTheme="minorHAnsi" w:cs="Arial"/>
          <w:szCs w:val="20"/>
          <w:lang w:val="sl-SI"/>
        </w:rPr>
        <w:t xml:space="preserve"> suburbanizirana naselja.</w:t>
      </w:r>
    </w:p>
    <w:p w:rsidR="00BA11EF" w:rsidRPr="005771BD" w:rsidRDefault="00BA11EF" w:rsidP="00BA11EF">
      <w:pPr>
        <w:spacing w:after="240" w:line="276" w:lineRule="auto"/>
        <w:contextualSpacing/>
        <w:jc w:val="both"/>
        <w:rPr>
          <w:rFonts w:eastAsiaTheme="minorHAnsi" w:cs="Arial"/>
          <w:szCs w:val="20"/>
          <w:lang w:val="sl-SI"/>
        </w:rPr>
      </w:pPr>
      <w:r w:rsidRPr="005771BD">
        <w:rPr>
          <w:rFonts w:eastAsiaTheme="minorHAnsi" w:cs="Arial"/>
          <w:szCs w:val="20"/>
          <w:lang w:val="sl-SI"/>
        </w:rPr>
        <w:t>Razpršenost poselitve in nizka stopnja urbanizacije sta posledic</w:t>
      </w:r>
      <w:r>
        <w:rPr>
          <w:rFonts w:eastAsiaTheme="minorHAnsi" w:cs="Arial"/>
          <w:szCs w:val="20"/>
          <w:lang w:val="sl-SI"/>
        </w:rPr>
        <w:t>i</w:t>
      </w:r>
      <w:r w:rsidRPr="005771BD">
        <w:rPr>
          <w:rFonts w:eastAsiaTheme="minorHAnsi" w:cs="Arial"/>
          <w:szCs w:val="20"/>
          <w:lang w:val="sl-SI"/>
        </w:rPr>
        <w:t xml:space="preserve"> naravnih </w:t>
      </w:r>
      <w:r>
        <w:rPr>
          <w:rFonts w:eastAsiaTheme="minorHAnsi" w:cs="Arial"/>
          <w:szCs w:val="20"/>
          <w:lang w:val="sl-SI"/>
        </w:rPr>
        <w:t>razmer</w:t>
      </w:r>
      <w:r w:rsidRPr="005771BD">
        <w:rPr>
          <w:rFonts w:eastAsiaTheme="minorHAnsi" w:cs="Arial"/>
          <w:szCs w:val="20"/>
          <w:lang w:val="sl-SI"/>
        </w:rPr>
        <w:t xml:space="preserve">, zgodovinskega razvoja ozemlja države, načrtnega spodbujanja razvoja policentričnega urbanega sistema </w:t>
      </w:r>
      <w:r>
        <w:rPr>
          <w:rFonts w:eastAsiaTheme="minorHAnsi" w:cs="Arial"/>
          <w:szCs w:val="20"/>
          <w:lang w:val="sl-SI"/>
        </w:rPr>
        <w:t>in</w:t>
      </w:r>
      <w:r w:rsidRPr="005771BD">
        <w:rPr>
          <w:rFonts w:eastAsiaTheme="minorHAnsi" w:cs="Arial"/>
          <w:szCs w:val="20"/>
          <w:lang w:val="sl-SI"/>
        </w:rPr>
        <w:t xml:space="preserve"> tudi želje prebivalcev po življenju v naravnem okolju. </w:t>
      </w:r>
    </w:p>
    <w:p w:rsidR="00BA11EF" w:rsidRPr="005771BD" w:rsidRDefault="00BA11EF" w:rsidP="00BA11EF">
      <w:pPr>
        <w:spacing w:after="240" w:line="276" w:lineRule="auto"/>
        <w:contextualSpacing/>
        <w:jc w:val="both"/>
        <w:rPr>
          <w:rFonts w:eastAsiaTheme="minorHAnsi" w:cs="Arial"/>
          <w:szCs w:val="20"/>
          <w:lang w:val="sl-SI"/>
        </w:rPr>
      </w:pPr>
    </w:p>
    <w:p w:rsidR="00BA11EF" w:rsidRPr="005771BD" w:rsidRDefault="00BA11EF" w:rsidP="00307F4E">
      <w:pPr>
        <w:spacing w:after="200" w:line="276" w:lineRule="auto"/>
        <w:jc w:val="both"/>
        <w:rPr>
          <w:rFonts w:eastAsiaTheme="minorHAnsi" w:cs="Arial"/>
          <w:szCs w:val="20"/>
          <w:lang w:val="sl-SI"/>
        </w:rPr>
      </w:pPr>
      <w:r w:rsidRPr="005771BD">
        <w:rPr>
          <w:rFonts w:eastAsiaTheme="minorHAnsi" w:cs="Arial"/>
          <w:szCs w:val="20"/>
          <w:lang w:val="sl-SI"/>
        </w:rPr>
        <w:t>Na razvoj poselitve in posledično spremembe v rabi prostora ima velik vpliv demografski razvoj. Spreminjanje števila prebivalcev in značilnosti prebivalstva, kot so starostna in izobrazbena struktura, selitve prebivalcev in njihova geografska razporeditev ter spremembe v velikosti in značilnosti gospodinjstev</w:t>
      </w:r>
      <w:r>
        <w:rPr>
          <w:rFonts w:eastAsiaTheme="minorHAnsi" w:cs="Arial"/>
          <w:szCs w:val="20"/>
          <w:lang w:val="sl-SI"/>
        </w:rPr>
        <w:t>,</w:t>
      </w:r>
      <w:r w:rsidRPr="005771BD">
        <w:rPr>
          <w:rFonts w:eastAsiaTheme="minorHAnsi" w:cs="Arial"/>
          <w:szCs w:val="20"/>
          <w:lang w:val="sl-SI"/>
        </w:rPr>
        <w:t xml:space="preserve"> vplivajo na razvoj različnih</w:t>
      </w:r>
      <w:r>
        <w:rPr>
          <w:rFonts w:eastAsiaTheme="minorHAnsi" w:cs="Arial"/>
          <w:szCs w:val="20"/>
          <w:lang w:val="sl-SI"/>
        </w:rPr>
        <w:t xml:space="preserve"> vrst</w:t>
      </w:r>
      <w:r w:rsidRPr="005771BD">
        <w:rPr>
          <w:rFonts w:eastAsiaTheme="minorHAnsi" w:cs="Arial"/>
          <w:szCs w:val="20"/>
          <w:lang w:val="sl-SI"/>
        </w:rPr>
        <w:t xml:space="preserve"> območij. Za Slovenijo </w:t>
      </w:r>
      <w:r>
        <w:rPr>
          <w:rFonts w:eastAsiaTheme="minorHAnsi" w:cs="Arial"/>
          <w:szCs w:val="20"/>
          <w:lang w:val="sl-SI"/>
        </w:rPr>
        <w:t>sta</w:t>
      </w:r>
      <w:r w:rsidRPr="005771BD">
        <w:rPr>
          <w:rFonts w:eastAsiaTheme="minorHAnsi" w:cs="Arial"/>
          <w:szCs w:val="20"/>
          <w:lang w:val="sl-SI"/>
        </w:rPr>
        <w:t xml:space="preserve"> tako kot za večino razvitih držav značilna nizka rodnost </w:t>
      </w:r>
      <w:r>
        <w:rPr>
          <w:rFonts w:eastAsiaTheme="minorHAnsi" w:cs="Arial"/>
          <w:szCs w:val="20"/>
          <w:lang w:val="sl-SI"/>
        </w:rPr>
        <w:t>in</w:t>
      </w:r>
      <w:r w:rsidRPr="005771BD">
        <w:rPr>
          <w:rFonts w:eastAsiaTheme="minorHAnsi" w:cs="Arial"/>
          <w:szCs w:val="20"/>
          <w:lang w:val="sl-SI"/>
        </w:rPr>
        <w:t xml:space="preserve"> nizek naravni prirast prebivalstva. Spremembe v številu </w:t>
      </w:r>
      <w:r>
        <w:rPr>
          <w:rFonts w:eastAsiaTheme="minorHAnsi" w:cs="Arial"/>
          <w:szCs w:val="20"/>
          <w:lang w:val="sl-SI"/>
        </w:rPr>
        <w:t>in</w:t>
      </w:r>
      <w:r w:rsidRPr="005771BD">
        <w:rPr>
          <w:rFonts w:eastAsiaTheme="minorHAnsi" w:cs="Arial"/>
          <w:szCs w:val="20"/>
          <w:lang w:val="sl-SI"/>
        </w:rPr>
        <w:t xml:space="preserve"> razporeditvi prebivalcev so večinoma posledica selitev prebivalcev, tako znotraj ozemlja države</w:t>
      </w:r>
      <w:r>
        <w:rPr>
          <w:rFonts w:eastAsiaTheme="minorHAnsi" w:cs="Arial"/>
          <w:szCs w:val="20"/>
          <w:lang w:val="sl-SI"/>
        </w:rPr>
        <w:t xml:space="preserve">, npr. </w:t>
      </w:r>
      <w:r w:rsidRPr="005771BD">
        <w:rPr>
          <w:rFonts w:eastAsiaTheme="minorHAnsi" w:cs="Arial"/>
          <w:szCs w:val="20"/>
          <w:lang w:val="sl-SI"/>
        </w:rPr>
        <w:t xml:space="preserve"> medobčinsk</w:t>
      </w:r>
      <w:r>
        <w:rPr>
          <w:rFonts w:eastAsiaTheme="minorHAnsi" w:cs="Arial"/>
          <w:szCs w:val="20"/>
          <w:lang w:val="sl-SI"/>
        </w:rPr>
        <w:t>ih</w:t>
      </w:r>
      <w:r w:rsidRPr="005771BD">
        <w:rPr>
          <w:rFonts w:eastAsiaTheme="minorHAnsi" w:cs="Arial"/>
          <w:szCs w:val="20"/>
          <w:lang w:val="sl-SI"/>
        </w:rPr>
        <w:t xml:space="preserve"> migracij</w:t>
      </w:r>
      <w:r>
        <w:rPr>
          <w:rFonts w:eastAsiaTheme="minorHAnsi" w:cs="Arial"/>
          <w:szCs w:val="20"/>
          <w:lang w:val="sl-SI"/>
        </w:rPr>
        <w:t>,</w:t>
      </w:r>
      <w:r w:rsidRPr="005771BD">
        <w:rPr>
          <w:rFonts w:eastAsiaTheme="minorHAnsi" w:cs="Arial"/>
          <w:szCs w:val="20"/>
          <w:lang w:val="sl-SI"/>
        </w:rPr>
        <w:t xml:space="preserve"> kakor tudi meddržavn</w:t>
      </w:r>
      <w:r>
        <w:rPr>
          <w:rFonts w:eastAsiaTheme="minorHAnsi" w:cs="Arial"/>
          <w:szCs w:val="20"/>
          <w:lang w:val="sl-SI"/>
        </w:rPr>
        <w:t>ih</w:t>
      </w:r>
      <w:r w:rsidRPr="005771BD">
        <w:rPr>
          <w:rFonts w:eastAsiaTheme="minorHAnsi" w:cs="Arial"/>
          <w:szCs w:val="20"/>
          <w:lang w:val="sl-SI"/>
        </w:rPr>
        <w:t xml:space="preserve"> migracij. Medobčinske selitve prebivalcev so </w:t>
      </w:r>
      <w:r>
        <w:rPr>
          <w:rFonts w:eastAsiaTheme="minorHAnsi" w:cs="Arial"/>
          <w:szCs w:val="20"/>
          <w:lang w:val="sl-SI"/>
        </w:rPr>
        <w:t>se</w:t>
      </w:r>
      <w:r w:rsidRPr="005771BD">
        <w:rPr>
          <w:rFonts w:eastAsiaTheme="minorHAnsi" w:cs="Arial"/>
          <w:szCs w:val="20"/>
          <w:lang w:val="sl-SI"/>
        </w:rPr>
        <w:t xml:space="preserve"> v zadnjem </w:t>
      </w:r>
      <w:r>
        <w:rPr>
          <w:rFonts w:eastAsiaTheme="minorHAnsi" w:cs="Arial"/>
          <w:szCs w:val="20"/>
          <w:lang w:val="sl-SI"/>
        </w:rPr>
        <w:t>času</w:t>
      </w:r>
      <w:r w:rsidRPr="005771BD">
        <w:rPr>
          <w:rFonts w:eastAsiaTheme="minorHAnsi" w:cs="Arial"/>
          <w:szCs w:val="20"/>
          <w:lang w:val="sl-SI"/>
        </w:rPr>
        <w:t xml:space="preserve"> s podeželskih območij </w:t>
      </w:r>
      <w:r>
        <w:rPr>
          <w:rFonts w:eastAsiaTheme="minorHAnsi" w:cs="Arial"/>
          <w:szCs w:val="20"/>
          <w:lang w:val="sl-SI"/>
        </w:rPr>
        <w:t xml:space="preserve">preusmerile </w:t>
      </w:r>
      <w:r w:rsidRPr="005771BD">
        <w:rPr>
          <w:rFonts w:eastAsiaTheme="minorHAnsi" w:cs="Arial"/>
          <w:szCs w:val="20"/>
          <w:lang w:val="sl-SI"/>
        </w:rPr>
        <w:t xml:space="preserve">na funkcionalna urbana območja večjih središč. </w:t>
      </w:r>
    </w:p>
    <w:p w:rsidR="00BA11EF" w:rsidRPr="005771BD" w:rsidRDefault="00BA11EF" w:rsidP="00BA11EF">
      <w:pPr>
        <w:spacing w:after="240" w:line="276" w:lineRule="auto"/>
        <w:jc w:val="both"/>
        <w:rPr>
          <w:rFonts w:eastAsiaTheme="minorHAnsi" w:cs="Arial"/>
          <w:szCs w:val="20"/>
          <w:lang w:val="sl-SI"/>
        </w:rPr>
      </w:pPr>
      <w:r w:rsidRPr="005771BD">
        <w:rPr>
          <w:rFonts w:eastAsiaTheme="minorHAnsi" w:cs="Arial"/>
          <w:szCs w:val="20"/>
          <w:lang w:val="sl-SI"/>
        </w:rPr>
        <w:t>Povečevanje števila prebivalcev na funkcionalnih urbanih območjih večjih središč vpliva na potrebe po širitvi pozidanih območij zaradi gradnje stanovanjskih objektov, objektov za proizvodnje in storitvene dejavnosti, objektov za potrebe izvajanja storitev javnega družbenega pomena (npr. zdravstvo, izobraževanje</w:t>
      </w:r>
      <w:r>
        <w:rPr>
          <w:rFonts w:eastAsiaTheme="minorHAnsi" w:cs="Arial"/>
          <w:szCs w:val="20"/>
          <w:lang w:val="sl-SI"/>
        </w:rPr>
        <w:t xml:space="preserve"> ipd.</w:t>
      </w:r>
      <w:r w:rsidRPr="005771BD">
        <w:rPr>
          <w:rFonts w:eastAsiaTheme="minorHAnsi" w:cs="Arial"/>
          <w:szCs w:val="20"/>
          <w:lang w:val="sl-SI"/>
        </w:rPr>
        <w:t xml:space="preserve">) ter gradnje javne gospodarske infrastrukture (npr. prometna infrastruktura). </w:t>
      </w:r>
    </w:p>
    <w:p w:rsidR="00BA11EF" w:rsidRPr="005771BD" w:rsidRDefault="00BA11EF" w:rsidP="00BA11EF">
      <w:pPr>
        <w:spacing w:after="240" w:line="276" w:lineRule="auto"/>
        <w:jc w:val="both"/>
        <w:rPr>
          <w:rFonts w:eastAsiaTheme="minorHAnsi" w:cs="Arial"/>
          <w:szCs w:val="20"/>
          <w:lang w:val="sl-SI"/>
        </w:rPr>
      </w:pPr>
      <w:r w:rsidRPr="005771BD">
        <w:rPr>
          <w:rFonts w:eastAsiaTheme="minorHAnsi" w:cs="Arial"/>
          <w:szCs w:val="20"/>
          <w:lang w:val="sl-SI"/>
        </w:rPr>
        <w:t>Razlogi za selitve v suburbanizirana območja v bližini večjih središč so zaradi ugodnejših cen nepremičnin dostopnejša stanovanja ter bližina</w:t>
      </w:r>
      <w:r>
        <w:rPr>
          <w:rFonts w:eastAsiaTheme="minorHAnsi" w:cs="Arial"/>
          <w:szCs w:val="20"/>
          <w:lang w:val="sl-SI"/>
        </w:rPr>
        <w:t xml:space="preserve"> </w:t>
      </w:r>
      <w:r w:rsidRPr="005771BD">
        <w:rPr>
          <w:rFonts w:eastAsiaTheme="minorHAnsi" w:cs="Arial"/>
          <w:szCs w:val="20"/>
          <w:lang w:val="sl-SI"/>
        </w:rPr>
        <w:t xml:space="preserve">po cestnem omrežju dobro dostopnih zaposlitvenih središč. Vzorec pospešene gradnje stanovanj </w:t>
      </w:r>
      <w:r>
        <w:rPr>
          <w:rFonts w:eastAsiaTheme="minorHAnsi" w:cs="Arial"/>
          <w:szCs w:val="20"/>
          <w:lang w:val="sl-SI"/>
        </w:rPr>
        <w:t xml:space="preserve">upošteva </w:t>
      </w:r>
      <w:r w:rsidRPr="005771BD">
        <w:rPr>
          <w:rFonts w:eastAsiaTheme="minorHAnsi" w:cs="Arial"/>
          <w:szCs w:val="20"/>
          <w:lang w:val="sl-SI"/>
        </w:rPr>
        <w:t>vzor</w:t>
      </w:r>
      <w:r>
        <w:rPr>
          <w:rFonts w:eastAsiaTheme="minorHAnsi" w:cs="Arial"/>
          <w:szCs w:val="20"/>
          <w:lang w:val="sl-SI"/>
        </w:rPr>
        <w:t>ec</w:t>
      </w:r>
      <w:r w:rsidRPr="005771BD">
        <w:rPr>
          <w:rFonts w:eastAsiaTheme="minorHAnsi" w:cs="Arial"/>
          <w:szCs w:val="20"/>
          <w:lang w:val="sl-SI"/>
        </w:rPr>
        <w:t xml:space="preserve"> avtocestnega križa, po katerem je mo</w:t>
      </w:r>
      <w:r>
        <w:rPr>
          <w:rFonts w:eastAsiaTheme="minorHAnsi" w:cs="Arial"/>
          <w:szCs w:val="20"/>
          <w:lang w:val="sl-SI"/>
        </w:rPr>
        <w:t>goča</w:t>
      </w:r>
      <w:r w:rsidRPr="005771BD">
        <w:rPr>
          <w:rFonts w:eastAsiaTheme="minorHAnsi" w:cs="Arial"/>
          <w:szCs w:val="20"/>
          <w:lang w:val="sl-SI"/>
        </w:rPr>
        <w:t xml:space="preserve"> hitra in učinkovita (avto)mobilnost do delovnih mest, srednješolskega in univerzitetnega izobraževanja ter oskrbe. Število dnevnih delovnih migrantov v teh smereh se </w:t>
      </w:r>
      <w:r>
        <w:rPr>
          <w:rFonts w:eastAsiaTheme="minorHAnsi" w:cs="Arial"/>
          <w:szCs w:val="20"/>
          <w:lang w:val="sl-SI"/>
        </w:rPr>
        <w:t>stalno</w:t>
      </w:r>
      <w:r w:rsidRPr="005771BD">
        <w:rPr>
          <w:rFonts w:eastAsiaTheme="minorHAnsi" w:cs="Arial"/>
          <w:szCs w:val="20"/>
          <w:lang w:val="sl-SI"/>
        </w:rPr>
        <w:t xml:space="preserve"> povečuje. Še posebej to velja za občine ob primorskem in dolenjskem kraku ter kraku štajerske avtoceste med Mariborom in Slovensko Bistrico.</w:t>
      </w:r>
    </w:p>
    <w:p w:rsidR="00BA11EF" w:rsidRPr="005771BD" w:rsidRDefault="00BA11EF" w:rsidP="00BA11EF">
      <w:pPr>
        <w:spacing w:after="240" w:line="276" w:lineRule="auto"/>
        <w:jc w:val="center"/>
        <w:rPr>
          <w:rFonts w:eastAsiaTheme="minorHAnsi" w:cs="Arial"/>
          <w:szCs w:val="20"/>
          <w:lang w:val="sl-SI"/>
        </w:rPr>
      </w:pPr>
      <w:r w:rsidRPr="007F272F">
        <w:rPr>
          <w:rFonts w:eastAsiaTheme="minorHAnsi" w:cs="Arial"/>
          <w:noProof/>
          <w:szCs w:val="20"/>
          <w:lang w:val="sl-SI" w:eastAsia="sl-SI"/>
        </w:rPr>
        <w:drawing>
          <wp:inline distT="0" distB="0" distL="0" distR="0" wp14:anchorId="5B390A8F" wp14:editId="3656F853">
            <wp:extent cx="4629150" cy="3063333"/>
            <wp:effectExtent l="0" t="0" r="0" b="3810"/>
            <wp:docPr id="661" name="Slika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4626003" cy="3061250"/>
                    </a:xfrm>
                    <a:prstGeom prst="rect">
                      <a:avLst/>
                    </a:prstGeom>
                    <a:noFill/>
                  </pic:spPr>
                </pic:pic>
              </a:graphicData>
            </a:graphic>
          </wp:inline>
        </w:drawing>
      </w:r>
    </w:p>
    <w:p w:rsidR="00BA11EF" w:rsidRPr="005771BD" w:rsidRDefault="00BA11EF" w:rsidP="00BA11EF">
      <w:pPr>
        <w:spacing w:after="240" w:line="276" w:lineRule="auto"/>
        <w:jc w:val="both"/>
        <w:rPr>
          <w:rFonts w:eastAsiaTheme="minorHAnsi" w:cs="Arial"/>
          <w:i/>
          <w:szCs w:val="20"/>
          <w:lang w:val="sl-SI"/>
        </w:rPr>
      </w:pPr>
      <w:r w:rsidRPr="005771BD">
        <w:rPr>
          <w:rFonts w:eastAsiaTheme="minorHAnsi" w:cs="Arial"/>
          <w:i/>
          <w:szCs w:val="20"/>
          <w:lang w:val="sl-SI"/>
        </w:rPr>
        <w:t>Slika 1</w:t>
      </w:r>
      <w:r w:rsidR="004B2E4F">
        <w:rPr>
          <w:rFonts w:eastAsiaTheme="minorHAnsi" w:cs="Arial"/>
          <w:i/>
          <w:szCs w:val="20"/>
          <w:lang w:val="sl-SI"/>
        </w:rPr>
        <w:t>7</w:t>
      </w:r>
      <w:r w:rsidRPr="005771BD">
        <w:rPr>
          <w:rFonts w:eastAsiaTheme="minorHAnsi" w:cs="Arial"/>
          <w:i/>
          <w:szCs w:val="20"/>
          <w:lang w:val="sl-SI"/>
        </w:rPr>
        <w:t>.2: Dnevne delovne migracije, 2010</w:t>
      </w:r>
    </w:p>
    <w:p w:rsidR="00BA11EF" w:rsidRPr="005771BD" w:rsidRDefault="00BA11EF" w:rsidP="00BA11EF">
      <w:pPr>
        <w:spacing w:after="240" w:line="276" w:lineRule="auto"/>
        <w:jc w:val="both"/>
        <w:rPr>
          <w:rFonts w:eastAsiaTheme="minorHAnsi" w:cs="Arial"/>
          <w:b/>
          <w:szCs w:val="20"/>
          <w:lang w:val="sl-SI"/>
        </w:rPr>
      </w:pPr>
      <w:r w:rsidRPr="005771BD">
        <w:rPr>
          <w:rFonts w:eastAsiaTheme="minorHAnsi" w:cs="Arial"/>
          <w:szCs w:val="20"/>
          <w:lang w:val="sl-SI"/>
        </w:rPr>
        <w:t xml:space="preserve">Na drugi strani na območjih, kjer prihaja do zmanjševanja števila prebivalcev, stanovanjski in drugi objekti ostajajo prazni in neizkoriščeni, pogosto </w:t>
      </w:r>
      <w:r>
        <w:rPr>
          <w:rFonts w:eastAsiaTheme="minorHAnsi" w:cs="Arial"/>
          <w:szCs w:val="20"/>
          <w:lang w:val="sl-SI"/>
        </w:rPr>
        <w:t xml:space="preserve">pa </w:t>
      </w:r>
      <w:r w:rsidRPr="005771BD">
        <w:rPr>
          <w:rFonts w:eastAsiaTheme="minorHAnsi" w:cs="Arial"/>
          <w:szCs w:val="20"/>
          <w:lang w:val="sl-SI"/>
        </w:rPr>
        <w:t>tudi propada</w:t>
      </w:r>
      <w:r>
        <w:rPr>
          <w:rFonts w:eastAsiaTheme="minorHAnsi" w:cs="Arial"/>
          <w:szCs w:val="20"/>
          <w:lang w:val="sl-SI"/>
        </w:rPr>
        <w:t>jo</w:t>
      </w:r>
      <w:r w:rsidRPr="005771BD">
        <w:rPr>
          <w:rFonts w:eastAsiaTheme="minorHAnsi" w:cs="Arial"/>
          <w:szCs w:val="20"/>
          <w:lang w:val="sl-SI"/>
        </w:rPr>
        <w:t xml:space="preserve"> (MOP, 2014).</w:t>
      </w:r>
      <w:r w:rsidRPr="005771BD">
        <w:rPr>
          <w:rFonts w:eastAsiaTheme="minorHAnsi" w:cs="Arial"/>
          <w:b/>
          <w:szCs w:val="20"/>
          <w:lang w:val="sl-SI"/>
        </w:rPr>
        <w:t xml:space="preserve"> </w:t>
      </w:r>
    </w:p>
    <w:p w:rsidR="00BA11EF" w:rsidRPr="005771BD" w:rsidRDefault="00BA11EF" w:rsidP="00BA11EF">
      <w:pPr>
        <w:spacing w:after="240" w:line="276" w:lineRule="auto"/>
        <w:jc w:val="both"/>
        <w:rPr>
          <w:rFonts w:eastAsiaTheme="minorHAnsi" w:cs="Arial"/>
          <w:szCs w:val="20"/>
          <w:lang w:val="sl-SI"/>
        </w:rPr>
      </w:pPr>
    </w:p>
    <w:p w:rsidR="00BA11EF" w:rsidRPr="005771BD" w:rsidRDefault="00BA11EF" w:rsidP="00BA11EF">
      <w:pPr>
        <w:spacing w:after="240" w:line="276" w:lineRule="auto"/>
        <w:rPr>
          <w:rFonts w:eastAsiaTheme="minorHAnsi" w:cs="Arial"/>
          <w:b/>
          <w:szCs w:val="20"/>
          <w:u w:val="single"/>
          <w:lang w:val="sl-SI"/>
        </w:rPr>
      </w:pPr>
      <w:r w:rsidRPr="005771BD">
        <w:rPr>
          <w:rFonts w:eastAsiaTheme="minorHAnsi" w:cs="Arial"/>
          <w:b/>
          <w:szCs w:val="20"/>
          <w:u w:val="single"/>
          <w:lang w:val="sl-SI"/>
        </w:rPr>
        <w:t>1</w:t>
      </w:r>
      <w:r w:rsidR="004B2E4F">
        <w:rPr>
          <w:rFonts w:eastAsiaTheme="minorHAnsi" w:cs="Arial"/>
          <w:b/>
          <w:szCs w:val="20"/>
          <w:u w:val="single"/>
          <w:lang w:val="sl-SI"/>
        </w:rPr>
        <w:t>7</w:t>
      </w:r>
      <w:r w:rsidRPr="005771BD">
        <w:rPr>
          <w:rFonts w:eastAsiaTheme="minorHAnsi" w:cs="Arial"/>
          <w:b/>
          <w:szCs w:val="20"/>
          <w:u w:val="single"/>
          <w:lang w:val="sl-SI"/>
        </w:rPr>
        <w:t>.3 Raba prostora</w:t>
      </w:r>
    </w:p>
    <w:p w:rsidR="00BA11EF" w:rsidRPr="005771BD" w:rsidRDefault="00BA11EF" w:rsidP="00BA11EF">
      <w:pPr>
        <w:spacing w:after="240" w:line="276" w:lineRule="auto"/>
        <w:jc w:val="both"/>
        <w:rPr>
          <w:rFonts w:eastAsiaTheme="minorHAnsi" w:cs="Arial"/>
          <w:szCs w:val="20"/>
          <w:lang w:val="sl-SI"/>
        </w:rPr>
      </w:pPr>
      <w:r w:rsidRPr="005771BD">
        <w:rPr>
          <w:rFonts w:eastAsiaTheme="minorHAnsi" w:cs="Arial"/>
          <w:szCs w:val="20"/>
          <w:lang w:val="sl-SI"/>
        </w:rPr>
        <w:t>V prostorskem načrtovanju se z določanjem namenske rabe prostora</w:t>
      </w:r>
      <w:r w:rsidRPr="005771BD">
        <w:rPr>
          <w:rFonts w:eastAsiaTheme="minorHAnsi" w:cs="Arial"/>
          <w:szCs w:val="20"/>
          <w:vertAlign w:val="superscript"/>
          <w:lang w:val="sl-SI"/>
        </w:rPr>
        <w:footnoteReference w:id="66"/>
      </w:r>
      <w:r w:rsidRPr="005771BD">
        <w:rPr>
          <w:rFonts w:eastAsiaTheme="minorHAnsi" w:cs="Arial"/>
          <w:szCs w:val="20"/>
          <w:lang w:val="sl-SI"/>
        </w:rPr>
        <w:t xml:space="preserve"> omogoča temelj družbenega in gospodarskega razvoja, zagotavlja zadostne površine za razvoj (tudi širitev) naselij </w:t>
      </w:r>
      <w:r w:rsidR="00BE4FF5">
        <w:rPr>
          <w:rFonts w:eastAsiaTheme="minorHAnsi" w:cs="Arial"/>
          <w:szCs w:val="20"/>
          <w:lang w:val="sl-SI"/>
        </w:rPr>
        <w:t>i</w:t>
      </w:r>
      <w:r w:rsidRPr="005771BD">
        <w:rPr>
          <w:rFonts w:eastAsiaTheme="minorHAnsi" w:cs="Arial"/>
          <w:szCs w:val="20"/>
          <w:lang w:val="sl-SI"/>
        </w:rPr>
        <w:t xml:space="preserve">n gospodarskih dejavnosti </w:t>
      </w:r>
      <w:r>
        <w:rPr>
          <w:rFonts w:eastAsiaTheme="minorHAnsi" w:cs="Arial"/>
          <w:szCs w:val="20"/>
          <w:lang w:val="sl-SI"/>
        </w:rPr>
        <w:t>ter</w:t>
      </w:r>
      <w:r w:rsidRPr="005771BD">
        <w:rPr>
          <w:rFonts w:eastAsiaTheme="minorHAnsi" w:cs="Arial"/>
          <w:szCs w:val="20"/>
          <w:lang w:val="sl-SI"/>
        </w:rPr>
        <w:t xml:space="preserve"> omogoča varovanje drugih neurbanih</w:t>
      </w:r>
      <w:r w:rsidRPr="005771BD">
        <w:rPr>
          <w:rFonts w:eastAsiaTheme="minorHAnsi" w:cs="Arial"/>
          <w:szCs w:val="20"/>
          <w:vertAlign w:val="superscript"/>
          <w:lang w:val="sl-SI"/>
        </w:rPr>
        <w:footnoteReference w:id="67"/>
      </w:r>
      <w:r w:rsidRPr="005771BD">
        <w:rPr>
          <w:rFonts w:eastAsiaTheme="minorHAnsi" w:cs="Arial"/>
          <w:szCs w:val="20"/>
          <w:lang w:val="sl-SI"/>
        </w:rPr>
        <w:t xml:space="preserve"> rab prostora, kot sta kmetijska ali gozdna raba.</w:t>
      </w:r>
    </w:p>
    <w:p w:rsidR="00BA11EF" w:rsidRPr="005771BD" w:rsidRDefault="00BA11EF" w:rsidP="00BA11EF">
      <w:pPr>
        <w:spacing w:after="240" w:line="276" w:lineRule="auto"/>
        <w:jc w:val="center"/>
        <w:rPr>
          <w:rFonts w:eastAsiaTheme="minorHAnsi" w:cs="Arial"/>
          <w:szCs w:val="20"/>
          <w:lang w:val="sl-SI"/>
        </w:rPr>
      </w:pPr>
      <w:r w:rsidRPr="007F272F">
        <w:rPr>
          <w:rFonts w:eastAsiaTheme="minorHAnsi" w:cs="Arial"/>
          <w:noProof/>
          <w:szCs w:val="20"/>
          <w:lang w:val="sl-SI" w:eastAsia="sl-SI"/>
        </w:rPr>
        <w:drawing>
          <wp:inline distT="0" distB="0" distL="0" distR="0" wp14:anchorId="418162F7" wp14:editId="1BBE7D44">
            <wp:extent cx="3581400" cy="2667000"/>
            <wp:effectExtent l="0" t="0" r="0" b="0"/>
            <wp:docPr id="662" name="Slika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584575" cy="2669364"/>
                    </a:xfrm>
                    <a:prstGeom prst="rect">
                      <a:avLst/>
                    </a:prstGeom>
                    <a:noFill/>
                  </pic:spPr>
                </pic:pic>
              </a:graphicData>
            </a:graphic>
          </wp:inline>
        </w:drawing>
      </w:r>
    </w:p>
    <w:p w:rsidR="00BA11EF" w:rsidRPr="005771BD" w:rsidRDefault="00BA11EF" w:rsidP="00BA11EF">
      <w:pPr>
        <w:keepNext/>
        <w:spacing w:after="240" w:line="276" w:lineRule="auto"/>
        <w:rPr>
          <w:rFonts w:eastAsia="Calibri" w:cs="Arial"/>
          <w:bCs/>
          <w:i/>
          <w:szCs w:val="20"/>
          <w:lang w:val="sl-SI"/>
        </w:rPr>
      </w:pPr>
      <w:r w:rsidRPr="005771BD">
        <w:rPr>
          <w:rFonts w:eastAsia="Calibri" w:cs="Arial"/>
          <w:bCs/>
          <w:i/>
          <w:szCs w:val="20"/>
          <w:lang w:val="sl-SI"/>
        </w:rPr>
        <w:t>Slika 1</w:t>
      </w:r>
      <w:r w:rsidR="004B2E4F">
        <w:rPr>
          <w:rFonts w:eastAsia="Calibri" w:cs="Arial"/>
          <w:bCs/>
          <w:i/>
          <w:szCs w:val="20"/>
          <w:lang w:val="sl-SI"/>
        </w:rPr>
        <w:t>7</w:t>
      </w:r>
      <w:r w:rsidRPr="005771BD">
        <w:rPr>
          <w:rFonts w:eastAsia="Calibri" w:cs="Arial"/>
          <w:bCs/>
          <w:i/>
          <w:szCs w:val="20"/>
          <w:lang w:val="sl-SI"/>
        </w:rPr>
        <w:t xml:space="preserve">.3: Deleži območij </w:t>
      </w:r>
      <w:r>
        <w:rPr>
          <w:rFonts w:eastAsia="Calibri" w:cs="Arial"/>
          <w:bCs/>
          <w:i/>
          <w:szCs w:val="20"/>
          <w:lang w:val="sl-SI"/>
        </w:rPr>
        <w:t>glavnih</w:t>
      </w:r>
      <w:r w:rsidRPr="005771BD">
        <w:rPr>
          <w:rFonts w:eastAsia="Calibri" w:cs="Arial"/>
          <w:bCs/>
          <w:i/>
          <w:szCs w:val="20"/>
          <w:lang w:val="sl-SI"/>
        </w:rPr>
        <w:t xml:space="preserve"> namenskih rab prostora, Slovenija, 2015</w:t>
      </w:r>
    </w:p>
    <w:p w:rsidR="00BA11EF" w:rsidRPr="005771BD" w:rsidRDefault="00BA11EF" w:rsidP="00BA11EF">
      <w:pPr>
        <w:spacing w:after="240" w:line="276" w:lineRule="auto"/>
        <w:jc w:val="both"/>
        <w:rPr>
          <w:rFonts w:eastAsiaTheme="minorHAnsi" w:cs="Arial"/>
          <w:szCs w:val="20"/>
          <w:lang w:val="sl-SI"/>
        </w:rPr>
      </w:pPr>
      <w:r w:rsidRPr="005771BD">
        <w:rPr>
          <w:rFonts w:eastAsiaTheme="minorHAnsi" w:cs="Arial"/>
          <w:szCs w:val="20"/>
          <w:lang w:val="sl-SI"/>
        </w:rPr>
        <w:t>S spremljanjem sprememb namenske rabe prostora je mogoče opazovati potrebe prebivalcev in gospodarskih subjektov po zagotavljanju zemljišč za gradnjo objektov ter razvojne vizije in cilje posameznih občin</w:t>
      </w:r>
      <w:r>
        <w:rPr>
          <w:rFonts w:eastAsiaTheme="minorHAnsi" w:cs="Arial"/>
          <w:szCs w:val="20"/>
          <w:lang w:val="sl-SI"/>
        </w:rPr>
        <w:t xml:space="preserve"> pri</w:t>
      </w:r>
      <w:r w:rsidRPr="005771BD">
        <w:rPr>
          <w:rFonts w:eastAsiaTheme="minorHAnsi" w:cs="Arial"/>
          <w:szCs w:val="20"/>
          <w:lang w:val="sl-SI"/>
        </w:rPr>
        <w:t xml:space="preserve"> priprav</w:t>
      </w:r>
      <w:r>
        <w:rPr>
          <w:rFonts w:eastAsiaTheme="minorHAnsi" w:cs="Arial"/>
          <w:szCs w:val="20"/>
          <w:lang w:val="sl-SI"/>
        </w:rPr>
        <w:t>i njihovih</w:t>
      </w:r>
      <w:r w:rsidRPr="005771BD">
        <w:rPr>
          <w:rFonts w:eastAsiaTheme="minorHAnsi" w:cs="Arial"/>
          <w:szCs w:val="20"/>
          <w:lang w:val="sl-SI"/>
        </w:rPr>
        <w:t xml:space="preserve"> občinskih prostorskih dokumentov, kater</w:t>
      </w:r>
      <w:r>
        <w:rPr>
          <w:rFonts w:eastAsiaTheme="minorHAnsi" w:cs="Arial"/>
          <w:szCs w:val="20"/>
          <w:lang w:val="sl-SI"/>
        </w:rPr>
        <w:t>ih</w:t>
      </w:r>
      <w:r w:rsidRPr="005771BD">
        <w:rPr>
          <w:rFonts w:eastAsiaTheme="minorHAnsi" w:cs="Arial"/>
          <w:szCs w:val="20"/>
          <w:lang w:val="sl-SI"/>
        </w:rPr>
        <w:t xml:space="preserve"> osrednji del je določitev namenske rabe prostora. Med pripravo občinskih prostorskih dokumentov občine obravnavajo pobude fizičnih in pravnih oseb za spremembe namenske rabe prostora, najpogosteje </w:t>
      </w:r>
      <w:r>
        <w:rPr>
          <w:rFonts w:eastAsiaTheme="minorHAnsi" w:cs="Arial"/>
          <w:szCs w:val="20"/>
          <w:lang w:val="sl-SI"/>
        </w:rPr>
        <w:t>glede</w:t>
      </w:r>
      <w:r w:rsidRPr="005771BD">
        <w:rPr>
          <w:rFonts w:eastAsiaTheme="minorHAnsi" w:cs="Arial"/>
          <w:szCs w:val="20"/>
          <w:lang w:val="sl-SI"/>
        </w:rPr>
        <w:t xml:space="preserve"> sprememb</w:t>
      </w:r>
      <w:r>
        <w:rPr>
          <w:rFonts w:eastAsiaTheme="minorHAnsi" w:cs="Arial"/>
          <w:szCs w:val="20"/>
          <w:lang w:val="sl-SI"/>
        </w:rPr>
        <w:t>e</w:t>
      </w:r>
      <w:r w:rsidRPr="005771BD">
        <w:rPr>
          <w:rFonts w:eastAsiaTheme="minorHAnsi" w:cs="Arial"/>
          <w:szCs w:val="20"/>
          <w:lang w:val="sl-SI"/>
        </w:rPr>
        <w:t xml:space="preserve"> namenske rabe prostora iz območij kmetijskih ali gozdnih zemljišč v območja stavbnih zemljišč. Te spremembe izhajajo iz potreb investitorjev </w:t>
      </w:r>
      <w:r>
        <w:rPr>
          <w:rFonts w:eastAsiaTheme="minorHAnsi" w:cs="Arial"/>
          <w:szCs w:val="20"/>
          <w:lang w:val="sl-SI"/>
        </w:rPr>
        <w:t>za</w:t>
      </w:r>
      <w:r w:rsidRPr="005771BD">
        <w:rPr>
          <w:rFonts w:eastAsiaTheme="minorHAnsi" w:cs="Arial"/>
          <w:szCs w:val="20"/>
          <w:lang w:val="sl-SI"/>
        </w:rPr>
        <w:t xml:space="preserve"> gradnj</w:t>
      </w:r>
      <w:r>
        <w:rPr>
          <w:rFonts w:eastAsiaTheme="minorHAnsi" w:cs="Arial"/>
          <w:szCs w:val="20"/>
          <w:lang w:val="sl-SI"/>
        </w:rPr>
        <w:t>o</w:t>
      </w:r>
      <w:r w:rsidRPr="005771BD">
        <w:rPr>
          <w:rFonts w:eastAsiaTheme="minorHAnsi" w:cs="Arial"/>
          <w:szCs w:val="20"/>
          <w:lang w:val="sl-SI"/>
        </w:rPr>
        <w:t xml:space="preserve"> </w:t>
      </w:r>
      <w:r>
        <w:rPr>
          <w:rFonts w:eastAsiaTheme="minorHAnsi" w:cs="Arial"/>
          <w:szCs w:val="20"/>
          <w:lang w:val="sl-SI"/>
        </w:rPr>
        <w:t>stanovanjskih in</w:t>
      </w:r>
      <w:r w:rsidRPr="005771BD">
        <w:rPr>
          <w:rFonts w:eastAsiaTheme="minorHAnsi" w:cs="Arial"/>
          <w:szCs w:val="20"/>
          <w:lang w:val="sl-SI"/>
        </w:rPr>
        <w:t xml:space="preserve"> nestanovansjkih objektov. </w:t>
      </w:r>
      <w:r>
        <w:rPr>
          <w:rFonts w:eastAsiaTheme="minorHAnsi" w:cs="Arial"/>
          <w:szCs w:val="20"/>
          <w:lang w:val="sl-SI"/>
        </w:rPr>
        <w:t>Nekatere p</w:t>
      </w:r>
      <w:r w:rsidRPr="005771BD">
        <w:rPr>
          <w:rFonts w:eastAsiaTheme="minorHAnsi" w:cs="Arial"/>
          <w:szCs w:val="20"/>
          <w:lang w:val="sl-SI"/>
        </w:rPr>
        <w:t xml:space="preserve">obude za spremembo območij stavbnih zemljišč, ki niso pozidana, </w:t>
      </w:r>
      <w:r>
        <w:rPr>
          <w:rFonts w:eastAsiaTheme="minorHAnsi" w:cs="Arial"/>
          <w:szCs w:val="20"/>
          <w:lang w:val="sl-SI"/>
        </w:rPr>
        <w:t xml:space="preserve">se nanašajo tudi na </w:t>
      </w:r>
      <w:r w:rsidRPr="005771BD">
        <w:rPr>
          <w:rFonts w:eastAsiaTheme="minorHAnsi" w:cs="Arial"/>
          <w:szCs w:val="20"/>
          <w:lang w:val="sl-SI"/>
        </w:rPr>
        <w:t xml:space="preserve"> območ</w:t>
      </w:r>
      <w:r>
        <w:rPr>
          <w:rFonts w:eastAsiaTheme="minorHAnsi" w:cs="Arial"/>
          <w:szCs w:val="20"/>
          <w:lang w:val="sl-SI"/>
        </w:rPr>
        <w:t>ij</w:t>
      </w:r>
      <w:r w:rsidRPr="005771BD">
        <w:rPr>
          <w:rFonts w:eastAsiaTheme="minorHAnsi" w:cs="Arial"/>
          <w:szCs w:val="20"/>
          <w:lang w:val="sl-SI"/>
        </w:rPr>
        <w:t xml:space="preserve"> kmetijskih ali gozdnih zemljišč. Te pobude so povezane z opustitvijo namere </w:t>
      </w:r>
      <w:r>
        <w:rPr>
          <w:rFonts w:eastAsiaTheme="minorHAnsi" w:cs="Arial"/>
          <w:szCs w:val="20"/>
          <w:lang w:val="sl-SI"/>
        </w:rPr>
        <w:t>za</w:t>
      </w:r>
      <w:r w:rsidRPr="005771BD">
        <w:rPr>
          <w:rFonts w:eastAsiaTheme="minorHAnsi" w:cs="Arial"/>
          <w:szCs w:val="20"/>
          <w:lang w:val="sl-SI"/>
        </w:rPr>
        <w:t xml:space="preserve"> gradnj</w:t>
      </w:r>
      <w:r>
        <w:rPr>
          <w:rFonts w:eastAsiaTheme="minorHAnsi" w:cs="Arial"/>
          <w:szCs w:val="20"/>
          <w:lang w:val="sl-SI"/>
        </w:rPr>
        <w:t>o</w:t>
      </w:r>
      <w:r w:rsidRPr="005771BD">
        <w:rPr>
          <w:rFonts w:eastAsiaTheme="minorHAnsi" w:cs="Arial"/>
          <w:szCs w:val="20"/>
          <w:lang w:val="sl-SI"/>
        </w:rPr>
        <w:t xml:space="preserve"> </w:t>
      </w:r>
      <w:r>
        <w:rPr>
          <w:rFonts w:eastAsiaTheme="minorHAnsi" w:cs="Arial"/>
          <w:szCs w:val="20"/>
          <w:lang w:val="sl-SI"/>
        </w:rPr>
        <w:t>in</w:t>
      </w:r>
      <w:r w:rsidRPr="005771BD">
        <w:rPr>
          <w:rFonts w:eastAsiaTheme="minorHAnsi" w:cs="Arial"/>
          <w:szCs w:val="20"/>
          <w:lang w:val="sl-SI"/>
        </w:rPr>
        <w:t xml:space="preserve"> z davčnimi razlogi (MOP 2014).</w:t>
      </w:r>
    </w:p>
    <w:p w:rsidR="00BA11EF" w:rsidRPr="005771BD" w:rsidRDefault="00BA11EF" w:rsidP="00BE4FF5">
      <w:pPr>
        <w:spacing w:after="240" w:line="276" w:lineRule="auto"/>
        <w:jc w:val="both"/>
        <w:rPr>
          <w:rFonts w:eastAsiaTheme="minorHAnsi" w:cs="Arial"/>
          <w:szCs w:val="20"/>
          <w:lang w:val="sl-SI"/>
        </w:rPr>
      </w:pPr>
      <w:r w:rsidRPr="005771BD">
        <w:rPr>
          <w:rFonts w:eastAsiaTheme="minorHAnsi" w:cs="Arial"/>
          <w:szCs w:val="20"/>
          <w:lang w:val="sl-SI"/>
        </w:rPr>
        <w:t xml:space="preserve">Največji delež osnovne namenske rabe v Sloveniji </w:t>
      </w:r>
      <w:r>
        <w:rPr>
          <w:rFonts w:eastAsiaTheme="minorHAnsi" w:cs="Arial"/>
          <w:szCs w:val="20"/>
          <w:lang w:val="sl-SI"/>
        </w:rPr>
        <w:t>pomenijo</w:t>
      </w:r>
      <w:r w:rsidRPr="005771BD">
        <w:rPr>
          <w:rFonts w:eastAsiaTheme="minorHAnsi" w:cs="Arial"/>
          <w:szCs w:val="20"/>
          <w:lang w:val="sl-SI"/>
        </w:rPr>
        <w:t xml:space="preserve"> območja gozdnih zemljišč (55,8 % oz</w:t>
      </w:r>
      <w:r>
        <w:rPr>
          <w:rFonts w:eastAsiaTheme="minorHAnsi" w:cs="Arial"/>
          <w:szCs w:val="20"/>
          <w:lang w:val="sl-SI"/>
        </w:rPr>
        <w:t>iroma</w:t>
      </w:r>
      <w:r w:rsidRPr="005771BD">
        <w:rPr>
          <w:rFonts w:eastAsiaTheme="minorHAnsi" w:cs="Arial"/>
          <w:szCs w:val="20"/>
          <w:lang w:val="sl-SI"/>
        </w:rPr>
        <w:t xml:space="preserve"> 11.345 km</w:t>
      </w:r>
      <w:r w:rsidRPr="005771BD">
        <w:rPr>
          <w:rFonts w:eastAsiaTheme="minorHAnsi" w:cs="Arial"/>
          <w:szCs w:val="20"/>
          <w:vertAlign w:val="superscript"/>
          <w:lang w:val="sl-SI"/>
        </w:rPr>
        <w:t>2</w:t>
      </w:r>
      <w:r w:rsidRPr="005771BD">
        <w:rPr>
          <w:rFonts w:eastAsiaTheme="minorHAnsi" w:cs="Arial"/>
          <w:szCs w:val="20"/>
          <w:lang w:val="sl-SI"/>
        </w:rPr>
        <w:t xml:space="preserve"> ), kmetijska zemljišča (34,5 % oz</w:t>
      </w:r>
      <w:r>
        <w:rPr>
          <w:rFonts w:eastAsiaTheme="minorHAnsi" w:cs="Arial"/>
          <w:szCs w:val="20"/>
          <w:lang w:val="sl-SI"/>
        </w:rPr>
        <w:t>iroma</w:t>
      </w:r>
      <w:r w:rsidRPr="005771BD">
        <w:rPr>
          <w:rFonts w:eastAsiaTheme="minorHAnsi" w:cs="Arial"/>
          <w:szCs w:val="20"/>
          <w:lang w:val="sl-SI"/>
        </w:rPr>
        <w:t xml:space="preserve"> 7.024 km</w:t>
      </w:r>
      <w:r w:rsidRPr="005771BD">
        <w:rPr>
          <w:rFonts w:eastAsiaTheme="minorHAnsi" w:cs="Arial"/>
          <w:szCs w:val="20"/>
          <w:vertAlign w:val="superscript"/>
          <w:lang w:val="sl-SI"/>
        </w:rPr>
        <w:t>2</w:t>
      </w:r>
      <w:r w:rsidRPr="005771BD">
        <w:rPr>
          <w:rFonts w:eastAsiaTheme="minorHAnsi" w:cs="Arial"/>
          <w:szCs w:val="20"/>
          <w:lang w:val="sl-SI"/>
        </w:rPr>
        <w:t xml:space="preserve"> ). Stavbna zemljišča zavzemajo 1.359 km</w:t>
      </w:r>
      <w:r w:rsidRPr="005771BD">
        <w:rPr>
          <w:rFonts w:eastAsiaTheme="minorHAnsi" w:cs="Arial"/>
          <w:szCs w:val="20"/>
          <w:vertAlign w:val="superscript"/>
          <w:lang w:val="sl-SI"/>
        </w:rPr>
        <w:t>2</w:t>
      </w:r>
      <w:r w:rsidRPr="005771BD">
        <w:rPr>
          <w:rFonts w:eastAsiaTheme="minorHAnsi" w:cs="Arial"/>
          <w:szCs w:val="20"/>
          <w:lang w:val="sl-SI"/>
        </w:rPr>
        <w:t xml:space="preserve"> oz</w:t>
      </w:r>
      <w:r>
        <w:rPr>
          <w:rFonts w:eastAsiaTheme="minorHAnsi" w:cs="Arial"/>
          <w:szCs w:val="20"/>
          <w:lang w:val="sl-SI"/>
        </w:rPr>
        <w:t>iroma</w:t>
      </w:r>
      <w:r w:rsidRPr="005771BD">
        <w:rPr>
          <w:rFonts w:eastAsiaTheme="minorHAnsi" w:cs="Arial"/>
          <w:szCs w:val="20"/>
          <w:lang w:val="sl-SI"/>
        </w:rPr>
        <w:t xml:space="preserve"> 6,7 % ozemlja Slovenije. </w:t>
      </w:r>
      <w:r>
        <w:rPr>
          <w:rFonts w:eastAsiaTheme="minorHAnsi" w:cs="Arial"/>
          <w:szCs w:val="20"/>
          <w:lang w:val="sl-SI"/>
        </w:rPr>
        <w:t>Na o</w:t>
      </w:r>
      <w:r w:rsidRPr="005771BD">
        <w:rPr>
          <w:rFonts w:eastAsiaTheme="minorHAnsi" w:cs="Arial"/>
          <w:szCs w:val="20"/>
          <w:lang w:val="sl-SI"/>
        </w:rPr>
        <w:t>bmočj</w:t>
      </w:r>
      <w:r>
        <w:rPr>
          <w:rFonts w:eastAsiaTheme="minorHAnsi" w:cs="Arial"/>
          <w:szCs w:val="20"/>
          <w:lang w:val="sl-SI"/>
        </w:rPr>
        <w:t>ih</w:t>
      </w:r>
      <w:r w:rsidRPr="005771BD">
        <w:rPr>
          <w:rFonts w:eastAsiaTheme="minorHAnsi" w:cs="Arial"/>
          <w:szCs w:val="20"/>
          <w:lang w:val="sl-SI"/>
        </w:rPr>
        <w:t xml:space="preserve"> stavbnih zemljišč je dovoljena oziroma predvidena raba zgradb za stanovanja, centralne dejavnosti, proizvodne dejavnosti, različne gospodarske infrastrukture (prometna, energetska, okoljska</w:t>
      </w:r>
      <w:r>
        <w:rPr>
          <w:rFonts w:eastAsiaTheme="minorHAnsi" w:cs="Arial"/>
          <w:szCs w:val="20"/>
          <w:lang w:val="sl-SI"/>
        </w:rPr>
        <w:t xml:space="preserve"> ipd.</w:t>
      </w:r>
      <w:r w:rsidRPr="005771BD">
        <w:rPr>
          <w:rFonts w:eastAsiaTheme="minorHAnsi" w:cs="Arial"/>
          <w:szCs w:val="20"/>
          <w:lang w:val="sl-SI"/>
        </w:rPr>
        <w:t>). Kot stavbna zemljišča so opredeljena tudi območja zelenih površin v naseljih, npr. parki.</w:t>
      </w:r>
    </w:p>
    <w:p w:rsidR="00BA11EF" w:rsidRPr="005771BD" w:rsidRDefault="00BA11EF" w:rsidP="00BE4FF5">
      <w:pPr>
        <w:spacing w:after="240" w:line="276" w:lineRule="auto"/>
        <w:jc w:val="both"/>
        <w:rPr>
          <w:rFonts w:eastAsiaTheme="minorHAnsi" w:cs="Arial"/>
          <w:szCs w:val="20"/>
          <w:lang w:val="sl-SI"/>
        </w:rPr>
      </w:pPr>
      <w:r w:rsidRPr="005771BD">
        <w:rPr>
          <w:rFonts w:eastAsiaTheme="minorHAnsi" w:cs="Arial"/>
          <w:szCs w:val="20"/>
          <w:lang w:val="sl-SI"/>
        </w:rPr>
        <w:t xml:space="preserve">Površine stavbnih zemljišč </w:t>
      </w:r>
      <w:r>
        <w:rPr>
          <w:rFonts w:eastAsiaTheme="minorHAnsi" w:cs="Arial"/>
          <w:szCs w:val="20"/>
          <w:lang w:val="sl-SI"/>
        </w:rPr>
        <w:t>in njihovi</w:t>
      </w:r>
      <w:r w:rsidRPr="005771BD">
        <w:rPr>
          <w:rFonts w:eastAsiaTheme="minorHAnsi" w:cs="Arial"/>
          <w:szCs w:val="20"/>
          <w:lang w:val="sl-SI"/>
        </w:rPr>
        <w:t xml:space="preserve"> deleži</w:t>
      </w:r>
      <w:r>
        <w:rPr>
          <w:rFonts w:eastAsiaTheme="minorHAnsi" w:cs="Arial"/>
          <w:szCs w:val="20"/>
          <w:lang w:val="sl-SI"/>
        </w:rPr>
        <w:t xml:space="preserve"> glede na</w:t>
      </w:r>
      <w:r w:rsidRPr="005771BD">
        <w:rPr>
          <w:rFonts w:eastAsiaTheme="minorHAnsi" w:cs="Arial"/>
          <w:szCs w:val="20"/>
          <w:lang w:val="sl-SI"/>
        </w:rPr>
        <w:t xml:space="preserve"> vs</w:t>
      </w:r>
      <w:r>
        <w:rPr>
          <w:rFonts w:eastAsiaTheme="minorHAnsi" w:cs="Arial"/>
          <w:szCs w:val="20"/>
          <w:lang w:val="sl-SI"/>
        </w:rPr>
        <w:t>a</w:t>
      </w:r>
      <w:r w:rsidRPr="005771BD">
        <w:rPr>
          <w:rFonts w:eastAsiaTheme="minorHAnsi" w:cs="Arial"/>
          <w:szCs w:val="20"/>
          <w:lang w:val="sl-SI"/>
        </w:rPr>
        <w:t xml:space="preserve"> zemljišč</w:t>
      </w:r>
      <w:r>
        <w:rPr>
          <w:rFonts w:eastAsiaTheme="minorHAnsi" w:cs="Arial"/>
          <w:szCs w:val="20"/>
          <w:lang w:val="sl-SI"/>
        </w:rPr>
        <w:t>a</w:t>
      </w:r>
      <w:r w:rsidRPr="005771BD">
        <w:rPr>
          <w:rFonts w:eastAsiaTheme="minorHAnsi" w:cs="Arial"/>
          <w:szCs w:val="20"/>
          <w:lang w:val="sl-SI"/>
        </w:rPr>
        <w:t xml:space="preserve"> se med slovenskimi občinami močno razlikujejo. Odvisn</w:t>
      </w:r>
      <w:r>
        <w:rPr>
          <w:rFonts w:eastAsiaTheme="minorHAnsi" w:cs="Arial"/>
          <w:szCs w:val="20"/>
          <w:lang w:val="sl-SI"/>
        </w:rPr>
        <w:t>i</w:t>
      </w:r>
      <w:r w:rsidRPr="005771BD">
        <w:rPr>
          <w:rFonts w:eastAsiaTheme="minorHAnsi" w:cs="Arial"/>
          <w:szCs w:val="20"/>
          <w:lang w:val="sl-SI"/>
        </w:rPr>
        <w:t xml:space="preserve"> so od velikosti območja občine, različnih naravnih </w:t>
      </w:r>
      <w:r>
        <w:rPr>
          <w:rFonts w:eastAsiaTheme="minorHAnsi" w:cs="Arial"/>
          <w:szCs w:val="20"/>
          <w:lang w:val="sl-SI"/>
        </w:rPr>
        <w:t>razmer</w:t>
      </w:r>
      <w:r w:rsidRPr="005771BD">
        <w:rPr>
          <w:rFonts w:eastAsiaTheme="minorHAnsi" w:cs="Arial"/>
          <w:szCs w:val="20"/>
          <w:lang w:val="sl-SI"/>
        </w:rPr>
        <w:t xml:space="preserve"> z</w:t>
      </w:r>
      <w:r>
        <w:rPr>
          <w:rFonts w:eastAsiaTheme="minorHAnsi" w:cs="Arial"/>
          <w:szCs w:val="20"/>
          <w:lang w:val="sl-SI"/>
        </w:rPr>
        <w:t>a</w:t>
      </w:r>
      <w:r w:rsidRPr="005771BD">
        <w:rPr>
          <w:rFonts w:eastAsiaTheme="minorHAnsi" w:cs="Arial"/>
          <w:szCs w:val="20"/>
          <w:lang w:val="sl-SI"/>
        </w:rPr>
        <w:t xml:space="preserve"> </w:t>
      </w:r>
      <w:r>
        <w:rPr>
          <w:rFonts w:eastAsiaTheme="minorHAnsi" w:cs="Arial"/>
          <w:szCs w:val="20"/>
          <w:lang w:val="sl-SI"/>
        </w:rPr>
        <w:t>r</w:t>
      </w:r>
      <w:r w:rsidRPr="005771BD">
        <w:rPr>
          <w:rFonts w:eastAsiaTheme="minorHAnsi" w:cs="Arial"/>
          <w:szCs w:val="20"/>
          <w:lang w:val="sl-SI"/>
        </w:rPr>
        <w:t xml:space="preserve">azvoj različnih dejavnosti </w:t>
      </w:r>
      <w:r>
        <w:rPr>
          <w:rFonts w:eastAsiaTheme="minorHAnsi" w:cs="Arial"/>
          <w:szCs w:val="20"/>
          <w:lang w:val="sl-SI"/>
        </w:rPr>
        <w:t xml:space="preserve">in </w:t>
      </w:r>
      <w:r w:rsidRPr="005771BD">
        <w:rPr>
          <w:rFonts w:eastAsiaTheme="minorHAnsi" w:cs="Arial"/>
          <w:szCs w:val="20"/>
          <w:lang w:val="sl-SI"/>
        </w:rPr>
        <w:t>poselit</w:t>
      </w:r>
      <w:r>
        <w:rPr>
          <w:rFonts w:eastAsiaTheme="minorHAnsi" w:cs="Arial"/>
          <w:szCs w:val="20"/>
          <w:lang w:val="sl-SI"/>
        </w:rPr>
        <w:t>ev</w:t>
      </w:r>
      <w:r w:rsidRPr="005771BD">
        <w:rPr>
          <w:rFonts w:eastAsiaTheme="minorHAnsi" w:cs="Arial"/>
          <w:szCs w:val="20"/>
          <w:lang w:val="sl-SI"/>
        </w:rPr>
        <w:t xml:space="preserve">.  Največje površine stavbnih zemljišč so v mestnih občinah </w:t>
      </w:r>
      <w:r>
        <w:rPr>
          <w:rFonts w:eastAsiaTheme="minorHAnsi" w:cs="Arial"/>
          <w:szCs w:val="20"/>
          <w:lang w:val="sl-SI"/>
        </w:rPr>
        <w:t>in</w:t>
      </w:r>
      <w:r w:rsidRPr="005771BD">
        <w:rPr>
          <w:rFonts w:eastAsiaTheme="minorHAnsi" w:cs="Arial"/>
          <w:szCs w:val="20"/>
          <w:lang w:val="sl-SI"/>
        </w:rPr>
        <w:t xml:space="preserve"> v občinah</w:t>
      </w:r>
      <w:r>
        <w:rPr>
          <w:rFonts w:eastAsiaTheme="minorHAnsi" w:cs="Arial"/>
          <w:szCs w:val="20"/>
          <w:lang w:val="sl-SI"/>
        </w:rPr>
        <w:t>,</w:t>
      </w:r>
      <w:r w:rsidRPr="005771BD">
        <w:rPr>
          <w:rFonts w:eastAsiaTheme="minorHAnsi" w:cs="Arial"/>
          <w:szCs w:val="20"/>
          <w:lang w:val="sl-SI"/>
        </w:rPr>
        <w:t xml:space="preserve"> v katerih so središča </w:t>
      </w:r>
      <w:r>
        <w:rPr>
          <w:rFonts w:eastAsiaTheme="minorHAnsi" w:cs="Arial"/>
          <w:szCs w:val="20"/>
          <w:lang w:val="sl-SI"/>
        </w:rPr>
        <w:t>državnega</w:t>
      </w:r>
      <w:r w:rsidRPr="005771BD">
        <w:rPr>
          <w:rFonts w:eastAsiaTheme="minorHAnsi" w:cs="Arial"/>
          <w:szCs w:val="20"/>
          <w:lang w:val="sl-SI"/>
        </w:rPr>
        <w:t xml:space="preserve"> in regionalnega pomena. Absolutna površina stavbnih zemljišč v občini ne pove ničesar o </w:t>
      </w:r>
      <w:r>
        <w:rPr>
          <w:rFonts w:eastAsiaTheme="minorHAnsi" w:cs="Arial"/>
          <w:szCs w:val="20"/>
          <w:lang w:val="sl-SI"/>
        </w:rPr>
        <w:t>gospodarnosti</w:t>
      </w:r>
      <w:r w:rsidRPr="005771BD">
        <w:rPr>
          <w:rFonts w:eastAsiaTheme="minorHAnsi" w:cs="Arial"/>
          <w:szCs w:val="20"/>
          <w:lang w:val="sl-SI"/>
        </w:rPr>
        <w:t xml:space="preserve"> rabe zemljišč. Na </w:t>
      </w:r>
      <w:r>
        <w:rPr>
          <w:rFonts w:eastAsiaTheme="minorHAnsi" w:cs="Arial"/>
          <w:szCs w:val="20"/>
          <w:lang w:val="sl-SI"/>
        </w:rPr>
        <w:t>s</w:t>
      </w:r>
      <w:r w:rsidRPr="005771BD">
        <w:rPr>
          <w:rFonts w:eastAsiaTheme="minorHAnsi" w:cs="Arial"/>
          <w:szCs w:val="20"/>
          <w:lang w:val="sl-SI"/>
        </w:rPr>
        <w:t xml:space="preserve">liki </w:t>
      </w:r>
      <w:r>
        <w:rPr>
          <w:rFonts w:eastAsiaTheme="minorHAnsi" w:cs="Arial"/>
          <w:szCs w:val="20"/>
          <w:lang w:val="sl-SI"/>
        </w:rPr>
        <w:t>1</w:t>
      </w:r>
      <w:r w:rsidR="00307F4E">
        <w:rPr>
          <w:rFonts w:eastAsiaTheme="minorHAnsi" w:cs="Arial"/>
          <w:szCs w:val="20"/>
          <w:lang w:val="sl-SI"/>
        </w:rPr>
        <w:t>7</w:t>
      </w:r>
      <w:r>
        <w:rPr>
          <w:rFonts w:eastAsiaTheme="minorHAnsi" w:cs="Arial"/>
          <w:szCs w:val="20"/>
          <w:lang w:val="sl-SI"/>
        </w:rPr>
        <w:t>.4</w:t>
      </w:r>
      <w:r w:rsidRPr="005771BD">
        <w:rPr>
          <w:rFonts w:eastAsiaTheme="minorHAnsi" w:cs="Arial"/>
          <w:szCs w:val="20"/>
          <w:lang w:val="sl-SI"/>
        </w:rPr>
        <w:t xml:space="preserve"> je zato prikazana površina stavbnih zemljišč na prebivalca v posamezni občini. Tako izračunane površine stavbnih zemljišč so najmanjše v območjih z največjo gostoto prebivalce</w:t>
      </w:r>
      <w:r>
        <w:rPr>
          <w:rFonts w:eastAsiaTheme="minorHAnsi" w:cs="Arial"/>
          <w:szCs w:val="20"/>
          <w:lang w:val="sl-SI"/>
        </w:rPr>
        <w:t xml:space="preserve">, torej </w:t>
      </w:r>
      <w:r w:rsidRPr="005771BD">
        <w:rPr>
          <w:rFonts w:eastAsiaTheme="minorHAnsi" w:cs="Arial"/>
          <w:szCs w:val="20"/>
          <w:lang w:val="sl-SI"/>
        </w:rPr>
        <w:t>v mestih</w:t>
      </w:r>
      <w:r>
        <w:rPr>
          <w:rFonts w:eastAsiaTheme="minorHAnsi" w:cs="Arial"/>
          <w:szCs w:val="20"/>
          <w:lang w:val="sl-SI"/>
        </w:rPr>
        <w:t>, in</w:t>
      </w:r>
      <w:r w:rsidRPr="005771BD">
        <w:rPr>
          <w:rFonts w:eastAsiaTheme="minorHAnsi" w:cs="Arial"/>
          <w:szCs w:val="20"/>
          <w:lang w:val="sl-SI"/>
        </w:rPr>
        <w:t xml:space="preserve"> v podeželskih občinah z višjo gostoto pozidave. Visoka je v občinah, za katere je značilna razpršena poselitev (območje Slovenskih goric, Goričko, Dolenjska), </w:t>
      </w:r>
      <w:r>
        <w:rPr>
          <w:rFonts w:eastAsiaTheme="minorHAnsi" w:cs="Arial"/>
          <w:szCs w:val="20"/>
          <w:lang w:val="sl-SI"/>
        </w:rPr>
        <w:t xml:space="preserve">v </w:t>
      </w:r>
      <w:r w:rsidRPr="005771BD">
        <w:rPr>
          <w:rFonts w:eastAsiaTheme="minorHAnsi" w:cs="Arial"/>
          <w:szCs w:val="20"/>
          <w:lang w:val="sl-SI"/>
        </w:rPr>
        <w:t>nekaterih gorskih občinah (npr. Jezersko, Solčava) in občinah z izrazitim upadanjem števila prebivalcev (Goričko, Koroška, Zgornje Pokolpje). Na nizko gostoto prebivalcev na stavbnih zemljiščih močno vplivajo tudi rezervacije stavbnih zemljišč</w:t>
      </w:r>
      <w:r>
        <w:rPr>
          <w:rFonts w:eastAsiaTheme="minorHAnsi" w:cs="Arial"/>
          <w:szCs w:val="20"/>
          <w:lang w:val="sl-SI"/>
        </w:rPr>
        <w:t xml:space="preserve">, tj. </w:t>
      </w:r>
      <w:r w:rsidRPr="005771BD">
        <w:rPr>
          <w:rFonts w:eastAsiaTheme="minorHAnsi" w:cs="Arial"/>
          <w:szCs w:val="20"/>
          <w:lang w:val="sl-SI"/>
        </w:rPr>
        <w:t>v prostorskih aktih določena, vendar v naravi še nepozidana stavbna zemljišča.</w:t>
      </w:r>
    </w:p>
    <w:p w:rsidR="00BA11EF" w:rsidRPr="005771BD" w:rsidRDefault="00BA11EF" w:rsidP="00BA11EF">
      <w:pPr>
        <w:keepNext/>
        <w:spacing w:after="240" w:line="276" w:lineRule="auto"/>
        <w:jc w:val="center"/>
        <w:rPr>
          <w:rFonts w:eastAsia="Calibri" w:cs="Arial"/>
          <w:bCs/>
          <w:szCs w:val="20"/>
          <w:lang w:val="sl-SI"/>
        </w:rPr>
      </w:pPr>
      <w:bookmarkStart w:id="55" w:name="_Ref408574948"/>
      <w:bookmarkStart w:id="56" w:name="_Toc454370430"/>
      <w:r w:rsidRPr="007F272F">
        <w:rPr>
          <w:rFonts w:eastAsia="Calibri" w:cs="Arial"/>
          <w:bCs/>
          <w:noProof/>
          <w:szCs w:val="20"/>
          <w:lang w:val="sl-SI" w:eastAsia="sl-SI"/>
        </w:rPr>
        <w:drawing>
          <wp:inline distT="0" distB="0" distL="0" distR="0" wp14:anchorId="30ED54FA" wp14:editId="1BE1D436">
            <wp:extent cx="4648200" cy="3215193"/>
            <wp:effectExtent l="0" t="0" r="0" b="4445"/>
            <wp:docPr id="663" name="Slika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4649223" cy="3215900"/>
                    </a:xfrm>
                    <a:prstGeom prst="rect">
                      <a:avLst/>
                    </a:prstGeom>
                    <a:noFill/>
                  </pic:spPr>
                </pic:pic>
              </a:graphicData>
            </a:graphic>
          </wp:inline>
        </w:drawing>
      </w:r>
    </w:p>
    <w:bookmarkEnd w:id="55"/>
    <w:bookmarkEnd w:id="56"/>
    <w:p w:rsidR="00BA11EF" w:rsidRPr="005771BD" w:rsidRDefault="00BA11EF" w:rsidP="00BA11EF">
      <w:pPr>
        <w:keepNext/>
        <w:spacing w:line="276" w:lineRule="auto"/>
        <w:rPr>
          <w:rFonts w:eastAsia="Calibri" w:cs="Arial"/>
          <w:bCs/>
          <w:i/>
          <w:szCs w:val="20"/>
          <w:lang w:val="sl-SI"/>
        </w:rPr>
      </w:pPr>
      <w:r w:rsidRPr="005771BD">
        <w:rPr>
          <w:rFonts w:eastAsia="Calibri" w:cs="Arial"/>
          <w:bCs/>
          <w:i/>
          <w:szCs w:val="20"/>
          <w:lang w:val="sl-SI"/>
        </w:rPr>
        <w:t>Slika 1</w:t>
      </w:r>
      <w:r w:rsidR="00307F4E">
        <w:rPr>
          <w:rFonts w:eastAsia="Calibri" w:cs="Arial"/>
          <w:bCs/>
          <w:i/>
          <w:szCs w:val="20"/>
          <w:lang w:val="sl-SI"/>
        </w:rPr>
        <w:t>7</w:t>
      </w:r>
      <w:r w:rsidRPr="005771BD">
        <w:rPr>
          <w:rFonts w:eastAsia="Calibri" w:cs="Arial"/>
          <w:bCs/>
          <w:i/>
          <w:szCs w:val="20"/>
          <w:lang w:val="sl-SI"/>
        </w:rPr>
        <w:t>.4: Površina stavbnih zemljišč v občini na prebivalca občine [v m</w:t>
      </w:r>
      <w:r w:rsidRPr="005771BD">
        <w:rPr>
          <w:rFonts w:eastAsia="Calibri" w:cs="Arial"/>
          <w:bCs/>
          <w:i/>
          <w:szCs w:val="20"/>
          <w:vertAlign w:val="superscript"/>
          <w:lang w:val="sl-SI"/>
        </w:rPr>
        <w:t>2</w:t>
      </w:r>
      <w:r w:rsidRPr="005771BD">
        <w:rPr>
          <w:rFonts w:eastAsia="Calibri" w:cs="Arial"/>
          <w:bCs/>
          <w:i/>
          <w:szCs w:val="20"/>
          <w:lang w:val="sl-SI"/>
        </w:rPr>
        <w:t xml:space="preserve">], marec 2015 </w:t>
      </w:r>
    </w:p>
    <w:p w:rsidR="00BA11EF" w:rsidRPr="005771BD" w:rsidRDefault="00BA11EF" w:rsidP="00BA11EF">
      <w:pPr>
        <w:keepNext/>
        <w:spacing w:after="240" w:line="276" w:lineRule="auto"/>
        <w:rPr>
          <w:rFonts w:eastAsiaTheme="minorHAnsi" w:cs="Arial"/>
          <w:i/>
          <w:sz w:val="18"/>
          <w:szCs w:val="18"/>
          <w:lang w:val="sl-SI"/>
        </w:rPr>
      </w:pPr>
      <w:r w:rsidRPr="005771BD">
        <w:rPr>
          <w:rFonts w:eastAsiaTheme="minorHAnsi" w:cs="Arial"/>
          <w:i/>
          <w:sz w:val="18"/>
          <w:szCs w:val="18"/>
          <w:lang w:val="sl-SI"/>
        </w:rPr>
        <w:t xml:space="preserve">Vir: MOP DzPGS. Kartografska podlaga: GURS.Kartografska obdelava: MOP </w:t>
      </w:r>
      <w:r>
        <w:rPr>
          <w:rFonts w:eastAsiaTheme="minorHAnsi" w:cs="Arial"/>
          <w:i/>
          <w:sz w:val="18"/>
          <w:szCs w:val="18"/>
          <w:lang w:val="sl-SI"/>
        </w:rPr>
        <w:t>–</w:t>
      </w:r>
      <w:r w:rsidRPr="005771BD">
        <w:rPr>
          <w:rFonts w:eastAsiaTheme="minorHAnsi" w:cs="Arial"/>
          <w:i/>
          <w:sz w:val="18"/>
          <w:szCs w:val="18"/>
          <w:lang w:val="sl-SI"/>
        </w:rPr>
        <w:t xml:space="preserve">  DzPGS</w:t>
      </w:r>
    </w:p>
    <w:p w:rsidR="00BA11EF" w:rsidRPr="005771BD" w:rsidRDefault="00BA11EF" w:rsidP="00BA11EF">
      <w:pPr>
        <w:spacing w:line="276" w:lineRule="auto"/>
        <w:rPr>
          <w:rFonts w:eastAsiaTheme="minorHAnsi" w:cs="Arial"/>
          <w:b/>
          <w:szCs w:val="20"/>
          <w:u w:val="single"/>
          <w:lang w:val="sl-SI"/>
        </w:rPr>
      </w:pPr>
    </w:p>
    <w:p w:rsidR="00BA11EF" w:rsidRPr="005771BD" w:rsidRDefault="00BA11EF" w:rsidP="00BA11EF">
      <w:pPr>
        <w:spacing w:after="240" w:line="276" w:lineRule="auto"/>
        <w:rPr>
          <w:rFonts w:eastAsiaTheme="minorHAnsi" w:cs="Arial"/>
          <w:b/>
          <w:szCs w:val="20"/>
          <w:u w:val="single"/>
          <w:lang w:val="sl-SI"/>
        </w:rPr>
      </w:pPr>
      <w:r w:rsidRPr="005771BD">
        <w:rPr>
          <w:rFonts w:eastAsiaTheme="minorHAnsi" w:cs="Arial"/>
          <w:b/>
          <w:szCs w:val="20"/>
          <w:u w:val="single"/>
          <w:lang w:val="sl-SI"/>
        </w:rPr>
        <w:t>1</w:t>
      </w:r>
      <w:r w:rsidR="004B2E4F">
        <w:rPr>
          <w:rFonts w:eastAsiaTheme="minorHAnsi" w:cs="Arial"/>
          <w:b/>
          <w:szCs w:val="20"/>
          <w:u w:val="single"/>
          <w:lang w:val="sl-SI"/>
        </w:rPr>
        <w:t>7</w:t>
      </w:r>
      <w:r w:rsidRPr="005771BD">
        <w:rPr>
          <w:rFonts w:eastAsiaTheme="minorHAnsi" w:cs="Arial"/>
          <w:b/>
          <w:szCs w:val="20"/>
          <w:u w:val="single"/>
          <w:lang w:val="sl-SI"/>
        </w:rPr>
        <w:t>.4 Degradirana urbana območja (DUO)</w:t>
      </w:r>
    </w:p>
    <w:p w:rsidR="00BA11EF" w:rsidRPr="005771BD" w:rsidRDefault="00BA11EF" w:rsidP="00BA11EF">
      <w:pPr>
        <w:spacing w:after="240" w:line="276" w:lineRule="auto"/>
        <w:jc w:val="both"/>
        <w:rPr>
          <w:rFonts w:eastAsiaTheme="minorHAnsi" w:cs="Arial"/>
          <w:szCs w:val="20"/>
          <w:lang w:val="sl-SI"/>
        </w:rPr>
      </w:pPr>
      <w:r w:rsidRPr="005771BD">
        <w:rPr>
          <w:rFonts w:eastAsiaTheme="minorHAnsi" w:cs="Arial"/>
          <w:szCs w:val="20"/>
          <w:lang w:val="sl-SI"/>
        </w:rPr>
        <w:t>Cilj prostorske politike je spodbuditi večjo uporabo že pozidanih</w:t>
      </w:r>
      <w:r>
        <w:rPr>
          <w:rFonts w:eastAsiaTheme="minorHAnsi" w:cs="Arial"/>
          <w:szCs w:val="20"/>
          <w:lang w:val="sl-SI"/>
        </w:rPr>
        <w:t>,</w:t>
      </w:r>
      <w:r w:rsidRPr="005771BD">
        <w:rPr>
          <w:rFonts w:eastAsiaTheme="minorHAnsi" w:cs="Arial"/>
          <w:szCs w:val="20"/>
          <w:lang w:val="sl-SI"/>
        </w:rPr>
        <w:t xml:space="preserve"> vendar opuščenih ali v prema</w:t>
      </w:r>
      <w:r>
        <w:rPr>
          <w:rFonts w:eastAsiaTheme="minorHAnsi" w:cs="Arial"/>
          <w:szCs w:val="20"/>
          <w:lang w:val="sl-SI"/>
        </w:rPr>
        <w:t>lo</w:t>
      </w:r>
      <w:r w:rsidRPr="005771BD">
        <w:rPr>
          <w:rFonts w:eastAsiaTheme="minorHAnsi" w:cs="Arial"/>
          <w:szCs w:val="20"/>
          <w:lang w:val="sl-SI"/>
        </w:rPr>
        <w:t xml:space="preserve"> uporabljenih zemljiščih za razvoj naselij. Zemljišča, na katerih je bila opuščena raba objektov in naprav ali pa so ti objekti deloma opuščeni ter v različnih fazah propadanja,</w:t>
      </w:r>
      <w:r>
        <w:rPr>
          <w:rFonts w:eastAsiaTheme="minorHAnsi" w:cs="Arial"/>
          <w:szCs w:val="20"/>
          <w:lang w:val="sl-SI"/>
        </w:rPr>
        <w:t xml:space="preserve"> so</w:t>
      </w:r>
      <w:r w:rsidRPr="005771BD">
        <w:rPr>
          <w:rFonts w:eastAsiaTheme="minorHAnsi" w:cs="Arial"/>
          <w:szCs w:val="20"/>
          <w:lang w:val="sl-SI"/>
        </w:rPr>
        <w:t xml:space="preserve"> degradira urbana območja. V letu 2011 vzpostavljeni evidenci podatkov o degradiranih območjih v Sloveniji (Špes s sod., 2012) so zajeti podatki o degradiranih industrijskih, rudarskih</w:t>
      </w:r>
      <w:r>
        <w:rPr>
          <w:rFonts w:eastAsiaTheme="minorHAnsi" w:cs="Arial"/>
          <w:szCs w:val="20"/>
          <w:lang w:val="sl-SI"/>
        </w:rPr>
        <w:t xml:space="preserve"> in</w:t>
      </w:r>
      <w:r w:rsidRPr="005771BD">
        <w:rPr>
          <w:rFonts w:eastAsiaTheme="minorHAnsi" w:cs="Arial"/>
          <w:szCs w:val="20"/>
          <w:lang w:val="sl-SI"/>
        </w:rPr>
        <w:t xml:space="preserve"> vojaških območjih ter območjih </w:t>
      </w:r>
      <w:r>
        <w:rPr>
          <w:rFonts w:eastAsiaTheme="minorHAnsi" w:cs="Arial"/>
          <w:szCs w:val="20"/>
          <w:lang w:val="sl-SI"/>
        </w:rPr>
        <w:t>prometne</w:t>
      </w:r>
      <w:r w:rsidRPr="005771BD">
        <w:rPr>
          <w:rFonts w:eastAsiaTheme="minorHAnsi" w:cs="Arial"/>
          <w:szCs w:val="20"/>
          <w:lang w:val="sl-SI"/>
        </w:rPr>
        <w:t xml:space="preserve"> in druge industrije. V projektu so avtorji popisali 194 območij v skupni površini skoraj 1.000 ha, kar </w:t>
      </w:r>
      <w:r>
        <w:rPr>
          <w:rFonts w:eastAsiaTheme="minorHAnsi" w:cs="Arial"/>
          <w:szCs w:val="20"/>
          <w:lang w:val="sl-SI"/>
        </w:rPr>
        <w:t>je</w:t>
      </w:r>
      <w:r w:rsidRPr="005771BD">
        <w:rPr>
          <w:rFonts w:eastAsiaTheme="minorHAnsi" w:cs="Arial"/>
          <w:szCs w:val="20"/>
          <w:lang w:val="sl-SI"/>
        </w:rPr>
        <w:t xml:space="preserve"> okoli 1 % vseh urbaniziranih površin. </w:t>
      </w:r>
      <w:r>
        <w:rPr>
          <w:rFonts w:eastAsiaTheme="minorHAnsi" w:cs="Arial"/>
          <w:szCs w:val="20"/>
          <w:lang w:val="sl-SI"/>
        </w:rPr>
        <w:t>P</w:t>
      </w:r>
      <w:r w:rsidRPr="005771BD">
        <w:rPr>
          <w:rFonts w:eastAsiaTheme="minorHAnsi" w:cs="Arial"/>
          <w:szCs w:val="20"/>
          <w:lang w:val="sl-SI"/>
        </w:rPr>
        <w:t>ovršina v nalogi zajetih degradiranih območij je približno enaka desetim območjem poslovne cone Komenda (MOP 2015).</w:t>
      </w:r>
    </w:p>
    <w:p w:rsidR="00BA11EF" w:rsidRPr="005771BD" w:rsidRDefault="00BA11EF" w:rsidP="00BA11EF">
      <w:pPr>
        <w:spacing w:after="240" w:line="276" w:lineRule="auto"/>
        <w:jc w:val="center"/>
        <w:rPr>
          <w:rFonts w:eastAsiaTheme="minorHAnsi" w:cs="Arial"/>
          <w:szCs w:val="20"/>
          <w:lang w:val="sl-SI"/>
        </w:rPr>
      </w:pPr>
      <w:r w:rsidRPr="007F272F">
        <w:rPr>
          <w:rFonts w:eastAsiaTheme="minorHAnsi" w:cs="Arial"/>
          <w:noProof/>
          <w:szCs w:val="20"/>
          <w:lang w:val="sl-SI" w:eastAsia="sl-SI"/>
        </w:rPr>
        <w:drawing>
          <wp:inline distT="0" distB="0" distL="0" distR="0" wp14:anchorId="0E4D70F1" wp14:editId="4BF27ACF">
            <wp:extent cx="4724400" cy="3250333"/>
            <wp:effectExtent l="0" t="0" r="0" b="7620"/>
            <wp:docPr id="664" name="Slika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4724400" cy="3250333"/>
                    </a:xfrm>
                    <a:prstGeom prst="rect">
                      <a:avLst/>
                    </a:prstGeom>
                    <a:noFill/>
                  </pic:spPr>
                </pic:pic>
              </a:graphicData>
            </a:graphic>
          </wp:inline>
        </w:drawing>
      </w:r>
    </w:p>
    <w:p w:rsidR="00BA11EF" w:rsidRPr="005771BD" w:rsidRDefault="00BA11EF" w:rsidP="00BA11EF">
      <w:pPr>
        <w:keepNext/>
        <w:spacing w:line="276" w:lineRule="auto"/>
        <w:rPr>
          <w:rFonts w:eastAsia="Calibri" w:cs="Arial"/>
          <w:bCs/>
          <w:i/>
          <w:szCs w:val="20"/>
          <w:lang w:val="sl-SI"/>
        </w:rPr>
      </w:pPr>
      <w:bookmarkStart w:id="57" w:name="_Ref417651452"/>
      <w:bookmarkStart w:id="58" w:name="_Toc451512470"/>
      <w:r w:rsidRPr="005771BD">
        <w:rPr>
          <w:rFonts w:eastAsia="Calibri" w:cs="Arial"/>
          <w:bCs/>
          <w:i/>
          <w:szCs w:val="20"/>
          <w:lang w:val="sl-SI"/>
        </w:rPr>
        <w:t>Slika</w:t>
      </w:r>
      <w:bookmarkEnd w:id="57"/>
      <w:r w:rsidRPr="005771BD">
        <w:rPr>
          <w:rFonts w:eastAsia="Calibri" w:cs="Arial"/>
          <w:bCs/>
          <w:i/>
          <w:szCs w:val="20"/>
          <w:lang w:val="sl-SI"/>
        </w:rPr>
        <w:t xml:space="preserve"> 1</w:t>
      </w:r>
      <w:r w:rsidR="00307F4E">
        <w:rPr>
          <w:rFonts w:eastAsia="Calibri" w:cs="Arial"/>
          <w:bCs/>
          <w:i/>
          <w:szCs w:val="20"/>
          <w:lang w:val="sl-SI"/>
        </w:rPr>
        <w:t>7</w:t>
      </w:r>
      <w:r w:rsidRPr="005771BD">
        <w:rPr>
          <w:rFonts w:eastAsia="Calibri" w:cs="Arial"/>
          <w:bCs/>
          <w:i/>
          <w:szCs w:val="20"/>
          <w:lang w:val="sl-SI"/>
        </w:rPr>
        <w:t>.5: Površine degradiranih območij na območjih stavbnih zemljišč in območjih namenjenih proizvodnji</w:t>
      </w:r>
      <w:bookmarkEnd w:id="58"/>
      <w:r w:rsidRPr="005771BD">
        <w:rPr>
          <w:rFonts w:eastAsia="Calibri" w:cs="Arial"/>
          <w:bCs/>
          <w:i/>
          <w:szCs w:val="20"/>
          <w:lang w:val="sl-SI"/>
        </w:rPr>
        <w:t xml:space="preserve"> </w:t>
      </w:r>
    </w:p>
    <w:p w:rsidR="00BA11EF" w:rsidRPr="005771BD" w:rsidRDefault="00BA11EF" w:rsidP="00BA11EF">
      <w:pPr>
        <w:keepNext/>
        <w:spacing w:after="240" w:line="276" w:lineRule="auto"/>
        <w:rPr>
          <w:rFonts w:eastAsiaTheme="minorHAnsi" w:cs="Arial"/>
          <w:i/>
          <w:sz w:val="18"/>
          <w:szCs w:val="18"/>
          <w:lang w:val="sl-SI"/>
        </w:rPr>
      </w:pPr>
      <w:r w:rsidRPr="005771BD">
        <w:rPr>
          <w:rFonts w:eastAsiaTheme="minorHAnsi" w:cs="Arial"/>
          <w:i/>
          <w:sz w:val="18"/>
          <w:szCs w:val="18"/>
          <w:lang w:val="sl-SI"/>
        </w:rPr>
        <w:t>Vir: Oddelek za geografijo, Filozofska fakulteta Univerze v Ljubljani, Evidenca degradiranih površin, 2011, MOP, Informativni zbirni sloj namenske rabe prostora, 2015</w:t>
      </w:r>
    </w:p>
    <w:p w:rsidR="00BA11EF" w:rsidRPr="005771BD" w:rsidRDefault="00BA11EF" w:rsidP="00BA11EF">
      <w:pPr>
        <w:spacing w:line="276" w:lineRule="auto"/>
        <w:rPr>
          <w:rFonts w:eastAsiaTheme="minorHAnsi" w:cs="Arial"/>
          <w:b/>
          <w:szCs w:val="20"/>
          <w:u w:val="single"/>
          <w:lang w:val="sl-SI"/>
        </w:rPr>
      </w:pPr>
    </w:p>
    <w:p w:rsidR="00BA11EF" w:rsidRPr="005771BD" w:rsidRDefault="00BA11EF" w:rsidP="00BA11EF">
      <w:pPr>
        <w:spacing w:after="240" w:line="276" w:lineRule="auto"/>
        <w:rPr>
          <w:rFonts w:eastAsiaTheme="minorHAnsi" w:cs="Arial"/>
          <w:b/>
          <w:szCs w:val="20"/>
          <w:u w:val="single"/>
          <w:lang w:val="sl-SI"/>
        </w:rPr>
      </w:pPr>
      <w:r w:rsidRPr="005771BD">
        <w:rPr>
          <w:rFonts w:eastAsiaTheme="minorHAnsi" w:cs="Arial"/>
          <w:b/>
          <w:szCs w:val="20"/>
          <w:u w:val="single"/>
          <w:lang w:val="sl-SI"/>
        </w:rPr>
        <w:t>1</w:t>
      </w:r>
      <w:r w:rsidR="004B2E4F">
        <w:rPr>
          <w:rFonts w:eastAsiaTheme="minorHAnsi" w:cs="Arial"/>
          <w:b/>
          <w:szCs w:val="20"/>
          <w:u w:val="single"/>
          <w:lang w:val="sl-SI"/>
        </w:rPr>
        <w:t>7</w:t>
      </w:r>
      <w:r w:rsidRPr="005771BD">
        <w:rPr>
          <w:rFonts w:eastAsiaTheme="minorHAnsi" w:cs="Arial"/>
          <w:b/>
          <w:szCs w:val="20"/>
          <w:u w:val="single"/>
          <w:lang w:val="sl-SI"/>
        </w:rPr>
        <w:t>.5 Viri:</w:t>
      </w:r>
    </w:p>
    <w:p w:rsidR="00BA11EF" w:rsidRPr="005771BD" w:rsidRDefault="00BA11EF" w:rsidP="00BA11EF">
      <w:pPr>
        <w:spacing w:before="120" w:line="276" w:lineRule="auto"/>
        <w:rPr>
          <w:rFonts w:eastAsiaTheme="minorHAnsi" w:cs="Arial"/>
          <w:szCs w:val="20"/>
          <w:lang w:val="sl-SI"/>
        </w:rPr>
      </w:pPr>
      <w:r w:rsidRPr="005771BD">
        <w:rPr>
          <w:rFonts w:eastAsiaTheme="minorHAnsi" w:cs="Arial"/>
          <w:szCs w:val="20"/>
          <w:lang w:val="sl-SI"/>
        </w:rPr>
        <w:t>SPRS, 2014. Strategija prostorskega razvoja Slovenije</w:t>
      </w:r>
    </w:p>
    <w:p w:rsidR="00BA11EF" w:rsidRPr="005771BD" w:rsidRDefault="00BA11EF" w:rsidP="00BA11EF">
      <w:pPr>
        <w:spacing w:before="120" w:line="276" w:lineRule="auto"/>
        <w:rPr>
          <w:rFonts w:eastAsiaTheme="minorHAnsi" w:cs="Arial"/>
          <w:szCs w:val="20"/>
          <w:lang w:val="sl-SI"/>
        </w:rPr>
      </w:pPr>
      <w:r w:rsidRPr="005771BD">
        <w:rPr>
          <w:rFonts w:eastAsiaTheme="minorHAnsi" w:cs="Arial"/>
          <w:szCs w:val="20"/>
          <w:lang w:val="sl-SI"/>
        </w:rPr>
        <w:t xml:space="preserve">Koželj, J., 2016. </w:t>
      </w:r>
      <w:r w:rsidRPr="005771BD">
        <w:rPr>
          <w:rFonts w:eastAsiaTheme="minorHAnsi" w:cs="Arial"/>
          <w:i/>
          <w:szCs w:val="20"/>
          <w:lang w:val="sl-SI"/>
        </w:rPr>
        <w:t>Merila in kriteriji za določitev degradiranih urbanih območij (DUO 2), Zaključno poročilo, faza 1 in 2, Naloga: 01/2015 DUO po pogodbi št. 2550 – 15 – 540002</w:t>
      </w:r>
      <w:r w:rsidRPr="005771BD">
        <w:rPr>
          <w:rFonts w:eastAsiaTheme="minorHAnsi" w:cs="Arial"/>
          <w:szCs w:val="20"/>
          <w:lang w:val="sl-SI"/>
        </w:rPr>
        <w:t xml:space="preserve">, Univerza v Ljubljani, Fakulteta za arhitekturo, Katedra za urbanizem, Ljubljana.                    </w:t>
      </w:r>
    </w:p>
    <w:p w:rsidR="00BA11EF" w:rsidRPr="005771BD" w:rsidRDefault="00BA11EF" w:rsidP="00BA11EF">
      <w:pPr>
        <w:spacing w:before="120" w:line="276" w:lineRule="auto"/>
        <w:rPr>
          <w:rFonts w:eastAsiaTheme="minorHAnsi" w:cs="Arial"/>
          <w:i/>
          <w:szCs w:val="20"/>
          <w:lang w:val="sl-SI"/>
        </w:rPr>
      </w:pPr>
      <w:r w:rsidRPr="005771BD">
        <w:rPr>
          <w:rFonts w:eastAsiaTheme="minorHAnsi" w:cs="Arial"/>
          <w:szCs w:val="20"/>
          <w:lang w:val="sl-SI"/>
        </w:rPr>
        <w:t xml:space="preserve">MOP. 2015. </w:t>
      </w:r>
      <w:r w:rsidRPr="005771BD">
        <w:rPr>
          <w:rFonts w:eastAsiaTheme="minorHAnsi" w:cs="Arial"/>
          <w:i/>
          <w:szCs w:val="20"/>
          <w:lang w:val="sl-SI"/>
        </w:rPr>
        <w:t>Poročilo o prostorskem razvoju 2015</w:t>
      </w:r>
    </w:p>
    <w:p w:rsidR="00BA11EF" w:rsidRPr="005771BD" w:rsidRDefault="00BA11EF" w:rsidP="00BA11EF">
      <w:pPr>
        <w:rPr>
          <w:lang w:val="sl-SI"/>
        </w:rPr>
      </w:pPr>
    </w:p>
    <w:p w:rsidR="00993FB7" w:rsidRPr="00993FB7" w:rsidRDefault="00993FB7" w:rsidP="00BA11EF">
      <w:pPr>
        <w:spacing w:after="200" w:line="276" w:lineRule="auto"/>
        <w:rPr>
          <w:lang w:val="sl-SI"/>
        </w:rPr>
      </w:pPr>
    </w:p>
    <w:sectPr w:rsidR="00993FB7" w:rsidRPr="00993FB7" w:rsidSect="000A095B">
      <w:headerReference w:type="even" r:id="rId348"/>
      <w:headerReference w:type="default" r:id="rId349"/>
      <w:footerReference w:type="default" r:id="rId350"/>
      <w:headerReference w:type="first" r:id="rId351"/>
      <w:pgSz w:w="11900" w:h="16840" w:code="9"/>
      <w:pgMar w:top="1843" w:right="1410" w:bottom="709" w:left="1701" w:header="964" w:footer="794" w:gutter="0"/>
      <w:cols w:space="708"/>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46702" w:rsidRDefault="00846702">
      <w:r>
        <w:separator/>
      </w:r>
    </w:p>
  </w:endnote>
  <w:endnote w:type="continuationSeparator" w:id="0">
    <w:p w:rsidR="00846702" w:rsidRDefault="008467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embedRegular r:id="rId1" w:fontKey="{0DE086FE-65BF-464A-9CC1-3C6B244AA7E4}"/>
    <w:embedBold r:id="rId2" w:fontKey="{637FA3AE-6D7C-4F10-B6FC-AFA81E1AB5C8}"/>
    <w:embedItalic r:id="rId3" w:fontKey="{EE60CF5D-92BF-4D3A-9024-0B76737CBC24}"/>
    <w:embedBoldItalic r:id="rId4" w:fontKey="{35E73866-D5FA-4A08-B392-D420F4A971AE}"/>
  </w:font>
  <w:font w:name="Garamond">
    <w:panose1 w:val="02020404030301010803"/>
    <w:charset w:val="EE"/>
    <w:family w:val="roman"/>
    <w:pitch w:val="variable"/>
    <w:sig w:usb0="00000287" w:usb1="00000000" w:usb2="00000000" w:usb3="00000000" w:csb0="0000009F" w:csb1="00000000"/>
    <w:embedBold r:id="rId5" w:fontKey="{22D2EB75-12FA-4A13-A210-DE741AB94284}"/>
  </w:font>
  <w:font w:name="Cambria">
    <w:panose1 w:val="02040503050406030204"/>
    <w:charset w:val="EE"/>
    <w:family w:val="roman"/>
    <w:pitch w:val="variable"/>
    <w:sig w:usb0="E00006FF" w:usb1="420024FF" w:usb2="02000000" w:usb3="00000000" w:csb0="0000019F" w:csb1="00000000"/>
    <w:embedRegular r:id="rId6" w:fontKey="{4C8C45AA-9C68-497D-B868-6BFBC63BFBC3}"/>
    <w:embedBold r:id="rId7" w:fontKey="{4BF0AD15-C238-4924-AB34-422CDC3ACB84}"/>
    <w:embedItalic r:id="rId8" w:fontKey="{281812A6-6F26-45FA-874B-83ED1B1C902A}"/>
    <w:embedBoldItalic r:id="rId9" w:fontKey="{E6BE1B5C-6393-4032-8374-9E08436B4280}"/>
  </w:font>
  <w:font w:name="Tahoma">
    <w:panose1 w:val="020B0604030504040204"/>
    <w:charset w:val="EE"/>
    <w:family w:val="swiss"/>
    <w:pitch w:val="variable"/>
    <w:sig w:usb0="E1002EFF" w:usb1="C000605B" w:usb2="00000029" w:usb3="00000000" w:csb0="000101FF" w:csb1="00000000"/>
    <w:embedRegular r:id="rId10" w:fontKey="{7BD646D0-A361-43E8-86E5-BAEA24EE498C}"/>
    <w:embedBold r:id="rId11" w:fontKey="{F716BF34-61F0-4287-B61F-9DC1CF4952B3}"/>
    <w:embedItalic r:id="rId12" w:fontKey="{727F550C-4F9E-444C-983B-178B83212B13}"/>
    <w:embedBoldItalic r:id="rId13" w:fontKey="{953B7F22-6834-4008-AA34-6D032520A0C1}"/>
  </w:font>
  <w:font w:name="Verdana">
    <w:panose1 w:val="020B0604030504040204"/>
    <w:charset w:val="EE"/>
    <w:family w:val="swiss"/>
    <w:pitch w:val="variable"/>
    <w:sig w:usb0="A00006FF" w:usb1="4000205B" w:usb2="00000010" w:usb3="00000000" w:csb0="0000019F" w:csb1="00000000"/>
    <w:embedRegular r:id="rId14" w:fontKey="{0A13B6A6-228D-4F58-AAE9-F318FC1D8A00}"/>
    <w:embedBold r:id="rId15" w:fontKey="{360AB519-DEE9-4559-8B9D-ED56C92456A0}"/>
    <w:embedItalic r:id="rId16" w:fontKey="{E53740B3-17A0-4F34-8DB6-BA9A248A97C7}"/>
  </w:font>
  <w:font w:name="SL Dutch">
    <w:altName w:val="Times New Roman"/>
    <w:charset w:val="00"/>
    <w:family w:val="auto"/>
    <w:pitch w:val="variable"/>
    <w:sig w:usb0="00000001"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BVLMP L+ Gill Sans Std">
    <w:altName w:val="Arial"/>
    <w:panose1 w:val="00000000000000000000"/>
    <w:charset w:val="00"/>
    <w:family w:val="swiss"/>
    <w:notTrueType/>
    <w:pitch w:val="default"/>
    <w:sig w:usb0="00000003" w:usb1="00000000" w:usb2="00000000" w:usb3="00000000" w:csb0="00000001" w:csb1="00000000"/>
  </w:font>
  <w:font w:name="EUAlbertina">
    <w:altName w:val="Times New Roman"/>
    <w:panose1 w:val="00000000000000000000"/>
    <w:charset w:val="00"/>
    <w:family w:val="roman"/>
    <w:notTrueType/>
    <w:pitch w:val="default"/>
    <w:sig w:usb0="00000001" w:usb1="00000000" w:usb2="00000000" w:usb3="00000000" w:csb0="00000003" w:csb1="00000000"/>
  </w:font>
  <w:font w:name="Myriad Pro Light">
    <w:altName w:val="Arial"/>
    <w:panose1 w:val="00000000000000000000"/>
    <w:charset w:val="00"/>
    <w:family w:val="swiss"/>
    <w:notTrueType/>
    <w:pitch w:val="default"/>
    <w:sig w:usb0="00000003" w:usb1="00000000" w:usb2="00000000" w:usb3="00000000" w:csb0="00000001" w:csb1="00000000"/>
  </w:font>
  <w:font w:name="Palatino Linotype">
    <w:panose1 w:val="02040502050505030304"/>
    <w:charset w:val="EE"/>
    <w:family w:val="roman"/>
    <w:pitch w:val="variable"/>
    <w:sig w:usb0="E0000287" w:usb1="40000013" w:usb2="00000000" w:usb3="00000000" w:csb0="0000019F" w:csb1="00000000"/>
    <w:embedRegular r:id="rId17" w:fontKey="{0534C46A-688A-4AA4-9CFF-3C7423A0E45A}"/>
  </w:font>
  <w:font w:name="Trajan Pro">
    <w:panose1 w:val="00000000000000000000"/>
    <w:charset w:val="00"/>
    <w:family w:val="roman"/>
    <w:notTrueType/>
    <w:pitch w:val="variable"/>
    <w:sig w:usb0="00000007" w:usb1="00000000" w:usb2="00000000" w:usb3="00000000" w:csb0="00000093" w:csb1="00000000"/>
  </w:font>
  <w:font w:name="Times New Roman (WE)">
    <w:altName w:val="Times New Roman"/>
    <w:panose1 w:val="00000000000000000000"/>
    <w:charset w:val="00"/>
    <w:family w:val="roman"/>
    <w:notTrueType/>
    <w:pitch w:val="default"/>
    <w:sig w:usb0="00000003" w:usb1="00000000" w:usb2="00000000" w:usb3="00000000" w:csb0="00000001" w:csb1="00000000"/>
  </w:font>
  <w:font w:name="TimesNewRoman">
    <w:altName w:val="MS Mincho"/>
    <w:panose1 w:val="00000000000000000000"/>
    <w:charset w:val="80"/>
    <w:family w:val="auto"/>
    <w:notTrueType/>
    <w:pitch w:val="default"/>
    <w:sig w:usb0="00000003" w:usb1="08070000" w:usb2="00000010" w:usb3="00000000" w:csb0="00020001" w:csb1="00000000"/>
  </w:font>
  <w:font w:name="ヒラギノ角ゴ Pro W3">
    <w:altName w:val="Arial Unicode MS"/>
    <w:panose1 w:val="00000000000000000000"/>
    <w:charset w:val="80"/>
    <w:family w:val="roman"/>
    <w:notTrueType/>
    <w:pitch w:val="default"/>
  </w:font>
  <w:font w:name="Times New Roman Bold">
    <w:altName w:val="Times New Roman"/>
    <w:panose1 w:val="00000000000000000000"/>
    <w:charset w:val="00"/>
    <w:family w:val="roman"/>
    <w:notTrueType/>
    <w:pitch w:val="default"/>
    <w:sig w:usb0="00000003" w:usb1="00000000" w:usb2="00000000" w:usb3="00000000" w:csb0="00000001" w:csb1="00000000"/>
  </w:font>
  <w:font w:name="Arial Narrow">
    <w:panose1 w:val="020B0606020202030204"/>
    <w:charset w:val="EE"/>
    <w:family w:val="swiss"/>
    <w:pitch w:val="variable"/>
    <w:sig w:usb0="00000287" w:usb1="00000800" w:usb2="00000000" w:usb3="00000000" w:csb0="0000009F" w:csb1="00000000"/>
    <w:embedRegular r:id="rId18" w:fontKey="{5EB7BA0F-BB5D-404E-8B70-493755B85AA4}"/>
    <w:embedBold r:id="rId19" w:fontKey="{6594CFAA-1A93-4D6C-B579-74CBEB781F3B}"/>
    <w:embedItalic r:id="rId20" w:fontKey="{BFD68BF2-9A29-42AA-B229-1C9DF8C070E3}"/>
  </w:font>
  <w:font w:name="Nimbus Roman No9 L">
    <w:altName w:val="Times New Roman"/>
    <w:charset w:val="00"/>
    <w:family w:val="roman"/>
    <w:pitch w:val="variable"/>
  </w:font>
  <w:font w:name="Luxi Sans">
    <w:charset w:val="00"/>
    <w:family w:val="auto"/>
    <w:pitch w:val="variable"/>
  </w:font>
  <w:font w:name="Times">
    <w:panose1 w:val="02020603050405020304"/>
    <w:charset w:val="EE"/>
    <w:family w:val="roman"/>
    <w:pitch w:val="variable"/>
    <w:sig w:usb0="E0002EFF" w:usb1="C000785B" w:usb2="00000009" w:usb3="00000000" w:csb0="000001FF" w:csb1="00000000"/>
    <w:embedRegular r:id="rId21" w:fontKey="{E64862D0-9E7A-40F9-ADB3-23745A4B4AFC}"/>
  </w:font>
  <w:font w:name="Minion Pro">
    <w:panose1 w:val="00000000000000000000"/>
    <w:charset w:val="00"/>
    <w:family w:val="roman"/>
    <w:notTrueType/>
    <w:pitch w:val="variable"/>
    <w:sig w:usb0="60000287" w:usb1="00000001" w:usb2="00000000" w:usb3="00000000" w:csb0="0000019F" w:csb1="00000000"/>
  </w:font>
  <w:font w:name="Dutch">
    <w:altName w:val="Times New Roman"/>
    <w:panose1 w:val="00000000000000000000"/>
    <w:charset w:val="00"/>
    <w:family w:val="auto"/>
    <w:notTrueType/>
    <w:pitch w:val="variable"/>
    <w:sig w:usb0="00000003" w:usb1="00000000" w:usb2="00000000" w:usb3="00000000" w:csb0="00000001" w:csb1="00000000"/>
  </w:font>
  <w:font w:name="CRO_Swiss-Normal">
    <w:altName w:val="Times New Roman"/>
    <w:panose1 w:val="00000000000000000000"/>
    <w:charset w:val="00"/>
    <w:family w:val="auto"/>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embedRegular r:id="rId22" w:subsetted="1" w:fontKey="{FAF5348A-1D07-41BA-ADA4-0FCAEC579D60}"/>
  </w:font>
  <w:font w:name="BBBKJF+ArialMT">
    <w:altName w:val="MS Gothic"/>
    <w:panose1 w:val="00000000000000000000"/>
    <w:charset w:val="80"/>
    <w:family w:val="swiss"/>
    <w:notTrueType/>
    <w:pitch w:val="default"/>
    <w:sig w:usb0="00000000" w:usb1="08070000" w:usb2="00000010" w:usb3="00000000" w:csb0="00020001" w:csb1="00000000"/>
  </w:font>
  <w:font w:name="Cambria Math">
    <w:panose1 w:val="02040503050406030204"/>
    <w:charset w:val="EE"/>
    <w:family w:val="roman"/>
    <w:pitch w:val="variable"/>
    <w:sig w:usb0="E00006FF" w:usb1="420024FF" w:usb2="02000000" w:usb3="00000000" w:csb0="0000019F" w:csb1="00000000"/>
    <w:embedRegular r:id="rId23" w:fontKey="{58564D25-C0EB-48C4-A556-4261F0D1294B}"/>
    <w:embedBold r:id="rId24" w:fontKey="{730387EB-6D08-49CF-BF3C-4A05E879054E}"/>
  </w:font>
  <w:font w:name="MyriadPro-LightSemiCn">
    <w:altName w:val="MS Gothic"/>
    <w:panose1 w:val="00000000000000000000"/>
    <w:charset w:val="80"/>
    <w:family w:val="swiss"/>
    <w:notTrueType/>
    <w:pitch w:val="default"/>
    <w:sig w:usb0="00000001" w:usb1="08070000" w:usb2="00000010" w:usb3="00000000" w:csb0="00020000" w:csb1="00000000"/>
  </w:font>
  <w:font w:name="FrutigerLTStd-Roman">
    <w:altName w:val="MS Gothic"/>
    <w:panose1 w:val="00000000000000000000"/>
    <w:charset w:val="80"/>
    <w:family w:val="swiss"/>
    <w:notTrueType/>
    <w:pitch w:val="default"/>
    <w:sig w:usb0="00000000" w:usb1="08070000" w:usb2="00000010" w:usb3="00000000" w:csb0="00020000" w:csb1="00000000"/>
  </w:font>
  <w:font w:name="AGaramondPro-Italic">
    <w:altName w:val="MS Mincho"/>
    <w:panose1 w:val="00000000000000000000"/>
    <w:charset w:val="80"/>
    <w:family w:val="roman"/>
    <w:notTrueType/>
    <w:pitch w:val="default"/>
    <w:sig w:usb0="00000001" w:usb1="08070000" w:usb2="00000010" w:usb3="00000000" w:csb0="00020000" w:csb1="00000000"/>
  </w:font>
  <w:font w:name="Batang">
    <w:altName w:val="바탕"/>
    <w:panose1 w:val="02030600000101010101"/>
    <w:charset w:val="81"/>
    <w:family w:val="auto"/>
    <w:notTrueType/>
    <w:pitch w:val="fixed"/>
    <w:sig w:usb0="00000001" w:usb1="09060000" w:usb2="00000010" w:usb3="00000000" w:csb0="00080000" w:csb1="00000000"/>
  </w:font>
  <w:font w:name="FrutigerLTPro-Condensed">
    <w:altName w:val="MS Mincho"/>
    <w:panose1 w:val="00000000000000000000"/>
    <w:charset w:val="80"/>
    <w:family w:val="auto"/>
    <w:notTrueType/>
    <w:pitch w:val="default"/>
    <w:sig w:usb0="00000005" w:usb1="08070000" w:usb2="00000010" w:usb3="00000000" w:csb0="00020002" w:csb1="00000000"/>
  </w:font>
  <w:font w:name="Republika">
    <w:altName w:val="DejaVu Serif Condensed"/>
    <w:charset w:val="EE"/>
    <w:family w:val="auto"/>
    <w:pitch w:val="variable"/>
    <w:sig w:usb0="A00000FF" w:usb1="4000205B" w:usb2="00000000" w:usb3="00000000" w:csb0="00000093" w:csb1="00000000"/>
    <w:embedRegular r:id="rId25" w:fontKey="{DC379F45-05C4-4958-A50C-08FA187524B0}"/>
    <w:embedBold r:id="rId26" w:fontKey="{F7C03068-29AB-46C6-9312-EB15785B403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04520200"/>
      <w:docPartObj>
        <w:docPartGallery w:val="Page Numbers (Bottom of Page)"/>
        <w:docPartUnique/>
      </w:docPartObj>
    </w:sdtPr>
    <w:sdtEndPr/>
    <w:sdtContent>
      <w:p w:rsidR="001323F1" w:rsidRDefault="001323F1">
        <w:pPr>
          <w:pStyle w:val="Noga"/>
          <w:jc w:val="center"/>
        </w:pPr>
        <w:r>
          <w:rPr>
            <w:noProof/>
            <w:lang w:val="sl-SI" w:eastAsia="sl-SI"/>
          </w:rPr>
          <mc:AlternateContent>
            <mc:Choice Requires="wps">
              <w:drawing>
                <wp:inline distT="0" distB="0" distL="0" distR="0" wp14:anchorId="2D95F531" wp14:editId="6CEC2B25">
                  <wp:extent cx="5467350" cy="54610"/>
                  <wp:effectExtent l="9525" t="19050" r="9525" b="12065"/>
                  <wp:docPr id="647" name="Samooblika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2E1D68BE" id="_x0000_t110" coordsize="21600,21600" o:spt="110" path="m10800,l,10800,10800,21600,21600,10800xe">
                  <v:stroke joinstyle="miter"/>
                  <v:path gradientshapeok="t" o:connecttype="rect" textboxrect="5400,5400,16200,16200"/>
                </v:shapetype>
                <v:shape id="Samooblika 1"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" fillcolor="black">
                  <w10:anchorlock/>
                </v:shape>
              </w:pict>
            </mc:Fallback>
          </mc:AlternateContent>
        </w:r>
      </w:p>
      <w:p w:rsidR="001323F1" w:rsidRDefault="001323F1">
        <w:pPr>
          <w:pStyle w:val="Noga"/>
          <w:jc w:val="center"/>
        </w:pPr>
        <w:r>
          <w:fldChar w:fldCharType="begin"/>
        </w:r>
        <w:r>
          <w:instrText>PAGE    \* MERGEFORMAT</w:instrText>
        </w:r>
        <w:r>
          <w:fldChar w:fldCharType="separate"/>
        </w:r>
        <w:r w:rsidR="00CF5505" w:rsidRPr="00CF5505">
          <w:rPr>
            <w:noProof/>
            <w:lang w:val="sl-SI"/>
          </w:rPr>
          <w:t>3</w:t>
        </w:r>
        <w:r>
          <w:fldChar w:fldCharType="end"/>
        </w:r>
      </w:p>
    </w:sdtContent>
  </w:sdt>
  <w:p w:rsidR="001323F1" w:rsidRDefault="001323F1">
    <w:pPr>
      <w:pStyle w:val="Nog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46702" w:rsidRDefault="00846702">
      <w:r>
        <w:separator/>
      </w:r>
    </w:p>
  </w:footnote>
  <w:footnote w:type="continuationSeparator" w:id="0">
    <w:p w:rsidR="00846702" w:rsidRDefault="00846702">
      <w:r>
        <w:continuationSeparator/>
      </w:r>
    </w:p>
  </w:footnote>
  <w:footnote w:id="1">
    <w:p w:rsidR="001323F1" w:rsidRPr="00D93DFE" w:rsidRDefault="001323F1" w:rsidP="00C90D7B">
      <w:pPr>
        <w:pStyle w:val="Sprotnaopomba-besedilo"/>
      </w:pPr>
      <w:r w:rsidRPr="00D93DFE">
        <w:t>(</w:t>
      </w:r>
      <w:r w:rsidRPr="00D93DFE">
        <w:rPr>
          <w:rStyle w:val="Sprotnaopomba-sklic"/>
        </w:rPr>
        <w:footnoteRef/>
      </w:r>
      <w:r w:rsidRPr="00D93DFE">
        <w:t>)</w:t>
      </w:r>
      <w:r w:rsidRPr="00D93DFE">
        <w:tab/>
      </w:r>
      <w:r w:rsidRPr="00D93DFE">
        <w:rPr>
          <w:lang w:bidi="si-LK"/>
        </w:rPr>
        <w:t>Vizija za leto 2050 je opredeljena v 7. okoljskem akcijskem programu EU (EU, 2013).</w:t>
      </w:r>
    </w:p>
  </w:footnote>
  <w:footnote w:id="2">
    <w:p w:rsidR="001323F1" w:rsidRPr="00D93DFE" w:rsidRDefault="001323F1" w:rsidP="00C90D7B">
      <w:pPr>
        <w:pStyle w:val="Sprotnaopomba-besedilo"/>
        <w:ind w:left="284" w:hanging="284"/>
        <w:jc w:val="both"/>
        <w:rPr>
          <w:rFonts w:ascii="Arial" w:hAnsi="Arial" w:cs="Arial"/>
          <w:sz w:val="18"/>
          <w:szCs w:val="18"/>
        </w:rPr>
      </w:pPr>
      <w:r w:rsidRPr="00D93DFE">
        <w:rPr>
          <w:rFonts w:ascii="Palatino Linotype" w:hAnsi="Palatino Linotype"/>
          <w:sz w:val="18"/>
        </w:rPr>
        <w:t>(</w:t>
      </w:r>
      <w:r w:rsidRPr="00D93DFE">
        <w:rPr>
          <w:rStyle w:val="Sprotnaopomba-sklic"/>
        </w:rPr>
        <w:footnoteRef/>
      </w:r>
      <w:r w:rsidRPr="00D93DFE">
        <w:rPr>
          <w:rFonts w:ascii="Palatino Linotype" w:hAnsi="Palatino Linotype"/>
          <w:sz w:val="18"/>
        </w:rPr>
        <w:t xml:space="preserve">) </w:t>
      </w:r>
      <w:r w:rsidRPr="00D93DFE">
        <w:tab/>
      </w:r>
      <w:r w:rsidRPr="00D93DFE">
        <w:rPr>
          <w:rFonts w:ascii="Arial" w:hAnsi="Arial" w:cs="Arial"/>
          <w:bCs/>
          <w:iCs/>
          <w:sz w:val="18"/>
          <w:szCs w:val="18"/>
        </w:rPr>
        <w:fldChar w:fldCharType="begin"/>
      </w:r>
      <w:r w:rsidRPr="00D93DFE">
        <w:rPr>
          <w:rFonts w:ascii="Arial" w:hAnsi="Arial" w:cs="Arial"/>
          <w:bCs/>
          <w:iCs/>
          <w:sz w:val="18"/>
          <w:szCs w:val="18"/>
        </w:rPr>
        <w:instrText xml:space="preserve"> ADDIN ZOTERO_ITEM CSL_CITATION {"citationID":"k3aJUMu5","properties":{"formattedCitation":"(World Bank, 2008)","plainCitation":"(World Bank, 2008)"},"citationItems":[{"id":3514,"uris":["http://zotero.org/groups/122386/items/Z4ZQA6EQ"],"uri":["http://zotero.org/groups/122386/items/Z4ZQA6EQ"],"itemData":{"id":3514,"type":"report","title":"Rising food and fuel prices: addressing the risks to future generations","publisher":"The World Bank","publisher-place":"Washington DC","event-place":"Washington DC","author":[{"family":"World Bank","given":""}],"issued":{"date-parts":[["2008"]]}}}],"schema":"https://github.com/citation-style-language/schema/raw/master/csl-citation.json"} </w:instrText>
      </w:r>
      <w:r w:rsidRPr="00D93DFE">
        <w:rPr>
          <w:rFonts w:ascii="Arial" w:hAnsi="Arial" w:cs="Arial"/>
          <w:bCs/>
          <w:iCs/>
          <w:sz w:val="18"/>
          <w:szCs w:val="18"/>
        </w:rPr>
        <w:fldChar w:fldCharType="separate"/>
      </w:r>
      <w:r w:rsidRPr="00D93DFE">
        <w:rPr>
          <w:rFonts w:ascii="Arial" w:hAnsi="Arial" w:cs="Arial"/>
          <w:sz w:val="18"/>
          <w:szCs w:val="18"/>
        </w:rPr>
        <w:t>Svetovna banka (2008</w:t>
      </w:r>
      <w:r w:rsidRPr="00D93DFE">
        <w:rPr>
          <w:rFonts w:ascii="Arial" w:hAnsi="Arial" w:cs="Arial"/>
          <w:bCs/>
          <w:iCs/>
          <w:sz w:val="18"/>
          <w:szCs w:val="18"/>
        </w:rPr>
        <w:fldChar w:fldCharType="end"/>
      </w:r>
      <w:r w:rsidRPr="00D93DFE">
        <w:rPr>
          <w:rFonts w:ascii="Arial" w:hAnsi="Arial" w:cs="Arial"/>
          <w:bCs/>
          <w:iCs/>
          <w:sz w:val="18"/>
          <w:szCs w:val="18"/>
        </w:rPr>
        <w:t>)</w:t>
      </w:r>
      <w:r w:rsidRPr="00D93DFE">
        <w:rPr>
          <w:rFonts w:ascii="Arial" w:hAnsi="Arial" w:cs="Arial"/>
          <w:sz w:val="18"/>
          <w:szCs w:val="18"/>
        </w:rPr>
        <w:t xml:space="preserve"> navaja, da se je leta 2008 zaradi prehrambne krize število revnih na svetu povečalo za 100 milijonov, kar ima dolgoročne posledice za zdravje in izobrazbo. Višje cene nafte so ta učinek še okrepile. Po tem letu so se cene hrane dvignile na podobno visoko raven tudi v letih 2011 in 2012 </w:t>
      </w:r>
      <w:r w:rsidRPr="007F272F">
        <w:rPr>
          <w:rFonts w:ascii="Arial" w:hAnsi="Arial" w:cs="Arial"/>
          <w:bCs/>
          <w:iCs/>
          <w:sz w:val="18"/>
          <w:szCs w:val="18"/>
        </w:rPr>
        <w:fldChar w:fldCharType="begin"/>
      </w:r>
      <w:r w:rsidRPr="00D93DFE">
        <w:rPr>
          <w:rFonts w:ascii="Arial" w:hAnsi="Arial" w:cs="Arial"/>
          <w:bCs/>
          <w:iCs/>
          <w:sz w:val="18"/>
          <w:szCs w:val="18"/>
        </w:rPr>
        <w:instrText xml:space="preserve"> ADDIN ZOTERO_ITEM CSL_CITATION {"citationID":"t96gKofQ","properties":{"formattedCitation":"(World Bank, 2013)","plainCitation":"(World Bank, 2013)"},"citationItems":[{"id":3462,"uris":["http://zotero.org/groups/122386/items/THISWTWM"],"uri":["http://zotero.org/groups/122386/items/THISWTWM"],"itemData":{"id":3462,"type":"webpage","title":"Global Food Crisis Response Program","URL":"http://www.worldbank.org/en/results/2013/04/11/global-food-crisis-response-program-results-profile","author":[{"family":"World Bank","given":""}],"issued":{"date-parts":[["2013"]]},"accessed":{"date-parts":[["2014",4,1]]}}}],"schema":"https://github.com/citation-style-language/schema/raw/master/csl-citation.json"} </w:instrText>
      </w:r>
      <w:r w:rsidRPr="007F272F">
        <w:rPr>
          <w:rFonts w:ascii="Arial" w:hAnsi="Arial" w:cs="Arial"/>
          <w:bCs/>
          <w:iCs/>
          <w:sz w:val="18"/>
          <w:szCs w:val="18"/>
        </w:rPr>
        <w:fldChar w:fldCharType="separate"/>
      </w:r>
      <w:r w:rsidRPr="00D93DFE">
        <w:rPr>
          <w:rFonts w:ascii="Arial" w:hAnsi="Arial" w:cs="Arial"/>
          <w:sz w:val="18"/>
          <w:szCs w:val="18"/>
        </w:rPr>
        <w:t>(Svetovna banka, 2013)</w:t>
      </w:r>
      <w:r w:rsidRPr="007F272F">
        <w:rPr>
          <w:rFonts w:ascii="Arial" w:hAnsi="Arial" w:cs="Arial"/>
          <w:bCs/>
          <w:iCs/>
          <w:sz w:val="18"/>
          <w:szCs w:val="18"/>
        </w:rPr>
        <w:fldChar w:fldCharType="end"/>
      </w:r>
      <w:r w:rsidRPr="00D93DFE">
        <w:rPr>
          <w:rFonts w:ascii="Arial" w:hAnsi="Arial" w:cs="Arial"/>
          <w:sz w:val="18"/>
          <w:szCs w:val="18"/>
        </w:rPr>
        <w:t>.</w:t>
      </w:r>
    </w:p>
  </w:footnote>
  <w:footnote w:id="3">
    <w:p w:rsidR="001323F1" w:rsidRPr="00D93DFE" w:rsidRDefault="001323F1" w:rsidP="00C90D7B">
      <w:pPr>
        <w:pStyle w:val="Sprotnaopomba-besedilo"/>
        <w:ind w:left="284" w:hanging="284"/>
        <w:jc w:val="both"/>
        <w:rPr>
          <w:rFonts w:ascii="Arial" w:hAnsi="Arial" w:cs="Arial"/>
          <w:sz w:val="18"/>
          <w:szCs w:val="18"/>
        </w:rPr>
      </w:pPr>
      <w:r w:rsidRPr="00D93DFE">
        <w:rPr>
          <w:rFonts w:ascii="Arial" w:hAnsi="Arial" w:cs="Arial"/>
          <w:sz w:val="18"/>
          <w:szCs w:val="18"/>
        </w:rPr>
        <w:t>(</w:t>
      </w:r>
      <w:r w:rsidRPr="00D93DFE">
        <w:rPr>
          <w:rStyle w:val="Sprotnaopomba-sklic"/>
          <w:rFonts w:ascii="Arial" w:hAnsi="Arial"/>
          <w:sz w:val="18"/>
          <w:szCs w:val="18"/>
        </w:rPr>
        <w:footnoteRef/>
      </w:r>
      <w:r w:rsidRPr="00D93DFE">
        <w:rPr>
          <w:rFonts w:ascii="Arial" w:hAnsi="Arial" w:cs="Arial"/>
          <w:sz w:val="18"/>
          <w:szCs w:val="18"/>
        </w:rPr>
        <w:t xml:space="preserve">) </w:t>
      </w:r>
      <w:r w:rsidRPr="00D93DFE">
        <w:rPr>
          <w:rFonts w:ascii="Arial" w:hAnsi="Arial" w:cs="Arial"/>
          <w:sz w:val="18"/>
          <w:szCs w:val="18"/>
        </w:rPr>
        <w:tab/>
        <w:t>Kot je npr. 20. januarja 2013 v govoru Novi ekologizem dejal nekdanji evropski komisar Janez Poto</w:t>
      </w:r>
      <w:r w:rsidRPr="00D93DFE">
        <w:rPr>
          <w:rStyle w:val="Poudarek"/>
          <w:rFonts w:cs="Arial"/>
          <w:sz w:val="18"/>
          <w:szCs w:val="18"/>
          <w:shd w:val="clear" w:color="auto" w:fill="FFFFFF"/>
        </w:rPr>
        <w:t>č</w:t>
      </w:r>
      <w:r w:rsidRPr="00D93DFE">
        <w:rPr>
          <w:rFonts w:ascii="Arial" w:hAnsi="Arial" w:cs="Arial"/>
          <w:sz w:val="18"/>
          <w:szCs w:val="18"/>
        </w:rPr>
        <w:t xml:space="preserve">nik </w:t>
      </w:r>
      <w:r w:rsidRPr="007F272F">
        <w:rPr>
          <w:rFonts w:ascii="Arial" w:hAnsi="Arial" w:cs="Arial"/>
          <w:sz w:val="18"/>
          <w:szCs w:val="18"/>
        </w:rPr>
        <w:fldChar w:fldCharType="begin"/>
      </w:r>
      <w:r w:rsidRPr="00D93DFE">
        <w:rPr>
          <w:rFonts w:ascii="Arial" w:hAnsi="Arial" w:cs="Arial"/>
          <w:sz w:val="18"/>
          <w:szCs w:val="18"/>
        </w:rPr>
        <w:instrText xml:space="preserve"> ADDIN ZOTERO_ITEM CSL_CITATION {"citationID":"mkBOh6KW","properties":{"formattedCitation":"(EC, 2013e)","plainCitation":"(EC, 2013e)"},"citationItems":[{"id":5703,"uris":["http://zotero.org/groups/122386/items/KN6DUXVU"],"uri":["http://zotero.org/groups/122386/items/KN6DUXVU"],"itemData":{"id":5703,"type":"webpage","title":"Press release: Speech by Janez Potočnik - 'New Environmentalism'","URL":"http://europa.eu/rapid/press-release_SPEECH-13-554_en.htm","author":[{"family":"EC","given":""}],"issued":{"date-parts":[["2013"]]},"accessed":{"date-parts":[["2014",11,7]]}}}],"schema":"https://github.com/citation-style-language/schema/raw/master/csl-citation.json"} </w:instrText>
      </w:r>
      <w:r w:rsidRPr="007F272F">
        <w:rPr>
          <w:rFonts w:ascii="Arial" w:hAnsi="Arial" w:cs="Arial"/>
          <w:sz w:val="18"/>
          <w:szCs w:val="18"/>
        </w:rPr>
        <w:fldChar w:fldCharType="separate"/>
      </w:r>
      <w:r w:rsidRPr="00D93DFE">
        <w:rPr>
          <w:rFonts w:ascii="Arial" w:hAnsi="Arial" w:cs="Arial"/>
          <w:sz w:val="18"/>
          <w:szCs w:val="18"/>
        </w:rPr>
        <w:t>(EC, 2013e)</w:t>
      </w:r>
      <w:r w:rsidRPr="007F272F">
        <w:rPr>
          <w:rFonts w:ascii="Arial" w:hAnsi="Arial" w:cs="Arial"/>
          <w:sz w:val="18"/>
          <w:szCs w:val="18"/>
        </w:rPr>
        <w:fldChar w:fldCharType="end"/>
      </w:r>
      <w:r w:rsidRPr="00D93DFE">
        <w:rPr>
          <w:rFonts w:ascii="Arial" w:hAnsi="Arial" w:cs="Arial"/>
          <w:sz w:val="18"/>
          <w:szCs w:val="18"/>
        </w:rPr>
        <w:t>.</w:t>
      </w:r>
    </w:p>
  </w:footnote>
  <w:footnote w:id="4">
    <w:p w:rsidR="001323F1" w:rsidRPr="00D93DFE" w:rsidRDefault="001323F1" w:rsidP="00C90D7B">
      <w:pPr>
        <w:pStyle w:val="Telobesedila"/>
        <w:shd w:val="clear" w:color="auto" w:fill="FFFFFF" w:themeFill="background1"/>
        <w:spacing w:before="200" w:after="200" w:line="276" w:lineRule="auto"/>
        <w:jc w:val="both"/>
        <w:rPr>
          <w:rFonts w:ascii="Arial" w:eastAsia="ヒラギノ角ゴ Pro W3" w:hAnsi="Arial" w:cs="Arial"/>
          <w:color w:val="000000"/>
          <w:sz w:val="18"/>
          <w:szCs w:val="18"/>
        </w:rPr>
      </w:pPr>
      <w:r w:rsidRPr="00D93DFE">
        <w:rPr>
          <w:rStyle w:val="Sprotnaopomba-sklic"/>
          <w:rFonts w:ascii="Palatino Linotype" w:hAnsi="Palatino Linotype"/>
          <w:sz w:val="18"/>
          <w:szCs w:val="18"/>
        </w:rPr>
        <w:footnoteRef/>
      </w:r>
      <w:r w:rsidRPr="00D93DFE">
        <w:rPr>
          <w:rFonts w:ascii="Palatino Linotype" w:hAnsi="Palatino Linotype"/>
          <w:sz w:val="18"/>
          <w:szCs w:val="18"/>
        </w:rPr>
        <w:t xml:space="preserve"> </w:t>
      </w:r>
      <w:r w:rsidRPr="00D93DFE">
        <w:rPr>
          <w:rFonts w:ascii="Arial" w:eastAsia="ヒラギノ角ゴ Pro W3" w:hAnsi="Arial" w:cs="Arial"/>
          <w:color w:val="000000"/>
          <w:sz w:val="18"/>
          <w:szCs w:val="18"/>
        </w:rPr>
        <w:t xml:space="preserve">Akademska razprava o tem, kako bi kar najbolje opredelili pojme, kot so „meje zmogljivosti planeta“ ali z njimi povezani koncept „meja varnega delovanja“, nenehno poteka </w:t>
      </w:r>
      <w:r w:rsidRPr="007F272F">
        <w:rPr>
          <w:rFonts w:ascii="Arial" w:eastAsia="ヒラギノ角ゴ Pro W3" w:hAnsi="Arial" w:cs="Arial"/>
          <w:color w:val="000000"/>
          <w:sz w:val="18"/>
          <w:szCs w:val="18"/>
        </w:rPr>
        <w:fldChar w:fldCharType="begin"/>
      </w:r>
      <w:r w:rsidRPr="00D93DFE">
        <w:rPr>
          <w:rFonts w:ascii="Arial" w:eastAsia="ヒラギノ角ゴ Pro W3" w:hAnsi="Arial" w:cs="Arial"/>
          <w:color w:val="000000"/>
          <w:sz w:val="18"/>
          <w:szCs w:val="18"/>
        </w:rPr>
        <w:instrText xml:space="preserve"> ADDIN ZOTERO_ITEM CSL_CITATION {"citationID":"3H7XUpap","properties":{"formattedCitation":"{\\rtf (Rockstr\\uc0\\u246{}m et al., 2009a)}","plainCitation":"(Rockström et al., 2009a)"},"citationItems":[{"id":239,"uris":["http://zotero.org/groups/122386/items/8ZKWCKZR"],"uri":["http://zotero.org/groups/122386/items/8ZKWCKZR"],"itemData":{"id":239,"type":"article-journal","title":"A safe operating space for humanity","container-title":"Nature","page":"472-475","volume":"461","issue":"7263","source":"www.nature.com","abstract":"Identifying and quantifying planetary boundaries that must not be transgressed could help prevent human activities from causing unacceptable environmental change, argue Johan Rockström and colleagues.","DOI":"10.1038/461472a","ISSN":"0028-0836","journalAbbreviation":"Nature","language":"en","author":[{"family":"Rockström","given":"Johan"},{"family":"Steffen","given":"Will"},{"family":"Noone","given":"Kevin"},{"family":"Persson","given":"Åsa"},{"family":"Chapin","given":"F. Stuart"},{"family":"Lambin","given":"Eric F."},{"family":"Lenton","given":"Timothy M."},{"family":"Scheffer","given":"Marten"},{"family":"Folke","given":"Carl"},{"family":"Schellnhuber","given":"Hans Joachim"},{"family":"Nykvist","given":"Björn"},{"family":"de Wit","given":"Cynthia A."},{"family":"Hughes","given":"Terry"},{"family":"van der Leeuw","given":"Sander"},{"family":"Rodhe","given":"Henning"},{"family":"Sörlin","given":"Sverker"},{"family":"Snyder","given":"Peter K."},{"family":"Costanza","given":"Robert"},{"family":"Svedin","given":"Uno"},{"family":"Falkenmark","given":"Malin"},{"family":"Karlberg","given":"Louise"},{"family":"Corell","given":"Robert W."},{"family":"Fabry","given":"Victoria J."},{"family":"Hansen","given":"James"},{"family":"Walker","given":"Brian"},{"family":"Liverman","given":"Diana"},{"family":"Richardson","given":"Katherine"},{"family":"Crutzen","given":"Paul"},{"family":"Foley","given":"Jonathan A."}],"issued":{"date-parts":[["2009",9,24]]},"accessed":{"date-parts":[["2013",9,27]]}}}],"schema":"https://github.com/citation-style-language/schema/raw/master/csl-citation.json"} </w:instrText>
      </w:r>
      <w:r w:rsidRPr="007F272F">
        <w:rPr>
          <w:rFonts w:ascii="Arial" w:eastAsia="ヒラギノ角ゴ Pro W3" w:hAnsi="Arial" w:cs="Arial"/>
          <w:color w:val="000000"/>
          <w:sz w:val="18"/>
          <w:szCs w:val="18"/>
        </w:rPr>
        <w:fldChar w:fldCharType="separate"/>
      </w:r>
      <w:r w:rsidRPr="00D93DFE">
        <w:rPr>
          <w:rFonts w:ascii="Arial" w:eastAsia="ヒラギノ角ゴ Pro W3" w:hAnsi="Arial" w:cs="Arial"/>
          <w:color w:val="000000"/>
          <w:sz w:val="18"/>
          <w:szCs w:val="18"/>
        </w:rPr>
        <w:t>(Rockström idr., 2009a)</w:t>
      </w:r>
      <w:r w:rsidRPr="007F272F">
        <w:rPr>
          <w:rFonts w:ascii="Arial" w:eastAsia="ヒラギノ角ゴ Pro W3" w:hAnsi="Arial" w:cs="Arial"/>
          <w:color w:val="000000"/>
          <w:sz w:val="18"/>
          <w:szCs w:val="18"/>
        </w:rPr>
        <w:fldChar w:fldCharType="end"/>
      </w:r>
      <w:r w:rsidRPr="00D93DFE">
        <w:rPr>
          <w:rFonts w:ascii="Arial" w:eastAsia="ヒラギノ角ゴ Pro W3" w:hAnsi="Arial" w:cs="Arial"/>
          <w:color w:val="000000"/>
          <w:sz w:val="18"/>
          <w:szCs w:val="18"/>
        </w:rPr>
        <w:t xml:space="preserve">.Zgodovinski pogled kaže, da so na primer že v 18. stoletju razmišljali, kako zagotoviti trajnostno gozdarstvo </w:t>
      </w:r>
      <w:r w:rsidRPr="007F272F">
        <w:rPr>
          <w:rFonts w:ascii="Arial" w:eastAsia="ヒラギノ角ゴ Pro W3" w:hAnsi="Arial" w:cs="Arial"/>
          <w:color w:val="000000"/>
          <w:sz w:val="18"/>
          <w:szCs w:val="18"/>
        </w:rPr>
        <w:fldChar w:fldCharType="begin"/>
      </w:r>
      <w:r w:rsidRPr="00D93DFE">
        <w:rPr>
          <w:rFonts w:ascii="Arial" w:eastAsia="ヒラギノ角ゴ Pro W3" w:hAnsi="Arial" w:cs="Arial"/>
          <w:color w:val="000000"/>
          <w:sz w:val="18"/>
          <w:szCs w:val="18"/>
        </w:rPr>
        <w:instrText xml:space="preserve"> ADDIN ZOTERO_ITEM CSL_CITATION {"citationID":"rg3ZAga6","properties":{"formattedCitation":"(von Carlowitz, 1713)","plainCitation":"(von Carlowitz, 1713)"},"citationItems":[{"id":5338,"uris":["http://zotero.org/groups/122386/items/6QP4TFNB"],"uri":["http://zotero.org/groups/122386/items/6QP4TFNB"],"itemData":{"id":5338,"type":"book","title":"Sylvicultura oeconomica","author":[{"family":"von Carlowitz","given":"Hans Carl"}],"issued":{"date-parts":[["1713"]]}}}],"schema":"https://github.com/citation-style-language/schema/raw/master/csl-citation.json"} </w:instrText>
      </w:r>
      <w:r w:rsidRPr="007F272F">
        <w:rPr>
          <w:rFonts w:ascii="Arial" w:eastAsia="ヒラギノ角ゴ Pro W3" w:hAnsi="Arial" w:cs="Arial"/>
          <w:color w:val="000000"/>
          <w:sz w:val="18"/>
          <w:szCs w:val="18"/>
        </w:rPr>
        <w:fldChar w:fldCharType="separate"/>
      </w:r>
      <w:r w:rsidRPr="00D93DFE">
        <w:rPr>
          <w:rFonts w:ascii="Arial" w:eastAsia="ヒラギノ角ゴ Pro W3" w:hAnsi="Arial" w:cs="Arial"/>
          <w:color w:val="000000"/>
          <w:sz w:val="18"/>
          <w:szCs w:val="18"/>
        </w:rPr>
        <w:t>(von Carlowitz, 1713)</w:t>
      </w:r>
      <w:r w:rsidRPr="007F272F">
        <w:rPr>
          <w:rFonts w:ascii="Arial" w:eastAsia="ヒラギノ角ゴ Pro W3" w:hAnsi="Arial" w:cs="Arial"/>
          <w:color w:val="000000"/>
          <w:sz w:val="18"/>
          <w:szCs w:val="18"/>
        </w:rPr>
        <w:fldChar w:fldCharType="end"/>
      </w:r>
      <w:r w:rsidRPr="00D93DFE">
        <w:rPr>
          <w:rFonts w:ascii="Arial" w:eastAsia="ヒラギノ角ゴ Pro W3" w:hAnsi="Arial" w:cs="Arial"/>
          <w:color w:val="000000"/>
          <w:sz w:val="18"/>
          <w:szCs w:val="18"/>
        </w:rPr>
        <w:t>.</w:t>
      </w:r>
    </w:p>
  </w:footnote>
  <w:footnote w:id="5">
    <w:p w:rsidR="001323F1" w:rsidRPr="00D93DFE" w:rsidRDefault="001323F1" w:rsidP="00427ED6">
      <w:pPr>
        <w:pStyle w:val="Sprotnaopomba-besedilo"/>
        <w:jc w:val="both"/>
        <w:rPr>
          <w:rFonts w:ascii="Arial" w:hAnsi="Arial" w:cs="Arial"/>
          <w:sz w:val="18"/>
          <w:szCs w:val="18"/>
        </w:rPr>
      </w:pPr>
      <w:r w:rsidRPr="00D93DFE">
        <w:rPr>
          <w:rStyle w:val="Sprotnaopomba-sklic"/>
          <w:rFonts w:ascii="Arial" w:hAnsi="Arial"/>
          <w:sz w:val="18"/>
          <w:szCs w:val="18"/>
        </w:rPr>
        <w:footnoteRef/>
      </w:r>
      <w:r w:rsidRPr="00D93DFE">
        <w:rPr>
          <w:rFonts w:ascii="Arial" w:hAnsi="Arial" w:cs="Arial"/>
          <w:sz w:val="18"/>
          <w:szCs w:val="18"/>
        </w:rPr>
        <w:t xml:space="preserve"> Več informacij na: </w:t>
      </w:r>
      <w:hyperlink r:id="rId1" w:history="1">
        <w:r w:rsidRPr="00D93DFE">
          <w:rPr>
            <w:rStyle w:val="Hiperpovezava"/>
            <w:rFonts w:ascii="Arial" w:hAnsi="Arial" w:cs="Arial"/>
            <w:sz w:val="18"/>
            <w:szCs w:val="18"/>
          </w:rPr>
          <w:t>http://www.umanotera.org/publikacija/agenda-21-za-slovenijo-prispevek-nevladnih-organizacij/</w:t>
        </w:r>
      </w:hyperlink>
      <w:r w:rsidRPr="00D93DFE">
        <w:rPr>
          <w:rFonts w:ascii="Arial" w:hAnsi="Arial" w:cs="Arial"/>
          <w:sz w:val="18"/>
          <w:szCs w:val="18"/>
        </w:rPr>
        <w:t xml:space="preserve">. </w:t>
      </w:r>
    </w:p>
  </w:footnote>
  <w:footnote w:id="6">
    <w:p w:rsidR="001323F1" w:rsidRPr="0045204E" w:rsidRDefault="001323F1" w:rsidP="008E4256">
      <w:pPr>
        <w:pStyle w:val="Sprotnaopomba-besedilo"/>
        <w:rPr>
          <w:rFonts w:ascii="Arial" w:hAnsi="Arial" w:cs="Arial"/>
          <w:sz w:val="18"/>
          <w:szCs w:val="18"/>
        </w:rPr>
      </w:pPr>
      <w:r w:rsidRPr="0045204E">
        <w:rPr>
          <w:rStyle w:val="Sprotnaopomba-sklic"/>
          <w:rFonts w:ascii="Arial" w:hAnsi="Arial"/>
          <w:sz w:val="18"/>
          <w:szCs w:val="18"/>
        </w:rPr>
        <w:footnoteRef/>
      </w:r>
      <w:r w:rsidRPr="0045204E">
        <w:rPr>
          <w:rFonts w:ascii="Arial" w:hAnsi="Arial" w:cs="Arial"/>
          <w:sz w:val="18"/>
          <w:szCs w:val="18"/>
        </w:rPr>
        <w:t xml:space="preserve"> </w:t>
      </w:r>
      <w:hyperlink r:id="rId2" w:history="1">
        <w:r w:rsidRPr="0045204E">
          <w:rPr>
            <w:rStyle w:val="Hiperpovezava"/>
            <w:rFonts w:ascii="Arial" w:hAnsi="Arial" w:cs="Arial"/>
            <w:sz w:val="18"/>
            <w:szCs w:val="18"/>
          </w:rPr>
          <w:t>http://www.eu-skladi.si/kohezija-do-2013/2014-2020/partnerski-sporazum-med-republiko-slovenijo-in-evropsko-komisijo</w:t>
        </w:r>
      </w:hyperlink>
      <w:r w:rsidRPr="0045204E">
        <w:rPr>
          <w:rFonts w:ascii="Arial" w:hAnsi="Arial" w:cs="Arial"/>
          <w:sz w:val="18"/>
          <w:szCs w:val="18"/>
        </w:rPr>
        <w:t xml:space="preserve"> </w:t>
      </w:r>
    </w:p>
  </w:footnote>
  <w:footnote w:id="7">
    <w:p w:rsidR="001323F1" w:rsidRPr="00D93DFE" w:rsidRDefault="001323F1" w:rsidP="00427ED6">
      <w:pPr>
        <w:pStyle w:val="Sprotnaopomba-besedilo"/>
        <w:rPr>
          <w:rFonts w:ascii="Arial" w:hAnsi="Arial" w:cs="Arial"/>
          <w:sz w:val="18"/>
          <w:szCs w:val="18"/>
        </w:rPr>
      </w:pPr>
      <w:r w:rsidRPr="00D93DFE">
        <w:rPr>
          <w:rStyle w:val="Sprotnaopomba-sklic"/>
          <w:rFonts w:ascii="Arial" w:hAnsi="Arial"/>
          <w:sz w:val="18"/>
          <w:szCs w:val="18"/>
        </w:rPr>
        <w:footnoteRef/>
      </w:r>
      <w:r w:rsidRPr="00D93DFE">
        <w:rPr>
          <w:rFonts w:ascii="Arial" w:hAnsi="Arial" w:cs="Arial"/>
          <w:sz w:val="18"/>
          <w:szCs w:val="18"/>
        </w:rPr>
        <w:t xml:space="preserve"> Operativni program za izvajanje evropske kohezijske politike v obdobju 2014–2020</w:t>
      </w:r>
      <w:r w:rsidRPr="00D93DFE">
        <w:rPr>
          <w:rFonts w:ascii="Arial" w:hAnsi="Arial" w:cs="Arial"/>
          <w:color w:val="141412"/>
          <w:sz w:val="18"/>
          <w:szCs w:val="18"/>
        </w:rPr>
        <w:t>:</w:t>
      </w:r>
      <w:r w:rsidRPr="00D93DFE">
        <w:rPr>
          <w:rFonts w:ascii="Arial" w:hAnsi="Arial" w:cs="Arial"/>
          <w:sz w:val="18"/>
          <w:szCs w:val="18"/>
        </w:rPr>
        <w:t xml:space="preserve"> </w:t>
      </w:r>
      <w:hyperlink r:id="rId3" w:history="1">
        <w:r w:rsidRPr="00D93DFE">
          <w:rPr>
            <w:rStyle w:val="Hiperpovezava"/>
            <w:rFonts w:ascii="Arial" w:hAnsi="Arial" w:cs="Arial"/>
            <w:sz w:val="18"/>
            <w:szCs w:val="18"/>
          </w:rPr>
          <w:t>http://www.eu-skladi.si/kohezija-do-2013/ostalo/operativni-programi/op-2014-2020-december-konni</w:t>
        </w:r>
      </w:hyperlink>
      <w:r w:rsidRPr="00D93DFE">
        <w:rPr>
          <w:rFonts w:ascii="Arial" w:hAnsi="Arial" w:cs="Arial"/>
          <w:sz w:val="18"/>
          <w:szCs w:val="18"/>
        </w:rPr>
        <w:t xml:space="preserve"> </w:t>
      </w:r>
    </w:p>
  </w:footnote>
  <w:footnote w:id="8">
    <w:p w:rsidR="001323F1" w:rsidRPr="00D93DFE" w:rsidRDefault="001323F1" w:rsidP="00427ED6">
      <w:pPr>
        <w:pStyle w:val="Sprotnaopomba-besedilo"/>
        <w:rPr>
          <w:rFonts w:ascii="Arial" w:hAnsi="Arial" w:cs="Arial"/>
          <w:sz w:val="18"/>
          <w:szCs w:val="18"/>
        </w:rPr>
      </w:pPr>
      <w:r w:rsidRPr="00D93DFE">
        <w:rPr>
          <w:rStyle w:val="Sprotnaopomba-sklic"/>
          <w:rFonts w:ascii="Arial" w:hAnsi="Arial"/>
          <w:sz w:val="18"/>
          <w:szCs w:val="18"/>
        </w:rPr>
        <w:footnoteRef/>
      </w:r>
      <w:r w:rsidRPr="00D93DFE">
        <w:rPr>
          <w:rFonts w:ascii="Arial" w:hAnsi="Arial" w:cs="Arial"/>
          <w:sz w:val="18"/>
          <w:szCs w:val="18"/>
        </w:rPr>
        <w:t xml:space="preserve"> </w:t>
      </w:r>
      <w:hyperlink r:id="rId4" w:history="1">
        <w:r w:rsidRPr="00D93DFE">
          <w:rPr>
            <w:rStyle w:val="Hiperpovezava"/>
            <w:rFonts w:ascii="Arial" w:hAnsi="Arial" w:cs="Arial"/>
            <w:sz w:val="18"/>
            <w:szCs w:val="18"/>
          </w:rPr>
          <w:t>http://www.program-podezelja.si/sl/</w:t>
        </w:r>
      </w:hyperlink>
      <w:r w:rsidRPr="00D93DFE">
        <w:rPr>
          <w:rFonts w:ascii="Arial" w:hAnsi="Arial" w:cs="Arial"/>
          <w:sz w:val="18"/>
          <w:szCs w:val="18"/>
        </w:rPr>
        <w:t xml:space="preserve"> </w:t>
      </w:r>
    </w:p>
  </w:footnote>
  <w:footnote w:id="9">
    <w:p w:rsidR="001323F1" w:rsidRPr="00D93DFE" w:rsidRDefault="001323F1" w:rsidP="00427ED6">
      <w:pPr>
        <w:pStyle w:val="Sprotnaopomba-besedilo"/>
        <w:jc w:val="both"/>
        <w:rPr>
          <w:rFonts w:ascii="Arial" w:hAnsi="Arial" w:cs="Arial"/>
          <w:sz w:val="18"/>
          <w:szCs w:val="18"/>
        </w:rPr>
      </w:pPr>
      <w:r w:rsidRPr="00D93DFE">
        <w:rPr>
          <w:rStyle w:val="Sprotnaopomba-sklic"/>
          <w:rFonts w:ascii="Arial" w:hAnsi="Arial"/>
          <w:sz w:val="18"/>
          <w:szCs w:val="18"/>
        </w:rPr>
        <w:footnoteRef/>
      </w:r>
      <w:r w:rsidRPr="00D93DFE">
        <w:rPr>
          <w:rFonts w:ascii="Arial" w:hAnsi="Arial" w:cs="Arial"/>
          <w:sz w:val="18"/>
          <w:szCs w:val="18"/>
        </w:rPr>
        <w:t xml:space="preserve"> Sodelovali so še Ministrstvo za gospodarski razvoj in tehnologijo, Skupnost občin Slovenije, Ministrstvo za zunanje zadeve, Služba vlade za razvoj in kohezijsko politiko ter številni drugi soustvarjalci trajnostne razvojne poti. Posvet je bil uvod v številne dogodke </w:t>
      </w:r>
      <w:hyperlink r:id="rId5" w:history="1">
        <w:r w:rsidRPr="00D93DFE">
          <w:rPr>
            <w:rStyle w:val="Hiperpovezava"/>
            <w:rFonts w:ascii="Arial" w:hAnsi="Arial" w:cs="Arial"/>
            <w:sz w:val="18"/>
            <w:szCs w:val="18"/>
          </w:rPr>
          <w:t>evropskega tedna trajnostnega razvoja</w:t>
        </w:r>
      </w:hyperlink>
      <w:r w:rsidRPr="00D93DFE">
        <w:rPr>
          <w:rFonts w:ascii="Arial" w:hAnsi="Arial" w:cs="Arial"/>
          <w:sz w:val="18"/>
          <w:szCs w:val="18"/>
        </w:rPr>
        <w:t xml:space="preserve"> (European Sustainable Development Week), v katerem je sodelovalo 39 držav EU in smo ga v Sloveniji izvedli prvič. Gradiva s posveta so objavljena na spletni strani MOP ob novici o posvetu:</w:t>
      </w:r>
    </w:p>
    <w:p w:rsidR="001323F1" w:rsidRPr="00D93DFE" w:rsidRDefault="00CF5505" w:rsidP="00427ED6">
      <w:pPr>
        <w:pStyle w:val="Sprotnaopomba-besedilo"/>
        <w:rPr>
          <w:rFonts w:ascii="Arial" w:hAnsi="Arial" w:cs="Arial"/>
          <w:sz w:val="18"/>
          <w:szCs w:val="18"/>
        </w:rPr>
      </w:pPr>
      <w:hyperlink r:id="rId6" w:history="1">
        <w:r w:rsidR="001323F1" w:rsidRPr="00D93DFE">
          <w:rPr>
            <w:rStyle w:val="Hiperpovezava"/>
            <w:rFonts w:ascii="Arial" w:hAnsi="Arial" w:cs="Arial"/>
            <w:sz w:val="18"/>
            <w:szCs w:val="18"/>
          </w:rPr>
          <w:t>http://www.mop.gov.si/si/medijsko_sredisce/novica/browse/4/article/12447/6066/570ae0d4ae014ee5bbe6c801b4493721/</w:t>
        </w:r>
      </w:hyperlink>
    </w:p>
  </w:footnote>
  <w:footnote w:id="10">
    <w:p w:rsidR="001323F1" w:rsidRPr="008E5737" w:rsidRDefault="001323F1" w:rsidP="00427ED6">
      <w:pPr>
        <w:jc w:val="both"/>
        <w:rPr>
          <w:rFonts w:cs="Arial"/>
          <w:sz w:val="18"/>
          <w:szCs w:val="18"/>
          <w:lang w:val="sl-SI"/>
        </w:rPr>
      </w:pPr>
      <w:r w:rsidRPr="008E5737">
        <w:rPr>
          <w:rStyle w:val="Sprotnaopomba-sklic"/>
          <w:sz w:val="18"/>
          <w:szCs w:val="18"/>
          <w:lang w:val="sl-SI"/>
        </w:rPr>
        <w:footnoteRef/>
      </w:r>
      <w:r w:rsidRPr="008E5737">
        <w:rPr>
          <w:rFonts w:cs="Arial"/>
          <w:sz w:val="18"/>
          <w:szCs w:val="18"/>
          <w:lang w:val="sl-SI"/>
        </w:rPr>
        <w:t xml:space="preserve"> Socialna razsežnost je manj pomembna pri sorodnem konceptu </w:t>
      </w:r>
      <w:r w:rsidRPr="008E5737">
        <w:rPr>
          <w:rFonts w:cs="Arial"/>
          <w:b/>
          <w:sz w:val="18"/>
          <w:szCs w:val="18"/>
          <w:lang w:val="sl-SI"/>
        </w:rPr>
        <w:t>zelene rasti</w:t>
      </w:r>
      <w:r w:rsidRPr="008E5737">
        <w:rPr>
          <w:rFonts w:cs="Arial"/>
          <w:sz w:val="18"/>
          <w:szCs w:val="18"/>
          <w:lang w:val="sl-SI"/>
        </w:rPr>
        <w:t xml:space="preserve">, ki ga je uvedla Organizacija za gospodarsko sodelovanje in razvoj (OECD). </w:t>
      </w:r>
    </w:p>
    <w:p w:rsidR="001323F1" w:rsidRPr="00D93DFE" w:rsidRDefault="001323F1" w:rsidP="00427ED6">
      <w:pPr>
        <w:pStyle w:val="StyleBodyTextLinespacingMultiple105li"/>
        <w:spacing w:after="0"/>
        <w:rPr>
          <w:rFonts w:ascii="Arial" w:hAnsi="Arial" w:cs="Arial"/>
          <w:sz w:val="18"/>
          <w:szCs w:val="18"/>
        </w:rPr>
      </w:pPr>
    </w:p>
  </w:footnote>
  <w:footnote w:id="11">
    <w:p w:rsidR="001323F1" w:rsidRPr="00D93DFE" w:rsidRDefault="001323F1" w:rsidP="00427ED6">
      <w:pPr>
        <w:pStyle w:val="Sprotnaopomba-besedilo"/>
        <w:jc w:val="both"/>
        <w:rPr>
          <w:rFonts w:ascii="Arial" w:hAnsi="Arial" w:cs="Arial"/>
          <w:sz w:val="18"/>
          <w:szCs w:val="18"/>
        </w:rPr>
      </w:pPr>
      <w:r w:rsidRPr="00D93DFE">
        <w:rPr>
          <w:rStyle w:val="Sprotnaopomba-sklic"/>
          <w:rFonts w:ascii="Arial" w:hAnsi="Arial"/>
          <w:sz w:val="18"/>
          <w:szCs w:val="18"/>
        </w:rPr>
        <w:footnoteRef/>
      </w:r>
      <w:hyperlink r:id="rId7" w:history="1">
        <w:r w:rsidRPr="00D93DFE">
          <w:rPr>
            <w:rStyle w:val="Hiperpovezava"/>
            <w:rFonts w:ascii="Arial" w:hAnsi="Arial" w:cs="Arial"/>
            <w:sz w:val="18"/>
            <w:szCs w:val="18"/>
          </w:rPr>
          <w:t>http://www.mop.gov.si/fileadmin/mop.gov.si/pageuploads/pomembni_dokumenti/opzg_akcijski_nacrt_in_nacrt_aktivnosti.pdf</w:t>
        </w:r>
      </w:hyperlink>
    </w:p>
  </w:footnote>
  <w:footnote w:id="12">
    <w:p w:rsidR="001323F1" w:rsidRPr="00D93DFE" w:rsidRDefault="001323F1" w:rsidP="00427ED6">
      <w:pPr>
        <w:pStyle w:val="Sprotnaopomba-besedilo"/>
        <w:rPr>
          <w:rFonts w:ascii="Arial" w:hAnsi="Arial" w:cs="Arial"/>
          <w:sz w:val="18"/>
          <w:szCs w:val="18"/>
        </w:rPr>
      </w:pPr>
      <w:r w:rsidRPr="00D93DFE">
        <w:rPr>
          <w:rStyle w:val="Sprotnaopomba-sklic"/>
          <w:rFonts w:ascii="Arial" w:hAnsi="Arial"/>
          <w:sz w:val="18"/>
          <w:szCs w:val="18"/>
        </w:rPr>
        <w:footnoteRef/>
      </w:r>
      <w:r w:rsidRPr="00D93DFE">
        <w:rPr>
          <w:rFonts w:ascii="Arial" w:hAnsi="Arial" w:cs="Arial"/>
          <w:sz w:val="18"/>
          <w:szCs w:val="18"/>
        </w:rPr>
        <w:t xml:space="preserve"> Slovenska strategija pametne specializacije,: </w:t>
      </w:r>
      <w:hyperlink r:id="rId8" w:history="1">
        <w:r w:rsidRPr="00D93DFE">
          <w:rPr>
            <w:rStyle w:val="Hiperpovezava"/>
            <w:rFonts w:ascii="Arial" w:hAnsi="Arial" w:cs="Arial"/>
            <w:sz w:val="18"/>
            <w:szCs w:val="18"/>
          </w:rPr>
          <w:t>http://www.svrk.gov.si/fileadmin/svrk.gov.si/pageuploads/Dokumenti_za_objavo_na_vstopni_strani/S4_dokument_potrjeno_na_VRS_150920.pdf</w:t>
        </w:r>
      </w:hyperlink>
      <w:r w:rsidRPr="00D93DFE">
        <w:rPr>
          <w:rFonts w:ascii="Arial" w:hAnsi="Arial" w:cs="Arial"/>
          <w:sz w:val="18"/>
          <w:szCs w:val="18"/>
        </w:rPr>
        <w:t xml:space="preserve">,  ki sta jo sprejeli Vlada RS dne 20. 9. 2015 in Evropska komisija 3. 11. 2015. </w:t>
      </w:r>
    </w:p>
  </w:footnote>
  <w:footnote w:id="13">
    <w:p w:rsidR="001323F1" w:rsidRPr="008E5737" w:rsidRDefault="001323F1" w:rsidP="00427ED6">
      <w:pPr>
        <w:shd w:val="clear" w:color="auto" w:fill="FFFFFF"/>
        <w:jc w:val="both"/>
        <w:rPr>
          <w:rFonts w:cs="Arial"/>
          <w:sz w:val="18"/>
          <w:szCs w:val="18"/>
          <w:lang w:val="sl-SI"/>
        </w:rPr>
      </w:pPr>
      <w:r w:rsidRPr="008E5737">
        <w:rPr>
          <w:rStyle w:val="Sprotnaopomba-sklic"/>
          <w:sz w:val="18"/>
          <w:szCs w:val="18"/>
          <w:lang w:val="sl-SI"/>
        </w:rPr>
        <w:footnoteRef/>
      </w:r>
      <w:r w:rsidRPr="008E5737">
        <w:rPr>
          <w:rFonts w:cs="Arial"/>
          <w:sz w:val="18"/>
          <w:szCs w:val="18"/>
          <w:lang w:val="sl-SI"/>
        </w:rPr>
        <w:t xml:space="preserve"> Kot je na primer </w:t>
      </w:r>
      <w:r w:rsidRPr="008E5737">
        <w:rPr>
          <w:rFonts w:cs="Arial"/>
          <w:b/>
          <w:sz w:val="18"/>
          <w:szCs w:val="18"/>
          <w:lang w:val="sl-SI"/>
        </w:rPr>
        <w:t xml:space="preserve">slovenska industrijska politika (SIP) </w:t>
      </w:r>
      <w:r w:rsidRPr="008E5737">
        <w:rPr>
          <w:rFonts w:cs="Arial"/>
          <w:sz w:val="18"/>
          <w:szCs w:val="18"/>
          <w:lang w:val="sl-SI"/>
        </w:rPr>
        <w:t xml:space="preserve">(ki jo je sprejela Vlada RS februarja 2013), katere usmeritev v zeleno rast odraža tudi izhodiščna vizija: »Slovenska industrijska politika bo, preko izboljšanja poslovnega okolja, podpore podjetništvu in inovacijam ter preko razvoja perspektivnih tehnoloških in industrijskih področij, ki odgovarjajo na družbene izzive, ustvarila pogoje za kontinuirano prestrukturiranje obstoječe industrije v energetsko, materialno, okoljsko in družbeno učinkovito industrijo znanja in inovativnosti za nova, trajnejša in kvalitetnejša delovna mesta ter večjo vpetost v mednarodne tokove poslovanja.« </w:t>
      </w:r>
    </w:p>
    <w:p w:rsidR="001323F1" w:rsidRPr="008E5737" w:rsidRDefault="001323F1" w:rsidP="00427ED6">
      <w:pPr>
        <w:shd w:val="clear" w:color="auto" w:fill="FFFFFF"/>
        <w:jc w:val="both"/>
        <w:rPr>
          <w:rFonts w:cs="Arial"/>
          <w:sz w:val="18"/>
          <w:szCs w:val="18"/>
          <w:lang w:val="sl-SI"/>
        </w:rPr>
      </w:pPr>
      <w:r w:rsidRPr="008E5737">
        <w:rPr>
          <w:rFonts w:cs="Arial"/>
          <w:sz w:val="18"/>
          <w:szCs w:val="18"/>
          <w:lang w:val="sl-SI"/>
        </w:rPr>
        <w:t>(</w:t>
      </w:r>
      <w:hyperlink r:id="rId9" w:history="1">
        <w:r w:rsidRPr="008E5737">
          <w:rPr>
            <w:rStyle w:val="Hiperpovezava"/>
            <w:rFonts w:cs="Arial"/>
            <w:sz w:val="18"/>
            <w:szCs w:val="18"/>
            <w:lang w:val="sl-SI"/>
          </w:rPr>
          <w:t>http://www.mgrt.gov.si/fileadmin/mgrt.gov.si/pageuploads/DPK/SIP/SIP_-_vladni_dokument.pdf</w:t>
        </w:r>
      </w:hyperlink>
      <w:r w:rsidRPr="008E5737">
        <w:rPr>
          <w:rFonts w:cs="Arial"/>
          <w:sz w:val="18"/>
          <w:szCs w:val="18"/>
          <w:lang w:val="sl-SI"/>
        </w:rPr>
        <w:t>)</w:t>
      </w:r>
    </w:p>
  </w:footnote>
  <w:footnote w:id="14">
    <w:p w:rsidR="001323F1" w:rsidRPr="008E5737" w:rsidRDefault="001323F1" w:rsidP="00427ED6">
      <w:pPr>
        <w:jc w:val="both"/>
        <w:rPr>
          <w:rFonts w:cs="Arial"/>
          <w:sz w:val="18"/>
          <w:szCs w:val="18"/>
          <w:lang w:val="sl-SI"/>
        </w:rPr>
      </w:pPr>
      <w:r w:rsidRPr="008E5737">
        <w:rPr>
          <w:rFonts w:eastAsia="Arial Unicode MS" w:cs="Arial"/>
          <w:kern w:val="2"/>
          <w:sz w:val="18"/>
          <w:szCs w:val="18"/>
          <w:vertAlign w:val="superscript"/>
          <w:lang w:val="sl-SI"/>
        </w:rPr>
        <w:footnoteRef/>
      </w:r>
      <w:r w:rsidRPr="008E5737">
        <w:rPr>
          <w:rFonts w:eastAsia="Arial Unicode MS" w:cs="Arial"/>
          <w:kern w:val="2"/>
          <w:sz w:val="18"/>
          <w:szCs w:val="18"/>
          <w:lang w:val="sl-SI"/>
        </w:rPr>
        <w:t xml:space="preserve"> V letu 2016 sta Ministrstvo za izobraževanje, znanost in šport ter Ministrstvo za gospodarski razvoj in tehnologijo na tej podlagi že izvedla skupni javni razpis za »RRI v verigah in mrežah vrednosti«.</w:t>
      </w:r>
    </w:p>
  </w:footnote>
  <w:footnote w:id="15">
    <w:p w:rsidR="001323F1" w:rsidRPr="00D93DFE" w:rsidRDefault="001323F1" w:rsidP="00AA0294">
      <w:pPr>
        <w:pStyle w:val="Sprotnaopomba-besedilo"/>
      </w:pPr>
      <w:r w:rsidRPr="00D93DFE">
        <w:rPr>
          <w:rStyle w:val="Sprotnaopomba-sklic"/>
        </w:rPr>
        <w:footnoteRef/>
      </w:r>
      <w:r w:rsidRPr="00D93DFE">
        <w:t xml:space="preserve"> P</w:t>
      </w:r>
      <w:r w:rsidRPr="00D93DFE">
        <w:rPr>
          <w:rFonts w:eastAsia="Times New Roman" w:cstheme="minorHAnsi"/>
          <w:lang w:eastAsia="sl-SI"/>
        </w:rPr>
        <w:t>odatki Gozdarskega inštituta Slovenije</w:t>
      </w:r>
    </w:p>
  </w:footnote>
  <w:footnote w:id="16">
    <w:p w:rsidR="001323F1" w:rsidRPr="00D93DFE" w:rsidRDefault="001323F1" w:rsidP="00AA0294">
      <w:pPr>
        <w:pStyle w:val="Sprotnaopomba-besedilo"/>
      </w:pPr>
      <w:r w:rsidRPr="00D93DFE">
        <w:rPr>
          <w:rStyle w:val="Sprotnaopomba-sklic"/>
        </w:rPr>
        <w:footnoteRef/>
      </w:r>
      <w:r w:rsidRPr="00D93DFE">
        <w:t xml:space="preserve"> združeno za alpsko in celinsko biogeografsko regijo</w:t>
      </w:r>
    </w:p>
  </w:footnote>
  <w:footnote w:id="17">
    <w:p w:rsidR="001323F1" w:rsidRPr="00D93DFE" w:rsidRDefault="001323F1" w:rsidP="00AA0294">
      <w:pPr>
        <w:pStyle w:val="Sprotnaopomba-besedilo"/>
      </w:pPr>
      <w:r w:rsidRPr="00D93DFE">
        <w:rPr>
          <w:rStyle w:val="Sprotnaopomba-sklic"/>
        </w:rPr>
        <w:footnoteRef/>
      </w:r>
      <w:r w:rsidRPr="00D93DFE">
        <w:t xml:space="preserve"> združeno za alpsko in celinsko biogegografsko regijo</w:t>
      </w:r>
    </w:p>
  </w:footnote>
  <w:footnote w:id="18">
    <w:p w:rsidR="001323F1" w:rsidRPr="00D93DFE" w:rsidRDefault="001323F1" w:rsidP="002F73CD">
      <w:pPr>
        <w:pStyle w:val="Sprotnaopomba-besedilo"/>
      </w:pPr>
      <w:r w:rsidRPr="00D93DFE">
        <w:rPr>
          <w:rStyle w:val="Sprotnaopomba-sklic"/>
        </w:rPr>
        <w:footnoteRef/>
      </w:r>
      <w:r w:rsidRPr="00D93DFE">
        <w:t xml:space="preserve"> </w:t>
      </w:r>
      <w:r w:rsidRPr="00D93DFE">
        <w:rPr>
          <w:sz w:val="16"/>
          <w:szCs w:val="16"/>
        </w:rPr>
        <w:t>http://www.mop.gov.si/fileadmin/mop.gov.si/pageuploads/pomembni_dokumenti/opzg_akcijski_nacrt_in_nacrt_aktivnosti.pdf</w:t>
      </w:r>
    </w:p>
  </w:footnote>
  <w:footnote w:id="19">
    <w:p w:rsidR="001323F1" w:rsidRPr="00D93DFE" w:rsidRDefault="001323F1" w:rsidP="002F73CD">
      <w:pPr>
        <w:pStyle w:val="Sprotnaopomba-besedilo"/>
      </w:pPr>
      <w:r w:rsidRPr="00D93DFE">
        <w:rPr>
          <w:rStyle w:val="Sprotnaopomba-sklic"/>
        </w:rPr>
        <w:footnoteRef/>
      </w:r>
      <w:r w:rsidRPr="00D93DFE">
        <w:t xml:space="preserve"> </w:t>
      </w:r>
      <w:r w:rsidRPr="00D93DFE">
        <w:rPr>
          <w:sz w:val="16"/>
          <w:szCs w:val="16"/>
        </w:rPr>
        <w:t>http://www.svrk.gov.si/fileadmin/svrk.gov.si/pageuploads/Dokumenti_za_objavo_na_vstopni_strani/S4_dokument_potrjeno_na_VRS_150920.pdf</w:t>
      </w:r>
    </w:p>
  </w:footnote>
  <w:footnote w:id="20">
    <w:p w:rsidR="001323F1" w:rsidRPr="00D93DFE" w:rsidRDefault="001323F1" w:rsidP="002F73CD">
      <w:pPr>
        <w:pStyle w:val="Sprotnaopomba-besedilo"/>
      </w:pPr>
      <w:r w:rsidRPr="00D93DFE">
        <w:rPr>
          <w:rStyle w:val="Sprotnaopomba-sklic"/>
        </w:rPr>
        <w:footnoteRef/>
      </w:r>
      <w:r w:rsidRPr="00D93DFE">
        <w:t xml:space="preserve"> </w:t>
      </w:r>
      <w:r w:rsidRPr="00D93DFE">
        <w:rPr>
          <w:sz w:val="16"/>
          <w:szCs w:val="16"/>
        </w:rPr>
        <w:t>Domača poraba snovi (DPS) meri celotne količine snovi (trdne, tekoče in plinaste), pridobljene iz naravnih virov (domači naravni viri + uvoz - izvoz), ki vstopajo v proizvodne in potrošne procese države v enem letu (razen vode in zraka, ki nista vsebovana v snovi). Neposredne snovne tokove delimo na šest glavnih skupin: biomasa (iz kmetijstva, gozdarstva, ribištva ter lova in nabiranja), kovinske in nekovinske mineralne surovine, fosilne energetske surovine, odpadki in drugo. Vir: ARSO, Kazalci okolja http://kazalci.arso.gov.si/?data=indicator&amp;ind_id=656</w:t>
      </w:r>
    </w:p>
  </w:footnote>
  <w:footnote w:id="21">
    <w:p w:rsidR="001323F1" w:rsidRPr="00D93DFE" w:rsidRDefault="001323F1" w:rsidP="002F73CD">
      <w:pPr>
        <w:pStyle w:val="Sprotnaopomba-besedilo"/>
      </w:pPr>
      <w:r w:rsidRPr="00D93DFE">
        <w:rPr>
          <w:rStyle w:val="Sprotnaopomba-sklic"/>
        </w:rPr>
        <w:footnoteRef/>
      </w:r>
      <w:r w:rsidRPr="00D93DFE">
        <w:t xml:space="preserve"> Podatki so povzeti po Evropski okoljski agenciji: Country profile Slovenia: 2015 review of material resource efficiency policies in Europe.</w:t>
      </w:r>
    </w:p>
  </w:footnote>
  <w:footnote w:id="22">
    <w:p w:rsidR="001323F1" w:rsidRPr="00D93DFE" w:rsidRDefault="001323F1" w:rsidP="002F73CD">
      <w:pPr>
        <w:pStyle w:val="Sprotnaopomba-besedilo"/>
        <w:ind w:left="113" w:hanging="113"/>
        <w:rPr>
          <w:sz w:val="16"/>
          <w:szCs w:val="16"/>
        </w:rPr>
      </w:pPr>
      <w:r w:rsidRPr="00D93DFE">
        <w:rPr>
          <w:rStyle w:val="Sprotnaopomba-sklic"/>
        </w:rPr>
        <w:footnoteRef/>
      </w:r>
      <w:r w:rsidRPr="00D93DFE">
        <w:rPr>
          <w:sz w:val="16"/>
          <w:szCs w:val="16"/>
        </w:rPr>
        <w:t xml:space="preserve"> </w:t>
      </w:r>
      <w:hyperlink r:id="rId10" w:history="1">
        <w:r w:rsidRPr="00D93DFE">
          <w:rPr>
            <w:rStyle w:val="Hiperpovezava"/>
          </w:rPr>
          <w:t>The Flash 426 Eurobarometer</w:t>
        </w:r>
      </w:hyperlink>
      <w:r w:rsidRPr="00D93DFE">
        <w:rPr>
          <w:sz w:val="16"/>
          <w:szCs w:val="16"/>
        </w:rPr>
        <w:t xml:space="preserve"> "SMEs, resource efficiency and green markets", 2015.</w:t>
      </w:r>
    </w:p>
  </w:footnote>
  <w:footnote w:id="23">
    <w:p w:rsidR="001323F1" w:rsidRPr="00D93DFE" w:rsidRDefault="001323F1" w:rsidP="002F73CD">
      <w:pPr>
        <w:pStyle w:val="Sprotnaopomba-besedilo"/>
      </w:pPr>
      <w:r w:rsidRPr="00D93DFE">
        <w:rPr>
          <w:rStyle w:val="Sprotnaopomba-sklic"/>
        </w:rPr>
        <w:footnoteRef/>
      </w:r>
      <w:r w:rsidRPr="00D93DFE">
        <w:t xml:space="preserve"> </w:t>
      </w:r>
      <w:r w:rsidRPr="00D93DFE">
        <w:rPr>
          <w:sz w:val="16"/>
          <w:szCs w:val="16"/>
        </w:rPr>
        <w:t>V raziskavi uporabljajo to opredelitev zelenega delovnega mesta : zeleno delovno mesto je zaposlitev, ki je neposredno povezana z informacijami, tehnologijami ali materiali, ki ohranjajo ali vzpostavljajo kakovost okolja.  To zahteva specializirane veščine, znanje, usposabljanje ali izkušnje (npr. preverjeno poznavanje okoljske zakonodaje, spremljanje učinkovite rabe virov znotraj podjetja, promocija in prodaja zelenih izdelkov in storitev).</w:t>
      </w:r>
    </w:p>
  </w:footnote>
  <w:footnote w:id="24">
    <w:p w:rsidR="001323F1" w:rsidRPr="00D93DFE" w:rsidRDefault="001323F1" w:rsidP="00072419">
      <w:pPr>
        <w:pStyle w:val="Sprotnaopomba-besedilo"/>
        <w:rPr>
          <w:rFonts w:ascii="Arial" w:hAnsi="Arial" w:cs="Arial"/>
          <w:sz w:val="16"/>
          <w:szCs w:val="16"/>
        </w:rPr>
      </w:pPr>
      <w:r w:rsidRPr="00D93DFE">
        <w:rPr>
          <w:rStyle w:val="Sprotnaopomba-sklic"/>
          <w:rFonts w:ascii="Arial" w:hAnsi="Arial"/>
          <w:sz w:val="16"/>
          <w:szCs w:val="16"/>
        </w:rPr>
        <w:footnoteRef/>
      </w:r>
      <w:hyperlink r:id="rId11" w:history="1">
        <w:r w:rsidRPr="00D93DFE">
          <w:rPr>
            <w:rStyle w:val="Hiperpovezava"/>
            <w:rFonts w:ascii="Arial" w:hAnsi="Arial" w:cs="Arial"/>
            <w:sz w:val="16"/>
            <w:szCs w:val="16"/>
          </w:rPr>
          <w:t>http://cdr.eionet.europa.eu/si/eu/mmr/art07_inventory/ghg_inventory/envv2ezfg/SVN_2016_2014_13062016_144354_submitted.xlsx/manage_document</w:t>
        </w:r>
      </w:hyperlink>
      <w:r w:rsidRPr="00D93DFE">
        <w:rPr>
          <w:rFonts w:ascii="Arial" w:hAnsi="Arial" w:cs="Arial"/>
          <w:sz w:val="16"/>
          <w:szCs w:val="16"/>
        </w:rPr>
        <w:t xml:space="preserve">, </w:t>
      </w:r>
    </w:p>
  </w:footnote>
  <w:footnote w:id="25">
    <w:p w:rsidR="001323F1" w:rsidRPr="00D93DFE" w:rsidRDefault="001323F1" w:rsidP="00072419">
      <w:pPr>
        <w:pStyle w:val="Sprotnaopomba-besedilo"/>
        <w:rPr>
          <w:rFonts w:ascii="Arial" w:hAnsi="Arial" w:cs="Arial"/>
          <w:sz w:val="16"/>
          <w:szCs w:val="16"/>
        </w:rPr>
      </w:pPr>
      <w:r w:rsidRPr="00D93DFE">
        <w:rPr>
          <w:rStyle w:val="Sprotnaopomba-sklic"/>
          <w:rFonts w:ascii="Arial" w:hAnsi="Arial"/>
          <w:sz w:val="16"/>
          <w:szCs w:val="16"/>
        </w:rPr>
        <w:footnoteRef/>
      </w:r>
      <w:r w:rsidRPr="00D93DFE">
        <w:rPr>
          <w:rFonts w:ascii="Arial" w:hAnsi="Arial" w:cs="Arial"/>
          <w:sz w:val="16"/>
          <w:szCs w:val="16"/>
        </w:rPr>
        <w:t xml:space="preserve"> </w:t>
      </w:r>
      <w:hyperlink r:id="rId12" w:history="1">
        <w:r w:rsidRPr="00D93DFE">
          <w:rPr>
            <w:rStyle w:val="Hiperpovezava"/>
            <w:rFonts w:ascii="Arial" w:hAnsi="Arial" w:cs="Arial"/>
            <w:bCs/>
            <w:sz w:val="16"/>
            <w:szCs w:val="16"/>
          </w:rPr>
          <w:t>http://www.ipcc</w:t>
        </w:r>
        <w:r w:rsidRPr="00D93DFE">
          <w:rPr>
            <w:rStyle w:val="Hiperpovezava"/>
            <w:rFonts w:ascii="Cambria Math" w:hAnsi="Cambria Math" w:cs="Cambria Math"/>
            <w:bCs/>
            <w:sz w:val="16"/>
            <w:szCs w:val="16"/>
          </w:rPr>
          <w:t>‐</w:t>
        </w:r>
        <w:r w:rsidRPr="00D93DFE">
          <w:rPr>
            <w:rStyle w:val="Hiperpovezava"/>
            <w:rFonts w:ascii="Arial" w:hAnsi="Arial" w:cs="Arial"/>
            <w:bCs/>
            <w:sz w:val="16"/>
            <w:szCs w:val="16"/>
          </w:rPr>
          <w:t>nggip.iges.or.jp/public/2006gl/</w:t>
        </w:r>
      </w:hyperlink>
    </w:p>
  </w:footnote>
  <w:footnote w:id="26">
    <w:p w:rsidR="001323F1" w:rsidRPr="00D93DFE" w:rsidRDefault="001323F1" w:rsidP="00072419">
      <w:pPr>
        <w:pStyle w:val="Sprotnaopomba-besedilo"/>
        <w:rPr>
          <w:rFonts w:ascii="Arial" w:hAnsi="Arial" w:cs="Arial"/>
          <w:sz w:val="16"/>
          <w:szCs w:val="16"/>
        </w:rPr>
      </w:pPr>
      <w:r w:rsidRPr="00D93DFE">
        <w:rPr>
          <w:rStyle w:val="Sprotnaopomba-sklic"/>
          <w:rFonts w:ascii="Arial" w:hAnsi="Arial"/>
          <w:sz w:val="16"/>
          <w:szCs w:val="16"/>
        </w:rPr>
        <w:footnoteRef/>
      </w:r>
      <w:r w:rsidRPr="00D93DFE">
        <w:rPr>
          <w:rFonts w:ascii="Arial" w:hAnsi="Arial" w:cs="Arial"/>
          <w:sz w:val="16"/>
          <w:szCs w:val="16"/>
        </w:rPr>
        <w:t xml:space="preserve"> </w:t>
      </w:r>
      <w:r w:rsidRPr="00D93DFE">
        <w:rPr>
          <w:rFonts w:ascii="Arial" w:eastAsia="Times New Roman" w:hAnsi="Arial" w:cs="Arial"/>
          <w:sz w:val="16"/>
          <w:szCs w:val="16"/>
        </w:rPr>
        <w:t>Tona naftnega ekvivalenta (toe) je energijska enota, opredeljena kot količina energije, ki se sprosti pri zgorevanju ene tone surove nafte.</w:t>
      </w:r>
    </w:p>
  </w:footnote>
  <w:footnote w:id="27">
    <w:p w:rsidR="001323F1" w:rsidRPr="00D93DFE" w:rsidRDefault="001323F1" w:rsidP="00072419">
      <w:pPr>
        <w:pStyle w:val="Sprotnaopomba-besedilo"/>
        <w:rPr>
          <w:rFonts w:ascii="Arial" w:hAnsi="Arial" w:cs="Arial"/>
          <w:sz w:val="16"/>
          <w:szCs w:val="16"/>
        </w:rPr>
      </w:pPr>
      <w:r w:rsidRPr="00D93DFE">
        <w:rPr>
          <w:rStyle w:val="Sprotnaopomba-sklic"/>
          <w:rFonts w:ascii="Arial" w:hAnsi="Arial"/>
          <w:sz w:val="16"/>
          <w:szCs w:val="16"/>
        </w:rPr>
        <w:footnoteRef/>
      </w:r>
      <w:r w:rsidRPr="00D93DFE">
        <w:rPr>
          <w:rFonts w:ascii="Arial" w:hAnsi="Arial" w:cs="Arial"/>
          <w:sz w:val="16"/>
          <w:szCs w:val="16"/>
        </w:rPr>
        <w:t xml:space="preserve"> http://www.vlada.si/fileadmin/dokumenti/si/projekti/2009/podnebne/op_toplogredni_plini2012_1.pdf</w:t>
      </w:r>
    </w:p>
  </w:footnote>
  <w:footnote w:id="28">
    <w:p w:rsidR="001323F1" w:rsidRPr="00D93DFE" w:rsidRDefault="001323F1" w:rsidP="00072419">
      <w:pPr>
        <w:pStyle w:val="Sprotnaopomba-besedilo"/>
        <w:rPr>
          <w:rFonts w:ascii="Arial" w:hAnsi="Arial" w:cs="Arial"/>
          <w:sz w:val="16"/>
          <w:szCs w:val="16"/>
        </w:rPr>
      </w:pPr>
      <w:r w:rsidRPr="00D93DFE">
        <w:rPr>
          <w:rStyle w:val="Sprotnaopomba-sklic"/>
          <w:rFonts w:ascii="Arial" w:hAnsi="Arial"/>
          <w:sz w:val="16"/>
          <w:szCs w:val="16"/>
        </w:rPr>
        <w:footnoteRef/>
      </w:r>
      <w:r w:rsidRPr="00D93DFE">
        <w:rPr>
          <w:rFonts w:ascii="Arial" w:hAnsi="Arial" w:cs="Arial"/>
          <w:sz w:val="16"/>
          <w:szCs w:val="16"/>
        </w:rPr>
        <w:t xml:space="preserve"> </w:t>
      </w:r>
      <w:r w:rsidRPr="00D93DFE">
        <w:rPr>
          <w:rStyle w:val="textregular"/>
          <w:rFonts w:ascii="Arial" w:hAnsi="Arial" w:cs="Arial"/>
          <w:sz w:val="16"/>
          <w:szCs w:val="16"/>
        </w:rPr>
        <w:t xml:space="preserve">Odločba št. 406/2009/ES Evropskega parlamenta in Sveta z dne 23. aprila 2009 o prizadevanju držav članic za zmanjšanje emisij toplogrednih plinov, da do leta 2020 izpolnijo zavezo Skupnosti za zmanjšanje emisij toplogrednih plinov </w:t>
      </w:r>
      <w:r w:rsidRPr="00D93DFE">
        <w:rPr>
          <w:rFonts w:ascii="Arial" w:hAnsi="Arial" w:cs="Arial"/>
          <w:sz w:val="16"/>
          <w:szCs w:val="16"/>
        </w:rPr>
        <w:t>(UL L1140/1366, 5. 6. 2009)</w:t>
      </w:r>
    </w:p>
  </w:footnote>
  <w:footnote w:id="29">
    <w:p w:rsidR="001323F1" w:rsidRPr="00D93DFE" w:rsidRDefault="001323F1" w:rsidP="00072419">
      <w:pPr>
        <w:pStyle w:val="Sprotnaopomba-besedilo"/>
        <w:rPr>
          <w:rFonts w:ascii="Arial" w:hAnsi="Arial" w:cs="Arial"/>
          <w:sz w:val="16"/>
          <w:szCs w:val="16"/>
        </w:rPr>
      </w:pPr>
      <w:r w:rsidRPr="00D93DFE">
        <w:rPr>
          <w:rStyle w:val="Sprotnaopomba-sklic"/>
          <w:rFonts w:ascii="Arial" w:hAnsi="Arial"/>
          <w:sz w:val="16"/>
          <w:szCs w:val="16"/>
        </w:rPr>
        <w:footnoteRef/>
      </w:r>
      <w:r w:rsidRPr="00D93DFE">
        <w:rPr>
          <w:rFonts w:ascii="Arial" w:hAnsi="Arial" w:cs="Arial"/>
          <w:sz w:val="16"/>
          <w:szCs w:val="16"/>
        </w:rPr>
        <w:t xml:space="preserve"> Področja, za katera so v OP TGP 2020 opredeljeni ukrepi, so: zelena rast gospodarstva; stavbe; promet; kmetijstvo, industrija ne-ETS; ravnanje z odpadki; raba tal in gospodarjenje z gozdovi; izobraževanje, usposabljanje, ozaveščanje in informiranje.</w:t>
      </w:r>
    </w:p>
  </w:footnote>
  <w:footnote w:id="30">
    <w:p w:rsidR="001323F1" w:rsidRPr="001C5382" w:rsidRDefault="001323F1" w:rsidP="00072419">
      <w:pPr>
        <w:pStyle w:val="Noga"/>
        <w:rPr>
          <w:rFonts w:cs="Arial"/>
          <w:iCs/>
          <w:sz w:val="16"/>
          <w:szCs w:val="16"/>
          <w:lang w:val="sl-SI"/>
        </w:rPr>
      </w:pPr>
      <w:r w:rsidRPr="001C5382">
        <w:rPr>
          <w:rStyle w:val="Sprotnaopomba-sklic"/>
          <w:lang w:val="sl-SI"/>
        </w:rPr>
        <w:footnoteRef/>
      </w:r>
      <w:r w:rsidRPr="001C5382">
        <w:rPr>
          <w:lang w:val="sl-SI"/>
        </w:rPr>
        <w:t xml:space="preserve"> </w:t>
      </w:r>
      <w:r w:rsidRPr="001C5382">
        <w:rPr>
          <w:rFonts w:cs="Arial"/>
          <w:iCs/>
          <w:sz w:val="16"/>
          <w:szCs w:val="16"/>
          <w:lang w:val="sl-SI"/>
        </w:rPr>
        <w:t>V okviru projekta UHI je bilo v Ljubljani izvedenih nekaj pilotnih ukrepov, med njimi postavitev štirih žepnih parkov v ulicah z dvostranskim bočnim parkiranjem. Vsak žepni park je velik kot</w:t>
      </w:r>
      <w:r>
        <w:rPr>
          <w:rFonts w:cs="Arial"/>
          <w:iCs/>
          <w:sz w:val="16"/>
          <w:szCs w:val="16"/>
          <w:lang w:val="sl-SI"/>
        </w:rPr>
        <w:t xml:space="preserve"> </w:t>
      </w:r>
      <w:r w:rsidRPr="001C5382">
        <w:rPr>
          <w:rFonts w:cs="Arial"/>
          <w:iCs/>
          <w:sz w:val="16"/>
          <w:szCs w:val="16"/>
          <w:lang w:val="sl-SI"/>
        </w:rPr>
        <w:t>eno parkirno mesto, ki ga je nadomestil z ozelenitvijo in urbano opremo. Ozelenitev v mestih lahko ublaži učinek toplotnega otoka.</w:t>
      </w:r>
    </w:p>
  </w:footnote>
  <w:footnote w:id="31">
    <w:p w:rsidR="001323F1" w:rsidRPr="00D93DFE" w:rsidRDefault="001323F1" w:rsidP="003C1B05">
      <w:pPr>
        <w:pStyle w:val="Sprotnaopomba-besedilo"/>
        <w:rPr>
          <w:sz w:val="12"/>
          <w:szCs w:val="12"/>
        </w:rPr>
      </w:pPr>
      <w:r w:rsidRPr="00D93DFE">
        <w:rPr>
          <w:rStyle w:val="Sprotnaopomba-sklic"/>
        </w:rPr>
        <w:footnoteRef/>
      </w:r>
      <w:r w:rsidRPr="00D93DFE">
        <w:t xml:space="preserve"> </w:t>
      </w:r>
      <w:hyperlink r:id="rId13" w:history="1">
        <w:r w:rsidRPr="00D93DFE">
          <w:rPr>
            <w:rStyle w:val="Hiperpovezava1"/>
            <w:sz w:val="12"/>
            <w:szCs w:val="12"/>
          </w:rPr>
          <w:t>http://www.mko.gov.si/fileadmin/mko.gov.si/pageuploads/podrocja/voda/predhodna_ocena_poplavne_ogrozenosti.pdf</w:t>
        </w:r>
      </w:hyperlink>
      <w:r w:rsidRPr="00D93DFE">
        <w:rPr>
          <w:sz w:val="12"/>
          <w:szCs w:val="12"/>
        </w:rPr>
        <w:t xml:space="preserve"> </w:t>
      </w:r>
    </w:p>
  </w:footnote>
  <w:footnote w:id="32">
    <w:p w:rsidR="001323F1" w:rsidRPr="00D93DFE" w:rsidRDefault="001323F1" w:rsidP="003C1B05">
      <w:pPr>
        <w:pStyle w:val="Sprotnaopomba-besedilo"/>
        <w:rPr>
          <w:rFonts w:ascii="Arial" w:hAnsi="Arial" w:cs="Arial"/>
          <w:i/>
          <w:sz w:val="12"/>
          <w:szCs w:val="12"/>
        </w:rPr>
      </w:pPr>
      <w:r w:rsidRPr="00D93DFE">
        <w:rPr>
          <w:rStyle w:val="Sprotnaopomba-sklic"/>
          <w:rFonts w:ascii="Arial" w:hAnsi="Arial"/>
          <w:i/>
          <w:sz w:val="12"/>
          <w:szCs w:val="12"/>
        </w:rPr>
        <w:footnoteRef/>
      </w:r>
      <w:r w:rsidRPr="00D93DFE">
        <w:rPr>
          <w:rFonts w:ascii="Arial" w:hAnsi="Arial" w:cs="Arial"/>
          <w:i/>
          <w:sz w:val="12"/>
          <w:szCs w:val="12"/>
        </w:rPr>
        <w:t xml:space="preserve"> Popisan je le del škode le ob večjih poplavnih dogodkih.</w:t>
      </w:r>
    </w:p>
  </w:footnote>
  <w:footnote w:id="33">
    <w:p w:rsidR="001323F1" w:rsidRPr="000C199F" w:rsidRDefault="001323F1" w:rsidP="003C1B05">
      <w:pPr>
        <w:spacing w:line="240" w:lineRule="auto"/>
        <w:jc w:val="both"/>
        <w:rPr>
          <w:rFonts w:cs="Arial"/>
          <w:i/>
          <w:sz w:val="12"/>
          <w:szCs w:val="12"/>
          <w:lang w:val="sl-SI"/>
        </w:rPr>
      </w:pPr>
      <w:r w:rsidRPr="000C199F">
        <w:rPr>
          <w:rStyle w:val="Sprotnaopomba-sklic"/>
          <w:i/>
          <w:sz w:val="12"/>
          <w:szCs w:val="12"/>
          <w:lang w:val="sl-SI"/>
        </w:rPr>
        <w:footnoteRef/>
      </w:r>
      <w:r w:rsidRPr="000C199F">
        <w:rPr>
          <w:rFonts w:cs="Arial"/>
          <w:i/>
          <w:sz w:val="12"/>
          <w:szCs w:val="12"/>
          <w:lang w:val="sl-SI"/>
        </w:rPr>
        <w:t xml:space="preserve"> Visoke škode na vodni infrastrukture so lahko tudi posledica dejstva, da se vse poškodbe iz preteklih poplav ne sanirajo, kar lahko ob novih poplavah povzroči še večjo škodo. </w:t>
      </w:r>
    </w:p>
  </w:footnote>
  <w:footnote w:id="34">
    <w:p w:rsidR="001323F1" w:rsidRPr="00D93DFE" w:rsidRDefault="001323F1" w:rsidP="003C1B05">
      <w:pPr>
        <w:pStyle w:val="Sprotnaopomba-besedilo"/>
        <w:rPr>
          <w:rFonts w:ascii="Arial" w:hAnsi="Arial" w:cs="Arial"/>
          <w:i/>
          <w:sz w:val="12"/>
          <w:szCs w:val="12"/>
        </w:rPr>
      </w:pPr>
      <w:r w:rsidRPr="00D93DFE">
        <w:rPr>
          <w:rStyle w:val="Sprotnaopomba-sklic"/>
          <w:rFonts w:ascii="Arial" w:hAnsi="Arial"/>
          <w:i/>
          <w:sz w:val="12"/>
          <w:szCs w:val="12"/>
        </w:rPr>
        <w:footnoteRef/>
      </w:r>
      <w:r w:rsidRPr="00D93DFE">
        <w:rPr>
          <w:rFonts w:ascii="Arial" w:hAnsi="Arial" w:cs="Arial"/>
          <w:i/>
          <w:sz w:val="12"/>
          <w:szCs w:val="12"/>
        </w:rPr>
        <w:t xml:space="preserve"> Sklep Vlade RS št. 84400-3/2007/10 z dne 15. 11. 2007; Sklep Vlade RS št. 84400-3/2007/14 z dne 10. 1. 2008</w:t>
      </w:r>
    </w:p>
  </w:footnote>
  <w:footnote w:id="35">
    <w:p w:rsidR="001323F1" w:rsidRPr="00D93DFE" w:rsidRDefault="001323F1" w:rsidP="003C1B05">
      <w:pPr>
        <w:pStyle w:val="Sprotnaopomba-besedilo"/>
        <w:rPr>
          <w:rFonts w:ascii="Arial" w:hAnsi="Arial" w:cs="Arial"/>
          <w:i/>
          <w:sz w:val="12"/>
          <w:szCs w:val="12"/>
        </w:rPr>
      </w:pPr>
      <w:r w:rsidRPr="00D93DFE">
        <w:rPr>
          <w:rStyle w:val="Sprotnaopomba-sklic"/>
          <w:rFonts w:ascii="Arial" w:hAnsi="Arial"/>
          <w:i/>
          <w:sz w:val="12"/>
          <w:szCs w:val="12"/>
        </w:rPr>
        <w:footnoteRef/>
      </w:r>
      <w:r w:rsidRPr="00D93DFE">
        <w:rPr>
          <w:rFonts w:ascii="Arial" w:hAnsi="Arial" w:cs="Arial"/>
          <w:i/>
          <w:sz w:val="12"/>
          <w:szCs w:val="12"/>
        </w:rPr>
        <w:t xml:space="preserve"> Sklep Vlade RS št. 84400-3/2007/10 z dne 15. 11. 2007</w:t>
      </w:r>
    </w:p>
  </w:footnote>
  <w:footnote w:id="36">
    <w:p w:rsidR="001323F1" w:rsidRPr="00D93DFE" w:rsidRDefault="001323F1" w:rsidP="003C1B05">
      <w:pPr>
        <w:pStyle w:val="Sprotnaopomba-besedilo"/>
        <w:rPr>
          <w:rFonts w:ascii="Arial" w:hAnsi="Arial" w:cs="Arial"/>
          <w:i/>
          <w:sz w:val="12"/>
          <w:szCs w:val="12"/>
        </w:rPr>
      </w:pPr>
      <w:r w:rsidRPr="00D93DFE">
        <w:rPr>
          <w:rStyle w:val="Sprotnaopomba-sklic"/>
          <w:rFonts w:ascii="Arial" w:hAnsi="Arial"/>
          <w:i/>
          <w:sz w:val="12"/>
          <w:szCs w:val="12"/>
        </w:rPr>
        <w:footnoteRef/>
      </w:r>
      <w:r w:rsidRPr="00D93DFE">
        <w:rPr>
          <w:rFonts w:ascii="Arial" w:hAnsi="Arial" w:cs="Arial"/>
          <w:i/>
          <w:sz w:val="12"/>
          <w:szCs w:val="12"/>
        </w:rPr>
        <w:t xml:space="preserve"> Sklep vlade RS št. 84400-1/2010/3 z dne 15. 4. 2010</w:t>
      </w:r>
    </w:p>
  </w:footnote>
  <w:footnote w:id="37">
    <w:p w:rsidR="001323F1" w:rsidRPr="00D93DFE" w:rsidRDefault="001323F1" w:rsidP="003C1B05">
      <w:pPr>
        <w:pStyle w:val="Sprotnaopomba-besedilo"/>
        <w:rPr>
          <w:rFonts w:ascii="Arial" w:hAnsi="Arial" w:cs="Arial"/>
          <w:i/>
          <w:sz w:val="12"/>
          <w:szCs w:val="12"/>
        </w:rPr>
      </w:pPr>
      <w:r w:rsidRPr="00D93DFE">
        <w:rPr>
          <w:rStyle w:val="Sprotnaopomba-sklic"/>
          <w:rFonts w:ascii="Arial" w:hAnsi="Arial"/>
          <w:i/>
          <w:sz w:val="12"/>
          <w:szCs w:val="12"/>
        </w:rPr>
        <w:footnoteRef/>
      </w:r>
      <w:r w:rsidRPr="00D93DFE">
        <w:rPr>
          <w:rFonts w:ascii="Arial" w:hAnsi="Arial" w:cs="Arial"/>
          <w:i/>
          <w:sz w:val="12"/>
          <w:szCs w:val="12"/>
        </w:rPr>
        <w:t xml:space="preserve"> Sklep vlade RS št. 84400-1/2010/3 z dne 15. 4. 2010</w:t>
      </w:r>
    </w:p>
  </w:footnote>
  <w:footnote w:id="38">
    <w:p w:rsidR="001323F1" w:rsidRPr="00D93DFE" w:rsidRDefault="001323F1" w:rsidP="003C1B05">
      <w:pPr>
        <w:pStyle w:val="Sprotnaopomba-besedilo"/>
        <w:rPr>
          <w:rFonts w:ascii="Arial" w:hAnsi="Arial" w:cs="Arial"/>
          <w:i/>
          <w:sz w:val="12"/>
          <w:szCs w:val="12"/>
        </w:rPr>
      </w:pPr>
      <w:r w:rsidRPr="00D93DFE">
        <w:rPr>
          <w:rStyle w:val="Sprotnaopomba-sklic"/>
          <w:rFonts w:ascii="Arial" w:hAnsi="Arial"/>
          <w:i/>
          <w:sz w:val="12"/>
          <w:szCs w:val="12"/>
        </w:rPr>
        <w:footnoteRef/>
      </w:r>
      <w:r w:rsidRPr="00D93DFE">
        <w:rPr>
          <w:rFonts w:ascii="Arial" w:hAnsi="Arial" w:cs="Arial"/>
          <w:i/>
          <w:sz w:val="12"/>
          <w:szCs w:val="12"/>
        </w:rPr>
        <w:t xml:space="preserve"> Sklep vlade RS št. 84400-8/2010/3 z dne 18. 11. 2010 s prilogami</w:t>
      </w:r>
    </w:p>
  </w:footnote>
  <w:footnote w:id="39">
    <w:p w:rsidR="001323F1" w:rsidRPr="00D93DFE" w:rsidRDefault="001323F1" w:rsidP="003C1B05">
      <w:pPr>
        <w:pStyle w:val="Sprotnaopomba-besedilo"/>
        <w:rPr>
          <w:rFonts w:ascii="Arial" w:hAnsi="Arial" w:cs="Arial"/>
          <w:i/>
          <w:sz w:val="12"/>
          <w:szCs w:val="12"/>
        </w:rPr>
      </w:pPr>
      <w:r w:rsidRPr="00D93DFE">
        <w:rPr>
          <w:rStyle w:val="Sprotnaopomba-sklic"/>
          <w:rFonts w:ascii="Arial" w:hAnsi="Arial"/>
          <w:i/>
          <w:sz w:val="12"/>
          <w:szCs w:val="12"/>
        </w:rPr>
        <w:footnoteRef/>
      </w:r>
      <w:r w:rsidRPr="00D93DFE">
        <w:rPr>
          <w:rFonts w:ascii="Arial" w:hAnsi="Arial" w:cs="Arial"/>
          <w:i/>
          <w:sz w:val="12"/>
          <w:szCs w:val="12"/>
        </w:rPr>
        <w:t xml:space="preserve"> Sklep vlade RS št. 84400-8/2010/3 z dne 18. 11. 2010 s prilogami</w:t>
      </w:r>
    </w:p>
  </w:footnote>
  <w:footnote w:id="40">
    <w:p w:rsidR="001323F1" w:rsidRPr="00D93DFE" w:rsidRDefault="001323F1" w:rsidP="003C1B05">
      <w:pPr>
        <w:pStyle w:val="Sprotnaopomba-besedilo"/>
        <w:rPr>
          <w:rFonts w:ascii="Arial" w:hAnsi="Arial" w:cs="Arial"/>
          <w:i/>
          <w:sz w:val="12"/>
          <w:szCs w:val="12"/>
        </w:rPr>
      </w:pPr>
      <w:r w:rsidRPr="00D93DFE">
        <w:rPr>
          <w:rStyle w:val="Sprotnaopomba-sklic"/>
          <w:rFonts w:ascii="Arial" w:hAnsi="Arial"/>
          <w:i/>
          <w:sz w:val="12"/>
          <w:szCs w:val="12"/>
        </w:rPr>
        <w:footnoteRef/>
      </w:r>
      <w:r w:rsidRPr="00D93DFE">
        <w:rPr>
          <w:rFonts w:ascii="Arial" w:hAnsi="Arial" w:cs="Arial"/>
          <w:i/>
          <w:sz w:val="12"/>
          <w:szCs w:val="12"/>
        </w:rPr>
        <w:t xml:space="preserve"> Sklep Vlade RS št. 84400-4/2012/16 z dne 20. 12. 2012</w:t>
      </w:r>
    </w:p>
  </w:footnote>
  <w:footnote w:id="41">
    <w:p w:rsidR="001323F1" w:rsidRPr="00D93DFE" w:rsidRDefault="001323F1" w:rsidP="003C1B05">
      <w:pPr>
        <w:pStyle w:val="Sprotnaopomba-besedilo"/>
        <w:rPr>
          <w:rFonts w:ascii="Arial" w:hAnsi="Arial" w:cs="Arial"/>
          <w:i/>
          <w:sz w:val="12"/>
          <w:szCs w:val="12"/>
        </w:rPr>
      </w:pPr>
      <w:r w:rsidRPr="00D93DFE">
        <w:rPr>
          <w:rStyle w:val="Sprotnaopomba-sklic"/>
          <w:rFonts w:ascii="Arial" w:hAnsi="Arial"/>
          <w:i/>
          <w:sz w:val="12"/>
          <w:szCs w:val="12"/>
        </w:rPr>
        <w:footnoteRef/>
      </w:r>
      <w:r w:rsidRPr="00D93DFE">
        <w:rPr>
          <w:rFonts w:ascii="Arial" w:hAnsi="Arial" w:cs="Arial"/>
          <w:i/>
          <w:sz w:val="12"/>
          <w:szCs w:val="12"/>
        </w:rPr>
        <w:t xml:space="preserve"> Sklep Vlade RS št. 84400-4/2012/16 z dne 20. 12. 2012</w:t>
      </w:r>
    </w:p>
  </w:footnote>
  <w:footnote w:id="42">
    <w:p w:rsidR="001323F1" w:rsidRPr="000C199F" w:rsidRDefault="001323F1" w:rsidP="003C1B05">
      <w:pPr>
        <w:spacing w:line="240" w:lineRule="auto"/>
        <w:jc w:val="both"/>
        <w:rPr>
          <w:rFonts w:cs="Arial"/>
          <w:i/>
          <w:sz w:val="12"/>
          <w:szCs w:val="12"/>
          <w:lang w:val="sl-SI"/>
        </w:rPr>
      </w:pPr>
      <w:r w:rsidRPr="000C199F">
        <w:rPr>
          <w:rStyle w:val="Sprotnaopomba-sklic"/>
          <w:i/>
          <w:sz w:val="12"/>
          <w:szCs w:val="12"/>
          <w:lang w:val="sl-SI"/>
        </w:rPr>
        <w:footnoteRef/>
      </w:r>
      <w:r w:rsidRPr="000C199F">
        <w:rPr>
          <w:rFonts w:cs="Arial"/>
          <w:i/>
          <w:sz w:val="12"/>
          <w:szCs w:val="12"/>
          <w:lang w:val="sl-SI"/>
        </w:rPr>
        <w:t xml:space="preserve"> Sklep Vlade RS št. 84400-3/2014/12 z dne 28.3.2014. Dostopno na: </w:t>
      </w:r>
      <w:hyperlink r:id="rId14" w:history="1">
        <w:r w:rsidRPr="000C199F">
          <w:rPr>
            <w:rStyle w:val="Hiperpovezava"/>
            <w:rFonts w:cs="Arial"/>
            <w:i/>
            <w:sz w:val="12"/>
            <w:szCs w:val="12"/>
            <w:lang w:val="sl-SI"/>
          </w:rPr>
          <w:t>http://www.ess.gov.si/_files/5734/Sklep_Vlade_zled.pdf [21</w:t>
        </w:r>
      </w:hyperlink>
      <w:r w:rsidRPr="000C199F">
        <w:rPr>
          <w:rFonts w:cs="Arial"/>
          <w:i/>
          <w:sz w:val="12"/>
          <w:szCs w:val="12"/>
          <w:lang w:val="sl-SI"/>
        </w:rPr>
        <w:t>. 5. 2015]</w:t>
      </w:r>
    </w:p>
  </w:footnote>
  <w:footnote w:id="43">
    <w:p w:rsidR="001323F1" w:rsidRPr="00D93DFE" w:rsidRDefault="001323F1" w:rsidP="003C1B05">
      <w:pPr>
        <w:pStyle w:val="Sprotnaopomba-besedilo"/>
        <w:rPr>
          <w:rFonts w:ascii="Arial" w:hAnsi="Arial" w:cs="Arial"/>
          <w:i/>
          <w:sz w:val="12"/>
          <w:szCs w:val="12"/>
        </w:rPr>
      </w:pPr>
      <w:r w:rsidRPr="00D93DFE">
        <w:rPr>
          <w:rStyle w:val="Sprotnaopomba-sklic"/>
          <w:rFonts w:ascii="Arial" w:hAnsi="Arial"/>
          <w:i/>
          <w:sz w:val="12"/>
          <w:szCs w:val="12"/>
        </w:rPr>
        <w:footnoteRef/>
      </w:r>
      <w:r w:rsidRPr="00D93DFE">
        <w:rPr>
          <w:rFonts w:ascii="Arial" w:hAnsi="Arial" w:cs="Arial"/>
          <w:i/>
          <w:sz w:val="12"/>
          <w:szCs w:val="12"/>
        </w:rPr>
        <w:t xml:space="preserve"> Sklep Vlade RS št. 84400-3/2014/12 z dne 28.3.2014. Dostopno na: </w:t>
      </w:r>
      <w:hyperlink r:id="rId15" w:history="1">
        <w:r w:rsidRPr="00D93DFE">
          <w:rPr>
            <w:rStyle w:val="Hiperpovezava1"/>
            <w:rFonts w:ascii="Arial" w:hAnsi="Arial" w:cs="Arial"/>
            <w:i/>
            <w:sz w:val="12"/>
            <w:szCs w:val="12"/>
          </w:rPr>
          <w:t>http://www.ess.gov.si/_files/5734/Sklep_Vlade_zled.pdf</w:t>
        </w:r>
      </w:hyperlink>
      <w:r w:rsidRPr="00D93DFE">
        <w:rPr>
          <w:rFonts w:ascii="Arial" w:hAnsi="Arial" w:cs="Arial"/>
          <w:i/>
          <w:sz w:val="12"/>
          <w:szCs w:val="12"/>
        </w:rPr>
        <w:t xml:space="preserve"> [21. 5. 2015]</w:t>
      </w:r>
    </w:p>
  </w:footnote>
  <w:footnote w:id="44">
    <w:p w:rsidR="001323F1" w:rsidRPr="00D93DFE" w:rsidRDefault="001323F1" w:rsidP="003C1B05">
      <w:pPr>
        <w:pStyle w:val="Sprotnaopomba-besedilo"/>
        <w:rPr>
          <w:rFonts w:ascii="Arial" w:hAnsi="Arial" w:cs="Arial"/>
          <w:i/>
          <w:sz w:val="12"/>
          <w:szCs w:val="12"/>
        </w:rPr>
      </w:pPr>
      <w:r w:rsidRPr="00D93DFE">
        <w:rPr>
          <w:rStyle w:val="Sprotnaopomba-sklic"/>
          <w:rFonts w:ascii="Arial" w:hAnsi="Arial"/>
          <w:i/>
          <w:sz w:val="12"/>
          <w:szCs w:val="12"/>
        </w:rPr>
        <w:footnoteRef/>
      </w:r>
      <w:r w:rsidRPr="00D93DFE">
        <w:rPr>
          <w:rFonts w:ascii="Arial" w:hAnsi="Arial" w:cs="Arial"/>
          <w:i/>
          <w:sz w:val="12"/>
          <w:szCs w:val="12"/>
        </w:rPr>
        <w:t xml:space="preserve"> Končna ocena neposredne škode na stvareh zaradi posledic poplav  med 12. in 16. septembrom 2014 – predlog za obravnavo, številka: 844-1/2014-87, Ljubljana, dne 24. 11. 2014</w:t>
      </w:r>
    </w:p>
  </w:footnote>
  <w:footnote w:id="45">
    <w:p w:rsidR="001323F1" w:rsidRPr="00D93DFE" w:rsidRDefault="001323F1" w:rsidP="003C1B05">
      <w:pPr>
        <w:pStyle w:val="Sprotnaopomba-besedilo"/>
        <w:rPr>
          <w:rFonts w:ascii="Arial" w:hAnsi="Arial" w:cs="Arial"/>
          <w:i/>
          <w:sz w:val="12"/>
          <w:szCs w:val="12"/>
        </w:rPr>
      </w:pPr>
      <w:r w:rsidRPr="00D93DFE">
        <w:rPr>
          <w:rStyle w:val="Sprotnaopomba-sklic"/>
          <w:rFonts w:ascii="Arial" w:hAnsi="Arial"/>
          <w:i/>
          <w:sz w:val="12"/>
          <w:szCs w:val="12"/>
        </w:rPr>
        <w:footnoteRef/>
      </w:r>
      <w:r w:rsidRPr="00D93DFE">
        <w:rPr>
          <w:rFonts w:ascii="Arial" w:hAnsi="Arial" w:cs="Arial"/>
          <w:i/>
          <w:sz w:val="12"/>
          <w:szCs w:val="12"/>
        </w:rPr>
        <w:t xml:space="preserve"> Končna ocena neposredne škode na stvareh zaradi posledic poplav  med 12. in 16. septembrom 2014 – predlog za obravnavo, številka: 844-1/2014-87, Ljubljana, dne 24. 11. 2014</w:t>
      </w:r>
    </w:p>
  </w:footnote>
  <w:footnote w:id="46">
    <w:p w:rsidR="001323F1" w:rsidRPr="00D93DFE" w:rsidRDefault="001323F1" w:rsidP="003C1B05">
      <w:pPr>
        <w:pStyle w:val="Sprotnaopomba-besedilo"/>
        <w:rPr>
          <w:rFonts w:ascii="Arial" w:hAnsi="Arial" w:cs="Arial"/>
          <w:i/>
          <w:sz w:val="12"/>
          <w:szCs w:val="12"/>
        </w:rPr>
      </w:pPr>
      <w:r w:rsidRPr="00D93DFE">
        <w:rPr>
          <w:rStyle w:val="Sprotnaopomba-sklic"/>
          <w:rFonts w:ascii="Arial" w:hAnsi="Arial"/>
          <w:i/>
          <w:sz w:val="12"/>
          <w:szCs w:val="12"/>
        </w:rPr>
        <w:footnoteRef/>
      </w:r>
      <w:r w:rsidRPr="00D93DFE">
        <w:rPr>
          <w:rFonts w:ascii="Arial" w:hAnsi="Arial" w:cs="Arial"/>
          <w:i/>
          <w:sz w:val="12"/>
          <w:szCs w:val="12"/>
        </w:rPr>
        <w:t xml:space="preserve"> Sklep Vlade RS št. 84400-1/2015/4 z dne 5. 2. 2015. Dostopno na: </w:t>
      </w:r>
      <w:hyperlink r:id="rId16" w:history="1">
        <w:r w:rsidRPr="00D93DFE">
          <w:rPr>
            <w:rStyle w:val="Hiperpovezava1"/>
            <w:rFonts w:ascii="Arial" w:hAnsi="Arial" w:cs="Arial"/>
            <w:i/>
            <w:sz w:val="12"/>
            <w:szCs w:val="12"/>
          </w:rPr>
          <w:t>http://www.ess.gov.si/_files/5734/Sklep_Vlade_zled.pdf</w:t>
        </w:r>
      </w:hyperlink>
      <w:r w:rsidRPr="00D93DFE">
        <w:rPr>
          <w:rFonts w:ascii="Arial" w:hAnsi="Arial" w:cs="Arial"/>
          <w:i/>
          <w:sz w:val="12"/>
          <w:szCs w:val="12"/>
        </w:rPr>
        <w:t>. [21. 5. 2015]</w:t>
      </w:r>
    </w:p>
  </w:footnote>
  <w:footnote w:id="47">
    <w:p w:rsidR="001323F1" w:rsidRPr="00D93DFE" w:rsidRDefault="001323F1" w:rsidP="003C1B05">
      <w:pPr>
        <w:pStyle w:val="Sprotnaopomba-besedilo"/>
        <w:rPr>
          <w:rFonts w:ascii="Arial" w:hAnsi="Arial" w:cs="Arial"/>
          <w:i/>
          <w:sz w:val="12"/>
          <w:szCs w:val="12"/>
        </w:rPr>
      </w:pPr>
      <w:r w:rsidRPr="00D93DFE">
        <w:rPr>
          <w:rStyle w:val="Sprotnaopomba-sklic"/>
          <w:rFonts w:ascii="Arial" w:hAnsi="Arial"/>
          <w:i/>
          <w:sz w:val="12"/>
          <w:szCs w:val="12"/>
        </w:rPr>
        <w:footnoteRef/>
      </w:r>
      <w:r w:rsidRPr="00D93DFE">
        <w:rPr>
          <w:rFonts w:ascii="Arial" w:hAnsi="Arial" w:cs="Arial"/>
          <w:i/>
          <w:sz w:val="12"/>
          <w:szCs w:val="12"/>
        </w:rPr>
        <w:t xml:space="preserve"> Sklep Vlade RS št. 84400-1/2015/4 z dne 5. 2. 2015. Dostopno na: </w:t>
      </w:r>
      <w:hyperlink r:id="rId17" w:history="1">
        <w:r w:rsidRPr="00D93DFE">
          <w:rPr>
            <w:rStyle w:val="Hiperpovezava1"/>
            <w:rFonts w:ascii="Arial" w:hAnsi="Arial" w:cs="Arial"/>
            <w:i/>
            <w:sz w:val="12"/>
            <w:szCs w:val="12"/>
          </w:rPr>
          <w:t>http://www.ess.gov.si/_files/5734/Sklep_Vlade_zled.pdf</w:t>
        </w:r>
      </w:hyperlink>
      <w:r w:rsidRPr="00D93DFE">
        <w:rPr>
          <w:rFonts w:ascii="Arial" w:hAnsi="Arial" w:cs="Arial"/>
          <w:i/>
          <w:sz w:val="12"/>
          <w:szCs w:val="12"/>
        </w:rPr>
        <w:t>. [21. 5. 2015]</w:t>
      </w:r>
    </w:p>
  </w:footnote>
  <w:footnote w:id="48">
    <w:p w:rsidR="001323F1" w:rsidRPr="00D93DFE" w:rsidRDefault="001323F1" w:rsidP="003C1B05">
      <w:pPr>
        <w:pStyle w:val="Sprotnaopomba-besedilo"/>
        <w:rPr>
          <w:rFonts w:ascii="Arial" w:hAnsi="Arial" w:cs="Arial"/>
          <w:i/>
          <w:sz w:val="12"/>
          <w:szCs w:val="12"/>
        </w:rPr>
      </w:pPr>
      <w:r w:rsidRPr="00D93DFE">
        <w:rPr>
          <w:rStyle w:val="Sprotnaopomba-sklic"/>
          <w:rFonts w:ascii="Arial" w:hAnsi="Arial"/>
          <w:i/>
          <w:sz w:val="12"/>
          <w:szCs w:val="12"/>
        </w:rPr>
        <w:footnoteRef/>
      </w:r>
      <w:r w:rsidRPr="00D93DFE">
        <w:rPr>
          <w:rFonts w:ascii="Arial" w:hAnsi="Arial" w:cs="Arial"/>
          <w:i/>
          <w:sz w:val="12"/>
          <w:szCs w:val="12"/>
        </w:rPr>
        <w:t xml:space="preserve"> Končno poročilo o ukrepanju in posledicah obilnega deževja, poplav in plazov med 6. in 18. 11. 2014 - predlog za obravnavo. Dostopno na: </w:t>
      </w:r>
      <w:hyperlink r:id="rId18" w:history="1">
        <w:r w:rsidRPr="00D93DFE">
          <w:rPr>
            <w:rStyle w:val="Hiperpovezava"/>
            <w:rFonts w:ascii="Arial" w:hAnsi="Arial" w:cs="Arial"/>
            <w:i/>
            <w:sz w:val="12"/>
            <w:szCs w:val="12"/>
          </w:rPr>
          <w:t>http://www.vlada.si/delo_vlade/gradiva_v_obravnavi/gradivo_v_obravnavi/?tx_govpapers_pi1[single]=%2FMANDAT14%2FVLADNAGRADIVA.NSF%2F18a6b9887c33a0bdc12570e50034eb54%2F9c8344c750161d23c1257e03004a6935%3FOpenDocument&amp;cHash=1eaad496d6aac819cbd8f85acad323f3[21</w:t>
        </w:r>
      </w:hyperlink>
      <w:r w:rsidRPr="00D93DFE">
        <w:rPr>
          <w:rFonts w:ascii="Arial" w:hAnsi="Arial" w:cs="Arial"/>
          <w:i/>
          <w:sz w:val="12"/>
          <w:szCs w:val="12"/>
        </w:rPr>
        <w:t>. 5. 2015]</w:t>
      </w:r>
    </w:p>
  </w:footnote>
  <w:footnote w:id="49">
    <w:p w:rsidR="001323F1" w:rsidRPr="00D93DFE" w:rsidRDefault="001323F1" w:rsidP="003C1B05">
      <w:pPr>
        <w:pStyle w:val="Sprotnaopomba-besedilo"/>
        <w:rPr>
          <w:rFonts w:ascii="Arial" w:hAnsi="Arial" w:cs="Arial"/>
          <w:sz w:val="12"/>
          <w:szCs w:val="12"/>
        </w:rPr>
      </w:pPr>
      <w:r w:rsidRPr="00D93DFE">
        <w:rPr>
          <w:rStyle w:val="Sprotnaopomba-sklic"/>
          <w:rFonts w:ascii="Arial" w:hAnsi="Arial"/>
          <w:i/>
          <w:sz w:val="12"/>
          <w:szCs w:val="12"/>
        </w:rPr>
        <w:footnoteRef/>
      </w:r>
      <w:r w:rsidRPr="00D93DFE">
        <w:rPr>
          <w:rFonts w:ascii="Arial" w:hAnsi="Arial" w:cs="Arial"/>
          <w:i/>
          <w:sz w:val="12"/>
          <w:szCs w:val="12"/>
        </w:rPr>
        <w:t xml:space="preserve"> Končno poročilo o ukrepanju in posledicah obilnega deževja, poplav in plazov med 6. in 18. 11. 2014 - predlog za obravnavo. Dostopno na: http://www.vlada.si/delo_vlade/gradiva_v_obravnavi/gradivo_v_obravnavi/?tx_govpapers_pi1[single]=%2FMANDAT14%2FVLADNAGRADIVA.NSF%2F18a6b9887c33a0bdc12570e50034eb54%2F9c8344c750161d23c1257e03004a6935%3FOpenDocument&amp;cHash=1eaad496d6aac819cbd8f85acad323f3 [21. 5. 2015]</w:t>
      </w:r>
    </w:p>
  </w:footnote>
  <w:footnote w:id="50">
    <w:p w:rsidR="001323F1" w:rsidRPr="00D93DFE" w:rsidRDefault="001323F1" w:rsidP="003C1B05">
      <w:pPr>
        <w:pStyle w:val="Sprotnaopomba-besedilo"/>
        <w:rPr>
          <w:sz w:val="12"/>
          <w:szCs w:val="12"/>
        </w:rPr>
      </w:pPr>
      <w:r w:rsidRPr="00D93DFE">
        <w:rPr>
          <w:rStyle w:val="Sprotnaopomba-sklic"/>
        </w:rPr>
        <w:footnoteRef/>
      </w:r>
      <w:r w:rsidRPr="00D93DFE">
        <w:t xml:space="preserve"> </w:t>
      </w:r>
      <w:hyperlink r:id="rId19" w:history="1">
        <w:r w:rsidRPr="00D93DFE">
          <w:rPr>
            <w:rStyle w:val="Hiperpovezava1"/>
            <w:sz w:val="12"/>
            <w:szCs w:val="12"/>
          </w:rPr>
          <w:t>http://www.arso.gov.si/vode/poro%C4%8Dila%20in%20publikacije/Poplave%2017.%20-%2021.%20september%202010.pdf</w:t>
        </w:r>
      </w:hyperlink>
    </w:p>
    <w:p w:rsidR="001323F1" w:rsidRPr="00D93DFE" w:rsidRDefault="001323F1" w:rsidP="003C1B05">
      <w:pPr>
        <w:pStyle w:val="Sprotnaopomba-besedilo"/>
        <w:rPr>
          <w:sz w:val="12"/>
          <w:szCs w:val="12"/>
        </w:rPr>
      </w:pPr>
    </w:p>
  </w:footnote>
  <w:footnote w:id="51">
    <w:p w:rsidR="001323F1" w:rsidRPr="00D93DFE" w:rsidRDefault="001323F1" w:rsidP="003C1B05">
      <w:pPr>
        <w:pStyle w:val="Sprotnaopomba-besedilo"/>
        <w:rPr>
          <w:sz w:val="12"/>
          <w:szCs w:val="12"/>
        </w:rPr>
      </w:pPr>
      <w:r w:rsidRPr="00D93DFE">
        <w:rPr>
          <w:rStyle w:val="Sprotnaopomba-sklic"/>
          <w:sz w:val="12"/>
          <w:szCs w:val="12"/>
        </w:rPr>
        <w:footnoteRef/>
      </w:r>
      <w:r w:rsidRPr="00D93DFE">
        <w:rPr>
          <w:sz w:val="12"/>
          <w:szCs w:val="12"/>
        </w:rPr>
        <w:t xml:space="preserve"> </w:t>
      </w:r>
      <w:r w:rsidRPr="00D93DFE">
        <w:rPr>
          <w:iCs/>
          <w:sz w:val="12"/>
          <w:szCs w:val="12"/>
        </w:rPr>
        <w:t>Državna komisija za ocenjevanje škode ob naravnih nesrečah je oceno neposredne škode po tem potrdila 11. 11. 2010.</w:t>
      </w:r>
    </w:p>
  </w:footnote>
  <w:footnote w:id="52">
    <w:p w:rsidR="001323F1" w:rsidRPr="00D93DFE" w:rsidRDefault="001323F1" w:rsidP="003C1B05">
      <w:pPr>
        <w:pStyle w:val="Sprotnaopomba-besedilo"/>
        <w:rPr>
          <w:sz w:val="12"/>
          <w:szCs w:val="12"/>
        </w:rPr>
      </w:pPr>
      <w:r w:rsidRPr="00D93DFE">
        <w:rPr>
          <w:rStyle w:val="Sprotnaopomba-sklic"/>
          <w:sz w:val="12"/>
          <w:szCs w:val="12"/>
        </w:rPr>
        <w:footnoteRef/>
      </w:r>
      <w:r w:rsidRPr="00D93DFE">
        <w:rPr>
          <w:sz w:val="12"/>
          <w:szCs w:val="12"/>
        </w:rPr>
        <w:t xml:space="preserve"> </w:t>
      </w:r>
      <w:hyperlink r:id="rId20" w:history="1">
        <w:r w:rsidRPr="00D93DFE">
          <w:rPr>
            <w:rStyle w:val="Hiperpovezava1"/>
            <w:sz w:val="12"/>
            <w:szCs w:val="12"/>
          </w:rPr>
          <w:t>http://www.arso.gov.si/vode/poro%C4%8Dila%20in%20publikacije/Poplave%205.%20-%206.%20november%202012.pdf</w:t>
        </w:r>
      </w:hyperlink>
    </w:p>
    <w:p w:rsidR="001323F1" w:rsidRPr="00D93DFE" w:rsidRDefault="001323F1" w:rsidP="003C1B05">
      <w:pPr>
        <w:pStyle w:val="Sprotnaopomba-besedilo"/>
        <w:rPr>
          <w:sz w:val="12"/>
          <w:szCs w:val="12"/>
        </w:rPr>
      </w:pPr>
    </w:p>
  </w:footnote>
  <w:footnote w:id="53">
    <w:p w:rsidR="001323F1" w:rsidRPr="00D93DFE" w:rsidRDefault="001323F1" w:rsidP="003C1B05">
      <w:pPr>
        <w:pStyle w:val="Sprotnaopomba-besedilo"/>
        <w:rPr>
          <w:rFonts w:ascii="Arial" w:hAnsi="Arial" w:cs="Arial"/>
          <w:i/>
          <w:sz w:val="12"/>
          <w:szCs w:val="12"/>
        </w:rPr>
      </w:pPr>
      <w:r w:rsidRPr="00D93DFE">
        <w:rPr>
          <w:rStyle w:val="Sprotnaopomba-sklic"/>
          <w:rFonts w:ascii="Arial" w:hAnsi="Arial"/>
          <w:sz w:val="12"/>
          <w:szCs w:val="12"/>
        </w:rPr>
        <w:footnoteRef/>
      </w:r>
      <w:r w:rsidRPr="00D93DFE">
        <w:rPr>
          <w:rFonts w:ascii="Arial" w:hAnsi="Arial" w:cs="Arial"/>
          <w:sz w:val="12"/>
          <w:szCs w:val="12"/>
        </w:rPr>
        <w:t xml:space="preserve"> </w:t>
      </w:r>
      <w:hyperlink r:id="rId21" w:history="1">
        <w:r w:rsidRPr="00D93DFE">
          <w:rPr>
            <w:rStyle w:val="Hiperpovezava1"/>
            <w:rFonts w:ascii="Arial" w:hAnsi="Arial" w:cs="Arial"/>
            <w:i/>
            <w:sz w:val="12"/>
            <w:szCs w:val="12"/>
          </w:rPr>
          <w:t>http://www.mop.gov.si/fileadmin/mop.gov.si/pageuploads/podrocja/voda/predhodna_ocena_poplavne_ogrozenosti.pdf</w:t>
        </w:r>
      </w:hyperlink>
    </w:p>
  </w:footnote>
  <w:footnote w:id="54">
    <w:p w:rsidR="001323F1" w:rsidRPr="00D93DFE" w:rsidRDefault="001323F1" w:rsidP="003C1B05">
      <w:pPr>
        <w:pStyle w:val="Sprotnaopomba-besedilo"/>
        <w:rPr>
          <w:rFonts w:ascii="Arial" w:hAnsi="Arial" w:cs="Arial"/>
          <w:sz w:val="12"/>
          <w:szCs w:val="12"/>
        </w:rPr>
      </w:pPr>
      <w:r w:rsidRPr="00D93DFE">
        <w:rPr>
          <w:rStyle w:val="Sprotnaopomba-sklic"/>
          <w:rFonts w:ascii="Arial" w:hAnsi="Arial"/>
          <w:sz w:val="12"/>
          <w:szCs w:val="12"/>
        </w:rPr>
        <w:footnoteRef/>
      </w:r>
      <w:r w:rsidRPr="00D93DFE">
        <w:rPr>
          <w:rFonts w:ascii="Arial" w:hAnsi="Arial" w:cs="Arial"/>
          <w:sz w:val="12"/>
          <w:szCs w:val="12"/>
        </w:rPr>
        <w:t xml:space="preserve"> </w:t>
      </w:r>
      <w:hyperlink r:id="rId22" w:history="1">
        <w:r w:rsidRPr="00D93DFE">
          <w:rPr>
            <w:rStyle w:val="Hiperpovezava1"/>
            <w:rFonts w:ascii="Arial" w:hAnsi="Arial" w:cs="Arial"/>
            <w:sz w:val="12"/>
            <w:szCs w:val="12"/>
          </w:rPr>
          <w:t>http://www.mop.gov.si/fileadmin/mop.gov.si/pageuploads/podrocja/voda/01_karta_kriterij_zdravje_ljudi.pdf</w:t>
        </w:r>
      </w:hyperlink>
    </w:p>
  </w:footnote>
  <w:footnote w:id="55">
    <w:p w:rsidR="001323F1" w:rsidRPr="00D93DFE" w:rsidRDefault="001323F1" w:rsidP="003C1B05">
      <w:pPr>
        <w:pStyle w:val="Sprotnaopomba-besedilo"/>
        <w:rPr>
          <w:rFonts w:ascii="Arial" w:hAnsi="Arial" w:cs="Arial"/>
          <w:sz w:val="12"/>
          <w:szCs w:val="12"/>
        </w:rPr>
      </w:pPr>
      <w:r w:rsidRPr="00D93DFE">
        <w:rPr>
          <w:rStyle w:val="Sprotnaopomba-sklic"/>
          <w:rFonts w:ascii="Arial" w:hAnsi="Arial"/>
          <w:sz w:val="12"/>
          <w:szCs w:val="12"/>
        </w:rPr>
        <w:footnoteRef/>
      </w:r>
      <w:r w:rsidRPr="00D93DFE">
        <w:rPr>
          <w:rFonts w:ascii="Arial" w:hAnsi="Arial" w:cs="Arial"/>
          <w:sz w:val="12"/>
          <w:szCs w:val="12"/>
        </w:rPr>
        <w:t xml:space="preserve"> </w:t>
      </w:r>
      <w:hyperlink r:id="rId23" w:history="1">
        <w:r w:rsidRPr="00D93DFE">
          <w:rPr>
            <w:rStyle w:val="Hiperpovezava1"/>
            <w:rFonts w:ascii="Arial" w:hAnsi="Arial" w:cs="Arial"/>
            <w:sz w:val="12"/>
            <w:szCs w:val="12"/>
          </w:rPr>
          <w:t>http://www.mop.gov.si/fileadmin/mop.gov.si/pageuploads/podrocja/voda/02_karta_kriterij_gospodarske_dejavnosti.pdf</w:t>
        </w:r>
      </w:hyperlink>
    </w:p>
  </w:footnote>
  <w:footnote w:id="56">
    <w:p w:rsidR="001323F1" w:rsidRPr="00D93DFE" w:rsidRDefault="001323F1" w:rsidP="003C1B05">
      <w:pPr>
        <w:pStyle w:val="Sprotnaopomba-besedilo"/>
        <w:rPr>
          <w:rFonts w:ascii="Arial" w:hAnsi="Arial" w:cs="Arial"/>
          <w:sz w:val="12"/>
          <w:szCs w:val="12"/>
        </w:rPr>
      </w:pPr>
      <w:r w:rsidRPr="00D93DFE">
        <w:rPr>
          <w:rStyle w:val="Sprotnaopomba-sklic"/>
          <w:rFonts w:ascii="Arial" w:hAnsi="Arial"/>
          <w:sz w:val="12"/>
          <w:szCs w:val="12"/>
        </w:rPr>
        <w:footnoteRef/>
      </w:r>
      <w:r w:rsidRPr="00D93DFE">
        <w:rPr>
          <w:rFonts w:ascii="Arial" w:hAnsi="Arial" w:cs="Arial"/>
          <w:sz w:val="12"/>
          <w:szCs w:val="12"/>
        </w:rPr>
        <w:t xml:space="preserve"> </w:t>
      </w:r>
      <w:hyperlink r:id="rId24" w:history="1">
        <w:r w:rsidRPr="00D93DFE">
          <w:rPr>
            <w:rStyle w:val="Hiperpovezava1"/>
            <w:rFonts w:ascii="Arial" w:hAnsi="Arial" w:cs="Arial"/>
            <w:sz w:val="12"/>
            <w:szCs w:val="12"/>
          </w:rPr>
          <w:t>http://www.mop.gov.si/fileadmin/mop.gov.si/pageuploads/podrocja/voda/03_karta_kriterij_kulturna_dediscina.pdf</w:t>
        </w:r>
      </w:hyperlink>
    </w:p>
  </w:footnote>
  <w:footnote w:id="57">
    <w:p w:rsidR="001323F1" w:rsidRPr="00D93DFE" w:rsidRDefault="001323F1" w:rsidP="003C1B05">
      <w:pPr>
        <w:pStyle w:val="Sprotnaopomba-besedilo"/>
        <w:rPr>
          <w:rFonts w:ascii="Arial" w:hAnsi="Arial" w:cs="Arial"/>
          <w:sz w:val="12"/>
          <w:szCs w:val="12"/>
        </w:rPr>
      </w:pPr>
      <w:r w:rsidRPr="00D93DFE">
        <w:rPr>
          <w:rStyle w:val="Sprotnaopomba-sklic"/>
          <w:rFonts w:ascii="Arial" w:hAnsi="Arial"/>
          <w:sz w:val="12"/>
          <w:szCs w:val="12"/>
        </w:rPr>
        <w:footnoteRef/>
      </w:r>
      <w:r w:rsidRPr="00D93DFE">
        <w:rPr>
          <w:rFonts w:ascii="Arial" w:hAnsi="Arial" w:cs="Arial"/>
          <w:sz w:val="12"/>
          <w:szCs w:val="12"/>
        </w:rPr>
        <w:t xml:space="preserve"> </w:t>
      </w:r>
      <w:hyperlink r:id="rId25" w:history="1">
        <w:r w:rsidRPr="00D93DFE">
          <w:rPr>
            <w:rStyle w:val="Hiperpovezava1"/>
            <w:rFonts w:ascii="Arial" w:hAnsi="Arial" w:cs="Arial"/>
            <w:sz w:val="12"/>
            <w:szCs w:val="12"/>
          </w:rPr>
          <w:t>http://www.mop.gov.si/fileadmin/mop.gov.si/pageuploads/podrocja/voda/04_karta_kriterij_okolje.pdf</w:t>
        </w:r>
      </w:hyperlink>
    </w:p>
  </w:footnote>
  <w:footnote w:id="58">
    <w:p w:rsidR="001323F1" w:rsidRPr="00D93DFE" w:rsidRDefault="001323F1" w:rsidP="003C1B05">
      <w:pPr>
        <w:pStyle w:val="Sprotnaopomba-besedilo"/>
        <w:rPr>
          <w:i/>
          <w:sz w:val="12"/>
          <w:szCs w:val="12"/>
        </w:rPr>
      </w:pPr>
      <w:r w:rsidRPr="00D93DFE">
        <w:rPr>
          <w:rStyle w:val="Sprotnaopomba-sklic"/>
          <w:i/>
          <w:sz w:val="12"/>
          <w:szCs w:val="12"/>
        </w:rPr>
        <w:footnoteRef/>
      </w:r>
      <w:r w:rsidRPr="00D93DFE">
        <w:rPr>
          <w:i/>
          <w:sz w:val="12"/>
          <w:szCs w:val="12"/>
        </w:rPr>
        <w:t xml:space="preserve"> </w:t>
      </w:r>
      <w:hyperlink r:id="rId26" w:history="1">
        <w:r w:rsidRPr="00D93DFE">
          <w:rPr>
            <w:rStyle w:val="Hiperpovezava1"/>
            <w:i/>
            <w:sz w:val="12"/>
            <w:szCs w:val="12"/>
          </w:rPr>
          <w:t>http://www.mop.gov.si/fileadmin/mop.gov.si/pageuploads/podrocja/voda/nzpo/NZPO_SLO_2015_12_08.pdf</w:t>
        </w:r>
      </w:hyperlink>
    </w:p>
    <w:p w:rsidR="001323F1" w:rsidRPr="00D93DFE" w:rsidRDefault="001323F1" w:rsidP="003C1B05">
      <w:pPr>
        <w:pStyle w:val="Sprotnaopomba-besedilo"/>
        <w:rPr>
          <w:i/>
          <w:sz w:val="12"/>
          <w:szCs w:val="12"/>
        </w:rPr>
      </w:pPr>
    </w:p>
  </w:footnote>
  <w:footnote w:id="59">
    <w:p w:rsidR="001323F1" w:rsidRPr="00D93DFE" w:rsidRDefault="001323F1" w:rsidP="006331C1">
      <w:pPr>
        <w:pStyle w:val="Sprotnaopomba-besedilo"/>
        <w:rPr>
          <w:rFonts w:ascii="Arial" w:hAnsi="Arial" w:cs="Arial"/>
          <w:i/>
          <w:sz w:val="12"/>
          <w:szCs w:val="12"/>
        </w:rPr>
      </w:pPr>
      <w:r w:rsidRPr="00D93DFE">
        <w:rPr>
          <w:rStyle w:val="Sprotnaopomba-sklic"/>
          <w:rFonts w:ascii="Arial" w:hAnsi="Arial"/>
          <w:i/>
          <w:sz w:val="12"/>
          <w:szCs w:val="12"/>
        </w:rPr>
        <w:footnoteRef/>
      </w:r>
      <w:r w:rsidRPr="00D93DFE">
        <w:rPr>
          <w:rFonts w:ascii="Arial" w:hAnsi="Arial" w:cs="Arial"/>
          <w:i/>
          <w:sz w:val="12"/>
          <w:szCs w:val="12"/>
        </w:rPr>
        <w:t xml:space="preserve"> </w:t>
      </w:r>
      <w:hyperlink r:id="rId27" w:history="1">
        <w:r w:rsidRPr="00D93DFE">
          <w:rPr>
            <w:rStyle w:val="Hiperpovezava1"/>
            <w:rFonts w:ascii="Arial" w:hAnsi="Arial" w:cs="Arial"/>
            <w:i/>
            <w:sz w:val="12"/>
            <w:szCs w:val="12"/>
          </w:rPr>
          <w:t>http://www.uradni-list.si/1/content?id=88381</w:t>
        </w:r>
      </w:hyperlink>
    </w:p>
  </w:footnote>
  <w:footnote w:id="60">
    <w:p w:rsidR="001323F1" w:rsidRPr="00D93DFE" w:rsidRDefault="001323F1" w:rsidP="003C1B05">
      <w:pPr>
        <w:pStyle w:val="Sprotnaopomba-besedilo"/>
        <w:rPr>
          <w:rFonts w:ascii="Arial" w:hAnsi="Arial" w:cs="Arial"/>
          <w:i/>
          <w:sz w:val="12"/>
          <w:szCs w:val="12"/>
        </w:rPr>
      </w:pPr>
      <w:r w:rsidRPr="00D93DFE">
        <w:rPr>
          <w:rStyle w:val="Sprotnaopomba-sklic"/>
          <w:rFonts w:ascii="Arial" w:hAnsi="Arial"/>
          <w:i/>
          <w:sz w:val="12"/>
          <w:szCs w:val="12"/>
        </w:rPr>
        <w:footnoteRef/>
      </w:r>
      <w:r w:rsidRPr="00D93DFE">
        <w:rPr>
          <w:rFonts w:ascii="Arial" w:hAnsi="Arial" w:cs="Arial"/>
          <w:i/>
          <w:sz w:val="12"/>
          <w:szCs w:val="12"/>
        </w:rPr>
        <w:t xml:space="preserve"> </w:t>
      </w:r>
      <w:hyperlink r:id="rId28" w:history="1">
        <w:r w:rsidRPr="00D93DFE">
          <w:rPr>
            <w:rStyle w:val="Hiperpovezava1"/>
            <w:rFonts w:ascii="Arial" w:hAnsi="Arial" w:cs="Arial"/>
            <w:i/>
            <w:sz w:val="12"/>
            <w:szCs w:val="12"/>
          </w:rPr>
          <w:t>http://evode.arso.gov.si/</w:t>
        </w:r>
      </w:hyperlink>
    </w:p>
  </w:footnote>
  <w:footnote w:id="61">
    <w:p w:rsidR="001323F1" w:rsidRPr="00D93DFE" w:rsidRDefault="001323F1" w:rsidP="00DF4CD9">
      <w:pPr>
        <w:pStyle w:val="Sprotnaopomba-besedilo"/>
        <w:rPr>
          <w:rFonts w:ascii="Arial" w:hAnsi="Arial" w:cs="Arial"/>
          <w:sz w:val="18"/>
          <w:szCs w:val="18"/>
        </w:rPr>
      </w:pPr>
      <w:r w:rsidRPr="00D93DFE">
        <w:rPr>
          <w:rStyle w:val="Sprotnaopomba-sklic"/>
          <w:rFonts w:ascii="Arial" w:hAnsi="Arial"/>
          <w:sz w:val="18"/>
          <w:szCs w:val="18"/>
        </w:rPr>
        <w:footnoteRef/>
      </w:r>
      <w:r w:rsidRPr="00D93DFE">
        <w:rPr>
          <w:rFonts w:ascii="Arial" w:hAnsi="Arial" w:cs="Arial"/>
          <w:sz w:val="18"/>
          <w:szCs w:val="18"/>
        </w:rPr>
        <w:t xml:space="preserve"> </w:t>
      </w:r>
      <w:r w:rsidRPr="00D93DFE">
        <w:rPr>
          <w:rFonts w:ascii="Arial" w:hAnsi="Arial" w:cs="Arial"/>
          <w:sz w:val="18"/>
          <w:szCs w:val="18"/>
          <w:lang w:eastAsia="sl-SI"/>
        </w:rPr>
        <w:t>Smernice vzgoje in izobraževanja za trajnostni razvoj od predšolske vzgoje do douniverzitetnega izobraževanja:</w:t>
      </w:r>
      <w:r w:rsidRPr="000C199F">
        <w:rPr>
          <w:rFonts w:ascii="Arial" w:hAnsi="Arial" w:cs="Arial"/>
          <w:iCs/>
          <w:sz w:val="18"/>
          <w:szCs w:val="18"/>
        </w:rPr>
        <w:t xml:space="preserve"> </w:t>
      </w:r>
      <w:hyperlink r:id="rId29" w:history="1">
        <w:r w:rsidRPr="00D93DFE">
          <w:rPr>
            <w:rStyle w:val="Hiperpovezava"/>
            <w:rFonts w:ascii="Arial" w:eastAsiaTheme="majorEastAsia" w:hAnsi="Arial" w:cs="Arial"/>
            <w:iCs/>
            <w:sz w:val="18"/>
            <w:szCs w:val="18"/>
          </w:rPr>
          <w:t>http://www.mss.gov.si/fileadmin/mss.gov.si/pageuploads/podrocje/razvoj_solstva/trajnostni_razvoj/trajnostni_smernice_VITR.doc</w:t>
        </w:r>
      </w:hyperlink>
    </w:p>
  </w:footnote>
  <w:footnote w:id="62">
    <w:p w:rsidR="001323F1" w:rsidRPr="00D93DFE" w:rsidRDefault="001323F1" w:rsidP="00DF4CD9">
      <w:pPr>
        <w:pStyle w:val="Sprotnaopomba-besedilo"/>
        <w:jc w:val="both"/>
        <w:rPr>
          <w:rFonts w:ascii="Arial" w:eastAsia="Arial Unicode MS" w:hAnsi="Arial" w:cs="Arial"/>
          <w:kern w:val="2"/>
          <w:sz w:val="18"/>
          <w:szCs w:val="18"/>
        </w:rPr>
      </w:pPr>
      <w:r w:rsidRPr="00D93DFE">
        <w:rPr>
          <w:rStyle w:val="Sprotnaopomba-sklic"/>
          <w:rFonts w:ascii="Arial" w:hAnsi="Arial"/>
          <w:sz w:val="18"/>
          <w:szCs w:val="18"/>
        </w:rPr>
        <w:footnoteRef/>
      </w:r>
      <w:r w:rsidRPr="00D93DFE">
        <w:rPr>
          <w:rFonts w:ascii="Arial" w:hAnsi="Arial" w:cs="Arial"/>
          <w:sz w:val="18"/>
          <w:szCs w:val="18"/>
        </w:rPr>
        <w:t xml:space="preserve"> </w:t>
      </w:r>
      <w:r w:rsidRPr="00D93DFE">
        <w:rPr>
          <w:rFonts w:ascii="Arial" w:hAnsi="Arial" w:cs="Arial"/>
          <w:bCs/>
          <w:sz w:val="18"/>
          <w:szCs w:val="18"/>
        </w:rPr>
        <w:t>Strategija vzgoje in izobraževanja za trajnostni razvoj UNECE je bila</w:t>
      </w:r>
      <w:r w:rsidRPr="00D93DFE">
        <w:rPr>
          <w:rFonts w:ascii="Arial" w:hAnsi="Arial" w:cs="Arial"/>
          <w:b/>
          <w:bCs/>
          <w:sz w:val="18"/>
          <w:szCs w:val="18"/>
        </w:rPr>
        <w:t xml:space="preserve"> </w:t>
      </w:r>
      <w:r w:rsidRPr="00D93DFE">
        <w:rPr>
          <w:rFonts w:ascii="Arial" w:hAnsi="Arial" w:cs="Arial"/>
          <w:bCs/>
          <w:sz w:val="18"/>
          <w:szCs w:val="18"/>
        </w:rPr>
        <w:t xml:space="preserve">sprejeta na srečanju na visoki ravni ministrov za izobraževanje in okolje v Vilni marca 2005. </w:t>
      </w:r>
      <w:r w:rsidRPr="00D93DFE">
        <w:rPr>
          <w:rFonts w:ascii="Arial" w:hAnsi="Arial" w:cs="Arial"/>
          <w:sz w:val="18"/>
          <w:szCs w:val="18"/>
        </w:rPr>
        <w:t xml:space="preserve">UNECE: UN, Economic Commission for Europe Dostopna prek: </w:t>
      </w:r>
      <w:hyperlink r:id="rId30" w:history="1">
        <w:r w:rsidRPr="00D93DFE">
          <w:rPr>
            <w:rStyle w:val="Hiperpovezava"/>
            <w:rFonts w:ascii="Arial" w:eastAsiaTheme="majorEastAsia" w:hAnsi="Arial" w:cs="Arial"/>
            <w:sz w:val="18"/>
            <w:szCs w:val="18"/>
          </w:rPr>
          <w:t>http://www.unece.org/?id=24444</w:t>
        </w:r>
      </w:hyperlink>
      <w:r w:rsidRPr="00D93DFE">
        <w:rPr>
          <w:rFonts w:ascii="Arial" w:hAnsi="Arial" w:cs="Arial"/>
          <w:sz w:val="18"/>
          <w:szCs w:val="18"/>
        </w:rPr>
        <w:t xml:space="preserve">. </w:t>
      </w:r>
    </w:p>
  </w:footnote>
  <w:footnote w:id="63">
    <w:p w:rsidR="001323F1" w:rsidRPr="00D93DFE" w:rsidRDefault="001323F1" w:rsidP="00DF4CD9">
      <w:pPr>
        <w:pStyle w:val="Sprotnaopomba-besedilo"/>
      </w:pPr>
      <w:r w:rsidRPr="00D93DFE">
        <w:rPr>
          <w:rStyle w:val="Sprotnaopomba-sklic"/>
        </w:rPr>
        <w:footnoteRef/>
      </w:r>
      <w:r w:rsidRPr="00D93DFE">
        <w:t xml:space="preserve"> </w:t>
      </w:r>
      <w:r w:rsidRPr="000C199F">
        <w:rPr>
          <w:rFonts w:ascii="Arial" w:hAnsi="Arial" w:cs="Arial"/>
          <w:i/>
          <w:iCs/>
          <w:sz w:val="18"/>
          <w:szCs w:val="18"/>
        </w:rPr>
        <w:t>Vzgoja in izobraževanje</w:t>
      </w:r>
      <w:r w:rsidRPr="000C199F">
        <w:rPr>
          <w:rFonts w:ascii="Arial" w:hAnsi="Arial" w:cs="Arial"/>
          <w:sz w:val="18"/>
          <w:szCs w:val="18"/>
        </w:rPr>
        <w:t>, ISSN 0350-5065, 2014, letn. 45, št. 4.</w:t>
      </w:r>
    </w:p>
  </w:footnote>
  <w:footnote w:id="64">
    <w:p w:rsidR="001323F1" w:rsidRPr="00D93DFE" w:rsidRDefault="001323F1" w:rsidP="00DF4CD9">
      <w:pPr>
        <w:pStyle w:val="Sprotnaopomba-besedilo"/>
        <w:rPr>
          <w:rFonts w:ascii="Arial" w:hAnsi="Arial" w:cs="Arial"/>
          <w:sz w:val="18"/>
          <w:szCs w:val="18"/>
        </w:rPr>
      </w:pPr>
      <w:r w:rsidRPr="00D93DFE">
        <w:rPr>
          <w:rStyle w:val="Sprotnaopomba-sklic"/>
          <w:rFonts w:ascii="Arial" w:hAnsi="Arial"/>
          <w:sz w:val="18"/>
          <w:szCs w:val="18"/>
        </w:rPr>
        <w:footnoteRef/>
      </w:r>
      <w:r w:rsidRPr="00D93DFE">
        <w:rPr>
          <w:rFonts w:ascii="Arial" w:hAnsi="Arial" w:cs="Arial"/>
          <w:sz w:val="18"/>
          <w:szCs w:val="18"/>
        </w:rPr>
        <w:t xml:space="preserve"> </w:t>
      </w:r>
      <w:r w:rsidRPr="00D93DFE">
        <w:rPr>
          <w:rFonts w:ascii="Arial" w:hAnsi="Arial" w:cs="Arial"/>
          <w:color w:val="000000"/>
          <w:sz w:val="18"/>
          <w:szCs w:val="18"/>
        </w:rPr>
        <w:t>Global Action Programe on ESD, Roadmap for Implementing (2014). UNESCO</w:t>
      </w:r>
    </w:p>
  </w:footnote>
  <w:footnote w:id="65">
    <w:p w:rsidR="001323F1" w:rsidRPr="00D93DFE" w:rsidRDefault="001323F1" w:rsidP="00DF4CD9">
      <w:pPr>
        <w:pStyle w:val="Sprotnaopomba-besedilo"/>
        <w:jc w:val="both"/>
        <w:rPr>
          <w:rFonts w:ascii="Arial" w:hAnsi="Arial" w:cs="Arial"/>
          <w:sz w:val="18"/>
          <w:szCs w:val="18"/>
        </w:rPr>
      </w:pPr>
      <w:r w:rsidRPr="00D93DFE">
        <w:rPr>
          <w:rStyle w:val="Sprotnaopomba-sklic"/>
          <w:rFonts w:ascii="Arial" w:eastAsia="Arial Unicode MS" w:hAnsi="Arial"/>
          <w:sz w:val="18"/>
          <w:szCs w:val="18"/>
        </w:rPr>
        <w:footnoteRef/>
      </w:r>
      <w:r w:rsidRPr="00D93DFE">
        <w:rPr>
          <w:rFonts w:ascii="Arial" w:hAnsi="Arial" w:cs="Arial"/>
          <w:sz w:val="18"/>
          <w:szCs w:val="18"/>
        </w:rPr>
        <w:t xml:space="preserve"> </w:t>
      </w:r>
      <w:r w:rsidRPr="00D93DFE">
        <w:rPr>
          <w:rFonts w:ascii="Arial" w:hAnsi="Arial" w:cs="Arial"/>
          <w:color w:val="000000"/>
          <w:sz w:val="18"/>
          <w:szCs w:val="18"/>
        </w:rPr>
        <w:t>Mednarodni program »Eco-Schools« je eden od programov Mednarodne fundacije za okoljsko vzgojo - FEE International.</w:t>
      </w:r>
    </w:p>
    <w:p w:rsidR="001323F1" w:rsidRPr="00D93DFE" w:rsidRDefault="001323F1" w:rsidP="00DF4CD9">
      <w:pPr>
        <w:pStyle w:val="Sprotnaopomba-besedilo"/>
      </w:pPr>
    </w:p>
  </w:footnote>
  <w:footnote w:id="66">
    <w:p w:rsidR="001323F1" w:rsidRPr="000C199F" w:rsidRDefault="001323F1" w:rsidP="00BA11EF">
      <w:pPr>
        <w:spacing w:line="240" w:lineRule="auto"/>
        <w:jc w:val="both"/>
        <w:rPr>
          <w:lang w:val="sl-SI"/>
        </w:rPr>
      </w:pPr>
      <w:r w:rsidRPr="000C199F">
        <w:rPr>
          <w:rStyle w:val="Sprotnaopomba-sklic"/>
          <w:lang w:val="sl-SI"/>
        </w:rPr>
        <w:footnoteRef/>
      </w:r>
      <w:r w:rsidRPr="000C199F">
        <w:rPr>
          <w:lang w:val="sl-SI"/>
        </w:rPr>
        <w:t xml:space="preserve"> </w:t>
      </w:r>
      <w:r w:rsidRPr="000C199F">
        <w:rPr>
          <w:szCs w:val="20"/>
          <w:lang w:val="sl-SI"/>
        </w:rPr>
        <w:t>Namenska raba prostora je načrtovana funkcionalna razsežnost ali socialno-ekonomski namen območja (npr. stanovanjski, industrijski, trgovinski, kmetijski, gozdni, rekreacijski). Namenska raba prostora se določa s prostorskimi akti.</w:t>
      </w:r>
    </w:p>
    <w:p w:rsidR="001323F1" w:rsidRPr="00D93DFE" w:rsidRDefault="001323F1" w:rsidP="00BA11EF">
      <w:pPr>
        <w:pStyle w:val="Sprotnaopomba-besedilo"/>
      </w:pPr>
    </w:p>
  </w:footnote>
  <w:footnote w:id="67">
    <w:p w:rsidR="001323F1" w:rsidRPr="00D93DFE" w:rsidRDefault="001323F1" w:rsidP="00BA11EF">
      <w:pPr>
        <w:pStyle w:val="Sprotnaopomba-besedilo"/>
      </w:pPr>
      <w:r w:rsidRPr="00D93DFE">
        <w:rPr>
          <w:rStyle w:val="Sprotnaopomba-sklic"/>
        </w:rPr>
        <w:footnoteRef/>
      </w:r>
      <w:r w:rsidRPr="00D93DFE">
        <w:t xml:space="preserve"> Neurbane rabe prostora  so tista območja namenske rabe prostora, ki niso namenjena za gradnjo stanovanj, industrijskih, infrastrukturnih in drugih objektov in niso opredeljene kot območje zelenih površin naselja.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323F1" w:rsidRDefault="001323F1">
    <w:pPr>
      <w:pStyle w:val="Glava"/>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323F1" w:rsidRPr="00110CBD" w:rsidRDefault="001323F1" w:rsidP="007D75CF">
    <w:pPr>
      <w:pStyle w:val="Glava"/>
      <w:spacing w:line="240" w:lineRule="exact"/>
      <w:rPr>
        <w:rFonts w:ascii="Republika" w:hAnsi="Republika"/>
        <w:sz w:val="16"/>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42" w:rightFromText="142" w:bottomFromText="6005" w:vertAnchor="page" w:horzAnchor="page" w:tblpX="925" w:tblpY="869"/>
      <w:tblW w:w="0" w:type="auto"/>
      <w:tblLook w:val="04A0" w:firstRow="1" w:lastRow="0" w:firstColumn="1" w:lastColumn="0" w:noHBand="0" w:noVBand="1"/>
    </w:tblPr>
    <w:tblGrid>
      <w:gridCol w:w="649"/>
    </w:tblGrid>
    <w:tr w:rsidR="001323F1" w:rsidRPr="008F3500">
      <w:trPr>
        <w:cantSplit/>
        <w:trHeight w:hRule="exact" w:val="847"/>
      </w:trPr>
      <w:tc>
        <w:tcPr>
          <w:tcW w:w="567" w:type="dxa"/>
        </w:tcPr>
        <w:p w:rsidR="001323F1" w:rsidRDefault="001323F1" w:rsidP="00D248DE">
          <w:pPr>
            <w:autoSpaceDE w:val="0"/>
            <w:autoSpaceDN w:val="0"/>
            <w:adjustRightInd w:val="0"/>
            <w:spacing w:line="240" w:lineRule="auto"/>
            <w:rPr>
              <w:rFonts w:ascii="Republika" w:hAnsi="Republika"/>
              <w:color w:val="529DBA"/>
              <w:sz w:val="60"/>
              <w:szCs w:val="60"/>
              <w:lang w:val="sl-SI"/>
            </w:rPr>
          </w:pPr>
          <w:r w:rsidRPr="008F3500">
            <w:rPr>
              <w:rFonts w:ascii="Republika" w:hAnsi="Republika" w:cs="Republika"/>
              <w:color w:val="529DBA"/>
              <w:sz w:val="60"/>
              <w:szCs w:val="60"/>
              <w:lang w:val="sl-SI" w:eastAsia="sl-SI"/>
            </w:rPr>
            <w:t></w:t>
          </w:r>
        </w:p>
        <w:p w:rsidR="001323F1" w:rsidRPr="006D42D9" w:rsidRDefault="001323F1" w:rsidP="006D42D9">
          <w:pPr>
            <w:rPr>
              <w:rFonts w:ascii="Republika" w:hAnsi="Republika"/>
              <w:sz w:val="60"/>
              <w:szCs w:val="60"/>
              <w:lang w:val="sl-SI"/>
            </w:rPr>
          </w:pPr>
        </w:p>
        <w:p w:rsidR="001323F1" w:rsidRPr="006D42D9" w:rsidRDefault="001323F1" w:rsidP="006D42D9">
          <w:pPr>
            <w:rPr>
              <w:rFonts w:ascii="Republika" w:hAnsi="Republika"/>
              <w:sz w:val="60"/>
              <w:szCs w:val="60"/>
              <w:lang w:val="sl-SI"/>
            </w:rPr>
          </w:pPr>
        </w:p>
        <w:p w:rsidR="001323F1" w:rsidRPr="006D42D9" w:rsidRDefault="001323F1" w:rsidP="006D42D9">
          <w:pPr>
            <w:rPr>
              <w:rFonts w:ascii="Republika" w:hAnsi="Republika"/>
              <w:sz w:val="60"/>
              <w:szCs w:val="60"/>
              <w:lang w:val="sl-SI"/>
            </w:rPr>
          </w:pPr>
        </w:p>
        <w:p w:rsidR="001323F1" w:rsidRPr="006D42D9" w:rsidRDefault="001323F1" w:rsidP="006D42D9">
          <w:pPr>
            <w:rPr>
              <w:rFonts w:ascii="Republika" w:hAnsi="Republika"/>
              <w:sz w:val="60"/>
              <w:szCs w:val="60"/>
              <w:lang w:val="sl-SI"/>
            </w:rPr>
          </w:pPr>
        </w:p>
        <w:p w:rsidR="001323F1" w:rsidRPr="006D42D9" w:rsidRDefault="001323F1" w:rsidP="006D42D9">
          <w:pPr>
            <w:rPr>
              <w:rFonts w:ascii="Republika" w:hAnsi="Republika"/>
              <w:sz w:val="60"/>
              <w:szCs w:val="60"/>
              <w:lang w:val="sl-SI"/>
            </w:rPr>
          </w:pPr>
        </w:p>
        <w:p w:rsidR="001323F1" w:rsidRPr="006D42D9" w:rsidRDefault="001323F1" w:rsidP="006D42D9">
          <w:pPr>
            <w:rPr>
              <w:rFonts w:ascii="Republika" w:hAnsi="Republika"/>
              <w:sz w:val="60"/>
              <w:szCs w:val="60"/>
              <w:lang w:val="sl-SI"/>
            </w:rPr>
          </w:pPr>
        </w:p>
        <w:p w:rsidR="001323F1" w:rsidRPr="006D42D9" w:rsidRDefault="001323F1" w:rsidP="006D42D9">
          <w:pPr>
            <w:rPr>
              <w:rFonts w:ascii="Republika" w:hAnsi="Republika"/>
              <w:sz w:val="60"/>
              <w:szCs w:val="60"/>
              <w:lang w:val="sl-SI"/>
            </w:rPr>
          </w:pPr>
        </w:p>
        <w:p w:rsidR="001323F1" w:rsidRPr="006D42D9" w:rsidRDefault="001323F1" w:rsidP="006D42D9">
          <w:pPr>
            <w:rPr>
              <w:rFonts w:ascii="Republika" w:hAnsi="Republika"/>
              <w:sz w:val="60"/>
              <w:szCs w:val="60"/>
              <w:lang w:val="sl-SI"/>
            </w:rPr>
          </w:pPr>
        </w:p>
        <w:p w:rsidR="001323F1" w:rsidRPr="006D42D9" w:rsidRDefault="001323F1" w:rsidP="006D42D9">
          <w:pPr>
            <w:rPr>
              <w:rFonts w:ascii="Republika" w:hAnsi="Republika"/>
              <w:sz w:val="60"/>
              <w:szCs w:val="60"/>
              <w:lang w:val="sl-SI"/>
            </w:rPr>
          </w:pPr>
        </w:p>
        <w:p w:rsidR="001323F1" w:rsidRPr="006D42D9" w:rsidRDefault="001323F1" w:rsidP="006D42D9">
          <w:pPr>
            <w:rPr>
              <w:rFonts w:ascii="Republika" w:hAnsi="Republika"/>
              <w:sz w:val="60"/>
              <w:szCs w:val="60"/>
              <w:lang w:val="sl-SI"/>
            </w:rPr>
          </w:pPr>
        </w:p>
        <w:p w:rsidR="001323F1" w:rsidRPr="006D42D9" w:rsidRDefault="001323F1" w:rsidP="006D42D9">
          <w:pPr>
            <w:rPr>
              <w:rFonts w:ascii="Republika" w:hAnsi="Republika"/>
              <w:sz w:val="60"/>
              <w:szCs w:val="60"/>
              <w:lang w:val="sl-SI"/>
            </w:rPr>
          </w:pPr>
        </w:p>
        <w:p w:rsidR="001323F1" w:rsidRPr="006D42D9" w:rsidRDefault="001323F1" w:rsidP="006D42D9">
          <w:pPr>
            <w:rPr>
              <w:rFonts w:ascii="Republika" w:hAnsi="Republika"/>
              <w:sz w:val="60"/>
              <w:szCs w:val="60"/>
              <w:lang w:val="sl-SI"/>
            </w:rPr>
          </w:pPr>
        </w:p>
        <w:p w:rsidR="001323F1" w:rsidRPr="006D42D9" w:rsidRDefault="001323F1" w:rsidP="006D42D9">
          <w:pPr>
            <w:rPr>
              <w:rFonts w:ascii="Republika" w:hAnsi="Republika"/>
              <w:sz w:val="60"/>
              <w:szCs w:val="60"/>
              <w:lang w:val="sl-SI"/>
            </w:rPr>
          </w:pPr>
        </w:p>
        <w:p w:rsidR="001323F1" w:rsidRPr="006D42D9" w:rsidRDefault="001323F1" w:rsidP="006D42D9">
          <w:pPr>
            <w:rPr>
              <w:rFonts w:ascii="Republika" w:hAnsi="Republika"/>
              <w:sz w:val="60"/>
              <w:szCs w:val="60"/>
              <w:lang w:val="sl-SI"/>
            </w:rPr>
          </w:pPr>
        </w:p>
        <w:p w:rsidR="001323F1" w:rsidRPr="006D42D9" w:rsidRDefault="001323F1" w:rsidP="006D42D9">
          <w:pPr>
            <w:rPr>
              <w:rFonts w:ascii="Republika" w:hAnsi="Republika"/>
              <w:sz w:val="60"/>
              <w:szCs w:val="60"/>
              <w:lang w:val="sl-SI"/>
            </w:rPr>
          </w:pPr>
        </w:p>
        <w:p w:rsidR="001323F1" w:rsidRPr="006D42D9" w:rsidRDefault="001323F1" w:rsidP="006D42D9">
          <w:pPr>
            <w:rPr>
              <w:rFonts w:ascii="Republika" w:hAnsi="Republika"/>
              <w:sz w:val="60"/>
              <w:szCs w:val="60"/>
              <w:lang w:val="sl-SI"/>
            </w:rPr>
          </w:pPr>
        </w:p>
      </w:tc>
    </w:tr>
  </w:tbl>
  <w:p w:rsidR="001323F1" w:rsidRPr="00B95595" w:rsidRDefault="001323F1" w:rsidP="00924E3C">
    <w:pPr>
      <w:autoSpaceDE w:val="0"/>
      <w:autoSpaceDN w:val="0"/>
      <w:adjustRightInd w:val="0"/>
      <w:spacing w:line="240" w:lineRule="auto"/>
      <w:rPr>
        <w:rFonts w:ascii="Republika" w:hAnsi="Republika"/>
        <w:lang w:val="sl-SI"/>
      </w:rPr>
    </w:pPr>
    <w:r>
      <w:rPr>
        <w:rFonts w:ascii="Republika" w:hAnsi="Republika"/>
        <w:noProof/>
        <w:szCs w:val="20"/>
        <w:lang w:val="sl-SI" w:eastAsia="sl-SI"/>
      </w:rPr>
      <mc:AlternateContent>
        <mc:Choice Requires="wps">
          <w:drawing>
            <wp:anchor distT="0" distB="0" distL="114300" distR="114300" simplePos="0" relativeHeight="251657728" behindDoc="1" locked="0" layoutInCell="0" allowOverlap="1" wp14:anchorId="3B401C2F" wp14:editId="25860693">
              <wp:simplePos x="0" y="0"/>
              <wp:positionH relativeFrom="column">
                <wp:posOffset>-431800</wp:posOffset>
              </wp:positionH>
              <wp:positionV relativeFrom="page">
                <wp:posOffset>3600450</wp:posOffset>
              </wp:positionV>
              <wp:extent cx="252095" cy="0"/>
              <wp:effectExtent l="6350" t="9525" r="8255" b="9525"/>
              <wp:wrapNone/>
              <wp:docPr id="1"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2095" cy="0"/>
                      </a:xfrm>
                      <a:prstGeom prst="line">
                        <a:avLst/>
                      </a:prstGeom>
                      <a:noFill/>
                      <a:ln w="6350">
                        <a:solidFill>
                          <a:srgbClr val="4282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F3AA1F" id="Line 5"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34pt,283.5pt" to="-14.15pt,2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" o:allowincell="f" strokecolor="#428299" strokeweight=".5pt">
              <w10:wrap anchory="page"/>
            </v:line>
          </w:pict>
        </mc:Fallback>
      </mc:AlternateContent>
    </w:r>
    <w:r w:rsidRPr="00B95595">
      <w:rPr>
        <w:rFonts w:ascii="Republika" w:hAnsi="Republika"/>
        <w:lang w:val="sl-SI"/>
      </w:rPr>
      <w:t>REPUBLIKA SLOVENIJA</w:t>
    </w:r>
  </w:p>
  <w:p w:rsidR="001323F1" w:rsidRDefault="001323F1" w:rsidP="00924E3C">
    <w:pPr>
      <w:pStyle w:val="Glava"/>
      <w:tabs>
        <w:tab w:val="clear" w:pos="4320"/>
        <w:tab w:val="clear" w:pos="8640"/>
        <w:tab w:val="left" w:pos="5112"/>
      </w:tabs>
      <w:spacing w:after="120" w:line="240" w:lineRule="exact"/>
      <w:rPr>
        <w:rFonts w:ascii="Republika" w:hAnsi="Republika"/>
        <w:b/>
        <w:caps/>
        <w:lang w:val="sl-SI"/>
      </w:rPr>
    </w:pPr>
    <w:r w:rsidRPr="00B95595">
      <w:rPr>
        <w:rFonts w:ascii="Republika" w:hAnsi="Republika"/>
        <w:b/>
        <w:caps/>
        <w:lang w:val="sl-SI"/>
      </w:rPr>
      <w:t xml:space="preserve">Ministrstvo za </w:t>
    </w:r>
    <w:r>
      <w:rPr>
        <w:rFonts w:ascii="Republika" w:hAnsi="Republika"/>
        <w:b/>
        <w:caps/>
        <w:lang w:val="sl-SI"/>
      </w:rPr>
      <w:t>OKOLJE IN PROSTOR</w:t>
    </w:r>
  </w:p>
  <w:p w:rsidR="001323F1" w:rsidRPr="00B95595" w:rsidRDefault="001323F1" w:rsidP="00924E3C">
    <w:pPr>
      <w:pStyle w:val="Glava"/>
      <w:tabs>
        <w:tab w:val="clear" w:pos="4320"/>
        <w:tab w:val="clear" w:pos="8640"/>
        <w:tab w:val="left" w:pos="5112"/>
      </w:tabs>
      <w:spacing w:after="120" w:line="240" w:lineRule="exact"/>
      <w:rPr>
        <w:rFonts w:ascii="Republika" w:hAnsi="Republika"/>
        <w:b/>
        <w:caps/>
        <w:lang w:val="sl-SI"/>
      </w:rPr>
    </w:pPr>
    <w:r>
      <w:rPr>
        <w:rFonts w:ascii="Republika" w:hAnsi="Republika"/>
        <w:b/>
        <w:caps/>
        <w:lang w:val="sl-SI"/>
      </w:rPr>
      <w:t>Direktorat za okolje</w:t>
    </w:r>
  </w:p>
  <w:p w:rsidR="001323F1" w:rsidRPr="008F3500" w:rsidRDefault="001323F1" w:rsidP="00994953">
    <w:pPr>
      <w:pStyle w:val="Glava"/>
      <w:tabs>
        <w:tab w:val="clear" w:pos="4320"/>
        <w:tab w:val="clear" w:pos="8640"/>
        <w:tab w:val="left" w:pos="5112"/>
      </w:tabs>
      <w:spacing w:before="120" w:line="240" w:lineRule="exact"/>
      <w:rPr>
        <w:rFonts w:cs="Arial"/>
        <w:sz w:val="16"/>
        <w:lang w:val="sl-SI"/>
      </w:rPr>
    </w:pPr>
    <w:r w:rsidRPr="00B95595">
      <w:rPr>
        <w:rFonts w:ascii="Republika" w:hAnsi="Republika" w:cs="Arial"/>
        <w:sz w:val="16"/>
        <w:lang w:val="sl-SI"/>
      </w:rPr>
      <w:t xml:space="preserve">Dunajska cesta </w:t>
    </w:r>
    <w:r>
      <w:rPr>
        <w:rFonts w:ascii="Republika" w:hAnsi="Republika" w:cs="Arial"/>
        <w:sz w:val="16"/>
        <w:lang w:val="sl-SI"/>
      </w:rPr>
      <w:t>48</w:t>
    </w:r>
    <w:r w:rsidRPr="00B95595">
      <w:rPr>
        <w:rFonts w:ascii="Republika" w:hAnsi="Republika" w:cs="Arial"/>
        <w:sz w:val="16"/>
        <w:lang w:val="sl-SI"/>
      </w:rPr>
      <w:t>, 1000 Ljubljana</w:t>
    </w:r>
    <w:r w:rsidRPr="008F3500">
      <w:rPr>
        <w:rFonts w:cs="Arial"/>
        <w:sz w:val="16"/>
        <w:lang w:val="sl-SI"/>
      </w:rPr>
      <w:tab/>
      <w:t xml:space="preserve">T: </w:t>
    </w:r>
    <w:r>
      <w:rPr>
        <w:rFonts w:cs="Arial"/>
        <w:sz w:val="16"/>
        <w:lang w:val="sl-SI"/>
      </w:rPr>
      <w:t>01 478 74 00</w:t>
    </w:r>
  </w:p>
  <w:p w:rsidR="001323F1" w:rsidRPr="008F3500" w:rsidRDefault="001323F1" w:rsidP="00994953">
    <w:pPr>
      <w:pStyle w:val="Glava"/>
      <w:tabs>
        <w:tab w:val="clear" w:pos="4320"/>
        <w:tab w:val="clear" w:pos="8640"/>
        <w:tab w:val="left" w:pos="5112"/>
      </w:tabs>
      <w:spacing w:line="240" w:lineRule="exact"/>
      <w:rPr>
        <w:rFonts w:cs="Arial"/>
        <w:sz w:val="16"/>
        <w:lang w:val="sl-SI"/>
      </w:rPr>
    </w:pPr>
    <w:r w:rsidRPr="008F3500">
      <w:rPr>
        <w:rFonts w:cs="Arial"/>
        <w:sz w:val="16"/>
        <w:lang w:val="sl-SI"/>
      </w:rPr>
      <w:tab/>
      <w:t xml:space="preserve">E: </w:t>
    </w:r>
    <w:r>
      <w:rPr>
        <w:rFonts w:cs="Arial"/>
        <w:sz w:val="16"/>
        <w:lang w:val="sl-SI"/>
      </w:rPr>
      <w:t>gp.mop@gov.si</w:t>
    </w:r>
  </w:p>
  <w:p w:rsidR="001323F1" w:rsidRPr="008F3500" w:rsidRDefault="001323F1" w:rsidP="00994953">
    <w:pPr>
      <w:pStyle w:val="Glava"/>
      <w:tabs>
        <w:tab w:val="clear" w:pos="4320"/>
        <w:tab w:val="clear" w:pos="8640"/>
        <w:tab w:val="left" w:pos="5112"/>
      </w:tabs>
      <w:spacing w:line="240" w:lineRule="exact"/>
      <w:rPr>
        <w:rFonts w:cs="Arial"/>
        <w:sz w:val="16"/>
        <w:lang w:val="sl-SI"/>
      </w:rPr>
    </w:pPr>
    <w:r w:rsidRPr="008F3500">
      <w:rPr>
        <w:rFonts w:cs="Arial"/>
        <w:sz w:val="16"/>
        <w:lang w:val="sl-SI"/>
      </w:rPr>
      <w:tab/>
    </w:r>
    <w:r>
      <w:rPr>
        <w:rFonts w:cs="Arial"/>
        <w:sz w:val="16"/>
        <w:lang w:val="sl-SI"/>
      </w:rPr>
      <w:t>www.mop.gov.si</w:t>
    </w:r>
  </w:p>
  <w:p w:rsidR="001323F1" w:rsidRPr="008F3500" w:rsidRDefault="001323F1" w:rsidP="00994953">
    <w:pPr>
      <w:pStyle w:val="Glava"/>
      <w:tabs>
        <w:tab w:val="clear" w:pos="4320"/>
        <w:tab w:val="clear" w:pos="8640"/>
        <w:tab w:val="left" w:pos="5112"/>
      </w:tabs>
      <w:spacing w:before="240" w:line="240" w:lineRule="exact"/>
      <w:rPr>
        <w:lang w:val="sl-SI"/>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F"/>
    <w:multiLevelType w:val="singleLevel"/>
    <w:tmpl w:val="55DE7C3E"/>
    <w:lvl w:ilvl="0">
      <w:start w:val="1"/>
      <w:numFmt w:val="decimal"/>
      <w:pStyle w:val="Otevilenseznam2"/>
      <w:lvlText w:val="%1."/>
      <w:lvlJc w:val="left"/>
      <w:pPr>
        <w:tabs>
          <w:tab w:val="num" w:pos="643"/>
        </w:tabs>
        <w:ind w:left="643" w:hanging="360"/>
      </w:pPr>
    </w:lvl>
  </w:abstractNum>
  <w:abstractNum w:abstractNumId="1" w15:restartNumberingAfterBreak="0">
    <w:nsid w:val="FFFFFF88"/>
    <w:multiLevelType w:val="singleLevel"/>
    <w:tmpl w:val="31B2E810"/>
    <w:lvl w:ilvl="0">
      <w:start w:val="1"/>
      <w:numFmt w:val="decimal"/>
      <w:pStyle w:val="Otevilenseznam"/>
      <w:lvlText w:val="%1."/>
      <w:lvlJc w:val="left"/>
      <w:pPr>
        <w:tabs>
          <w:tab w:val="num" w:pos="360"/>
        </w:tabs>
        <w:ind w:left="360" w:hanging="360"/>
      </w:pPr>
    </w:lvl>
  </w:abstractNum>
  <w:abstractNum w:abstractNumId="2" w15:restartNumberingAfterBreak="0">
    <w:nsid w:val="FFFFFF89"/>
    <w:multiLevelType w:val="singleLevel"/>
    <w:tmpl w:val="AEE407BC"/>
    <w:lvl w:ilvl="0">
      <w:start w:val="1"/>
      <w:numFmt w:val="bullet"/>
      <w:pStyle w:val="Oznaenseznam"/>
      <w:lvlText w:val=""/>
      <w:lvlJc w:val="left"/>
      <w:pPr>
        <w:tabs>
          <w:tab w:val="num" w:pos="360"/>
        </w:tabs>
        <w:ind w:left="360" w:hanging="360"/>
      </w:pPr>
      <w:rPr>
        <w:rFonts w:ascii="Symbol" w:hAnsi="Symbol" w:hint="default"/>
      </w:rPr>
    </w:lvl>
  </w:abstractNum>
  <w:abstractNum w:abstractNumId="3" w15:restartNumberingAfterBreak="0">
    <w:nsid w:val="006E19FB"/>
    <w:multiLevelType w:val="hybridMultilevel"/>
    <w:tmpl w:val="E13068DA"/>
    <w:lvl w:ilvl="0" w:tplc="2356FABE">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15:restartNumberingAfterBreak="0">
    <w:nsid w:val="0086313D"/>
    <w:multiLevelType w:val="hybridMultilevel"/>
    <w:tmpl w:val="664CCE34"/>
    <w:lvl w:ilvl="0" w:tplc="D22EA87C">
      <w:start w:val="9126"/>
      <w:numFmt w:val="bullet"/>
      <w:lvlText w:val="-"/>
      <w:lvlJc w:val="left"/>
      <w:pPr>
        <w:tabs>
          <w:tab w:val="num" w:pos="624"/>
        </w:tabs>
        <w:ind w:left="624" w:hanging="264"/>
      </w:pPr>
      <w:rPr>
        <w:rFonts w:ascii="Times New Roman" w:eastAsia="Times New Roman" w:hAnsi="Times New Roman" w:cs="Times New Roman"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2C447C1"/>
    <w:multiLevelType w:val="hybridMultilevel"/>
    <w:tmpl w:val="160407FE"/>
    <w:lvl w:ilvl="0" w:tplc="8A101824">
      <w:numFmt w:val="bullet"/>
      <w:lvlText w:val="-"/>
      <w:lvlJc w:val="left"/>
      <w:pPr>
        <w:ind w:left="720" w:hanging="360"/>
      </w:pPr>
      <w:rPr>
        <w:rFonts w:ascii="Arial" w:eastAsia="Times New Roman" w:hAnsi="Aria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37266AA"/>
    <w:multiLevelType w:val="hybridMultilevel"/>
    <w:tmpl w:val="DF382532"/>
    <w:lvl w:ilvl="0" w:tplc="2356FABE">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068262CF"/>
    <w:multiLevelType w:val="hybridMultilevel"/>
    <w:tmpl w:val="69904CF2"/>
    <w:lvl w:ilvl="0" w:tplc="0800346C">
      <w:numFmt w:val="bullet"/>
      <w:lvlText w:val="-"/>
      <w:lvlJc w:val="left"/>
      <w:pPr>
        <w:ind w:left="720" w:hanging="360"/>
      </w:pPr>
      <w:rPr>
        <w:rFonts w:ascii="Arial" w:eastAsiaTheme="minorHAnsi"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09BF0A4D"/>
    <w:multiLevelType w:val="hybridMultilevel"/>
    <w:tmpl w:val="A8B828C6"/>
    <w:lvl w:ilvl="0" w:tplc="7CC4E86A">
      <w:start w:val="1"/>
      <w:numFmt w:val="decimal"/>
      <w:pStyle w:val="Style1zakopalnavoda"/>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9" w15:restartNumberingAfterBreak="0">
    <w:nsid w:val="09F0786C"/>
    <w:multiLevelType w:val="multilevel"/>
    <w:tmpl w:val="0E5AF288"/>
    <w:lvl w:ilvl="0">
      <w:start w:val="1"/>
      <w:numFmt w:val="decimal"/>
      <w:pStyle w:val="SlogNaslov1Levo0cmPrvavrstica0cm"/>
      <w:lvlText w:val="%1"/>
      <w:lvlJc w:val="left"/>
      <w:pPr>
        <w:tabs>
          <w:tab w:val="num" w:pos="855"/>
        </w:tabs>
        <w:ind w:left="855" w:hanging="855"/>
      </w:pPr>
    </w:lvl>
    <w:lvl w:ilvl="1">
      <w:start w:val="1"/>
      <w:numFmt w:val="decimal"/>
      <w:lvlText w:val="%1.%2"/>
      <w:lvlJc w:val="left"/>
      <w:pPr>
        <w:tabs>
          <w:tab w:val="num" w:pos="855"/>
        </w:tabs>
        <w:ind w:left="855" w:hanging="855"/>
      </w:pPr>
    </w:lvl>
    <w:lvl w:ilvl="2">
      <w:start w:val="1"/>
      <w:numFmt w:val="decimal"/>
      <w:lvlText w:val="%1.%2.%3"/>
      <w:lvlJc w:val="left"/>
      <w:pPr>
        <w:tabs>
          <w:tab w:val="num" w:pos="855"/>
        </w:tabs>
        <w:ind w:left="855" w:hanging="855"/>
      </w:pPr>
    </w:lvl>
    <w:lvl w:ilvl="3">
      <w:start w:val="1"/>
      <w:numFmt w:val="decimal"/>
      <w:lvlText w:val="%1.%2.%3.%4"/>
      <w:lvlJc w:val="left"/>
      <w:pPr>
        <w:tabs>
          <w:tab w:val="num" w:pos="855"/>
        </w:tabs>
        <w:ind w:left="855" w:hanging="855"/>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10" w15:restartNumberingAfterBreak="0">
    <w:nsid w:val="0C7231A0"/>
    <w:multiLevelType w:val="hybridMultilevel"/>
    <w:tmpl w:val="139CB26E"/>
    <w:lvl w:ilvl="0" w:tplc="8A101824">
      <w:numFmt w:val="bullet"/>
      <w:lvlText w:val="-"/>
      <w:lvlJc w:val="left"/>
      <w:pPr>
        <w:ind w:left="720" w:hanging="360"/>
      </w:pPr>
      <w:rPr>
        <w:rFonts w:ascii="Arial" w:eastAsia="Times New Roman" w:hAnsi="Arial"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2356FABE">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 w15:restartNumberingAfterBreak="0">
    <w:nsid w:val="0CF54248"/>
    <w:multiLevelType w:val="multilevel"/>
    <w:tmpl w:val="0424001F"/>
    <w:styleLink w:val="1111111"/>
    <w:lvl w:ilvl="0">
      <w:start w:val="1"/>
      <w:numFmt w:val="decimal"/>
      <w:lvlText w:val="%1."/>
      <w:lvlJc w:val="left"/>
      <w:pPr>
        <w:tabs>
          <w:tab w:val="num" w:pos="720"/>
        </w:tabs>
        <w:ind w:left="360" w:hanging="360"/>
      </w:pPr>
    </w:lvl>
    <w:lvl w:ilvl="1">
      <w:start w:val="1"/>
      <w:numFmt w:val="decimal"/>
      <w:lvlText w:val="%1.%2."/>
      <w:lvlJc w:val="left"/>
      <w:pPr>
        <w:tabs>
          <w:tab w:val="num" w:pos="1440"/>
        </w:tabs>
        <w:ind w:left="792" w:hanging="432"/>
      </w:pPr>
    </w:lvl>
    <w:lvl w:ilvl="2">
      <w:start w:val="1"/>
      <w:numFmt w:val="decimal"/>
      <w:lvlText w:val="%1.%2.%3."/>
      <w:lvlJc w:val="left"/>
      <w:pPr>
        <w:tabs>
          <w:tab w:val="num" w:pos="2160"/>
        </w:tabs>
        <w:ind w:left="1224" w:hanging="504"/>
      </w:pPr>
    </w:lvl>
    <w:lvl w:ilvl="3">
      <w:start w:val="1"/>
      <w:numFmt w:val="decimal"/>
      <w:lvlText w:val="%1.%2.%3.%4."/>
      <w:lvlJc w:val="left"/>
      <w:pPr>
        <w:tabs>
          <w:tab w:val="num" w:pos="2880"/>
        </w:tabs>
        <w:ind w:left="1728" w:hanging="648"/>
      </w:pPr>
    </w:lvl>
    <w:lvl w:ilvl="4">
      <w:start w:val="1"/>
      <w:numFmt w:val="decimal"/>
      <w:lvlText w:val="%1.%2.%3.%4.%5."/>
      <w:lvlJc w:val="left"/>
      <w:pPr>
        <w:tabs>
          <w:tab w:val="num" w:pos="3600"/>
        </w:tabs>
        <w:ind w:left="2232" w:hanging="792"/>
      </w:pPr>
    </w:lvl>
    <w:lvl w:ilvl="5">
      <w:start w:val="1"/>
      <w:numFmt w:val="decimal"/>
      <w:lvlText w:val="%1.%2.%3.%4.%5.%6."/>
      <w:lvlJc w:val="left"/>
      <w:pPr>
        <w:tabs>
          <w:tab w:val="num" w:pos="4680"/>
        </w:tabs>
        <w:ind w:left="2736" w:hanging="936"/>
      </w:pPr>
    </w:lvl>
    <w:lvl w:ilvl="6">
      <w:start w:val="1"/>
      <w:numFmt w:val="decimal"/>
      <w:lvlText w:val="%1.%2.%3.%4.%5.%6.%7."/>
      <w:lvlJc w:val="left"/>
      <w:pPr>
        <w:tabs>
          <w:tab w:val="num" w:pos="5400"/>
        </w:tabs>
        <w:ind w:left="3240" w:hanging="1080"/>
      </w:pPr>
    </w:lvl>
    <w:lvl w:ilvl="7">
      <w:start w:val="1"/>
      <w:numFmt w:val="decimal"/>
      <w:lvlText w:val="%1.%2.%3.%4.%5.%6.%7.%8."/>
      <w:lvlJc w:val="left"/>
      <w:pPr>
        <w:tabs>
          <w:tab w:val="num" w:pos="6120"/>
        </w:tabs>
        <w:ind w:left="3744" w:hanging="1224"/>
      </w:pPr>
    </w:lvl>
    <w:lvl w:ilvl="8">
      <w:start w:val="1"/>
      <w:numFmt w:val="decimal"/>
      <w:lvlText w:val="%1.%2.%3.%4.%5.%6.%7.%8.%9."/>
      <w:lvlJc w:val="left"/>
      <w:pPr>
        <w:tabs>
          <w:tab w:val="num" w:pos="6840"/>
        </w:tabs>
        <w:ind w:left="4320" w:hanging="1440"/>
      </w:pPr>
    </w:lvl>
  </w:abstractNum>
  <w:abstractNum w:abstractNumId="12" w15:restartNumberingAfterBreak="0">
    <w:nsid w:val="0F5A30EA"/>
    <w:multiLevelType w:val="hybridMultilevel"/>
    <w:tmpl w:val="70ACF7C6"/>
    <w:lvl w:ilvl="0" w:tplc="680C01E4">
      <w:start w:val="1"/>
      <w:numFmt w:val="bullet"/>
      <w:pStyle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184176A"/>
    <w:multiLevelType w:val="hybridMultilevel"/>
    <w:tmpl w:val="DC94BCF4"/>
    <w:lvl w:ilvl="0" w:tplc="2356FABE">
      <w:start w:val="1"/>
      <w:numFmt w:val="bullet"/>
      <w:lvlText w:val=""/>
      <w:lvlJc w:val="left"/>
      <w:pPr>
        <w:ind w:left="720" w:hanging="360"/>
      </w:pPr>
      <w:rPr>
        <w:rFonts w:ascii="Symbol" w:hAnsi="Symbol" w:hint="default"/>
        <w:color w:val="auto"/>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 w15:restartNumberingAfterBreak="0">
    <w:nsid w:val="1357353C"/>
    <w:multiLevelType w:val="hybridMultilevel"/>
    <w:tmpl w:val="F6920428"/>
    <w:lvl w:ilvl="0" w:tplc="2356FABE">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 w15:restartNumberingAfterBreak="0">
    <w:nsid w:val="13F132F1"/>
    <w:multiLevelType w:val="hybridMultilevel"/>
    <w:tmpl w:val="F5B0E350"/>
    <w:lvl w:ilvl="0" w:tplc="555C39BE">
      <w:numFmt w:val="bullet"/>
      <w:lvlText w:val="-"/>
      <w:lvlJc w:val="left"/>
      <w:pPr>
        <w:ind w:left="720" w:hanging="360"/>
      </w:pPr>
      <w:rPr>
        <w:rFonts w:ascii="Times New Roman" w:eastAsia="Calibri"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15:restartNumberingAfterBreak="0">
    <w:nsid w:val="14FA5C8C"/>
    <w:multiLevelType w:val="hybridMultilevel"/>
    <w:tmpl w:val="61B28194"/>
    <w:lvl w:ilvl="0" w:tplc="2356FABE">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7" w15:restartNumberingAfterBreak="0">
    <w:nsid w:val="16753A12"/>
    <w:multiLevelType w:val="multilevel"/>
    <w:tmpl w:val="10DE9B92"/>
    <w:styleLink w:val="Slog1"/>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7931D0F"/>
    <w:multiLevelType w:val="hybridMultilevel"/>
    <w:tmpl w:val="EF2CFBAE"/>
    <w:lvl w:ilvl="0" w:tplc="F2BA4C28">
      <w:numFmt w:val="bullet"/>
      <w:lvlText w:val="•"/>
      <w:lvlJc w:val="left"/>
      <w:pPr>
        <w:ind w:left="360" w:hanging="360"/>
      </w:pPr>
      <w:rPr>
        <w:rFonts w:ascii="Arial" w:eastAsiaTheme="minorHAnsi"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 w15:restartNumberingAfterBreak="0">
    <w:nsid w:val="184C5948"/>
    <w:multiLevelType w:val="singleLevel"/>
    <w:tmpl w:val="2DBC0A46"/>
    <w:lvl w:ilvl="0">
      <w:start w:val="1"/>
      <w:numFmt w:val="bullet"/>
      <w:pStyle w:val="Okvirspredpisi-body"/>
      <w:lvlText w:val=""/>
      <w:lvlJc w:val="left"/>
      <w:pPr>
        <w:tabs>
          <w:tab w:val="num" w:pos="360"/>
        </w:tabs>
        <w:ind w:left="0" w:firstLine="0"/>
      </w:pPr>
      <w:rPr>
        <w:rFonts w:ascii="Wingdings" w:hAnsi="Wingdings" w:hint="default"/>
      </w:rPr>
    </w:lvl>
  </w:abstractNum>
  <w:abstractNum w:abstractNumId="20" w15:restartNumberingAfterBreak="0">
    <w:nsid w:val="18F476C5"/>
    <w:multiLevelType w:val="multilevel"/>
    <w:tmpl w:val="F984E3F0"/>
    <w:lvl w:ilvl="0">
      <w:start w:val="1"/>
      <w:numFmt w:val="decimal"/>
      <w:pStyle w:val="Tabela"/>
      <w:lvlText w:val="Tabela %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Tabela 5.1.%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2.%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1" w15:restartNumberingAfterBreak="0">
    <w:nsid w:val="199657CC"/>
    <w:multiLevelType w:val="singleLevel"/>
    <w:tmpl w:val="341C90CA"/>
    <w:lvl w:ilvl="0">
      <w:start w:val="1"/>
      <w:numFmt w:val="upperRoman"/>
      <w:pStyle w:val="PHASE"/>
      <w:lvlText w:val="PHASE %1:"/>
      <w:lvlJc w:val="left"/>
      <w:pPr>
        <w:tabs>
          <w:tab w:val="num" w:pos="1800"/>
        </w:tabs>
        <w:ind w:left="0" w:firstLine="0"/>
      </w:pPr>
      <w:rPr>
        <w:b/>
        <w:i w:val="0"/>
      </w:rPr>
    </w:lvl>
  </w:abstractNum>
  <w:abstractNum w:abstractNumId="22" w15:restartNumberingAfterBreak="0">
    <w:nsid w:val="1AC94474"/>
    <w:multiLevelType w:val="hybridMultilevel"/>
    <w:tmpl w:val="B90A5DDC"/>
    <w:lvl w:ilvl="0" w:tplc="2356FABE">
      <w:start w:val="1"/>
      <w:numFmt w:val="bullet"/>
      <w:lvlText w:val=""/>
      <w:lvlJc w:val="left"/>
      <w:pPr>
        <w:tabs>
          <w:tab w:val="num" w:pos="717"/>
        </w:tabs>
        <w:ind w:left="717" w:hanging="360"/>
      </w:pPr>
      <w:rPr>
        <w:rFonts w:ascii="Symbol" w:hAnsi="Symbol" w:hint="default"/>
      </w:rPr>
    </w:lvl>
    <w:lvl w:ilvl="1" w:tplc="6DCA60C2">
      <w:start w:val="1"/>
      <w:numFmt w:val="bullet"/>
      <w:lvlText w:val="o"/>
      <w:lvlJc w:val="left"/>
      <w:pPr>
        <w:tabs>
          <w:tab w:val="num" w:pos="1440"/>
        </w:tabs>
        <w:ind w:left="1440" w:hanging="360"/>
      </w:pPr>
      <w:rPr>
        <w:rFonts w:ascii="Courier New" w:hAnsi="Courier New" w:cs="Times New Roman" w:hint="default"/>
      </w:rPr>
    </w:lvl>
    <w:lvl w:ilvl="2" w:tplc="8AECF000">
      <w:start w:val="1"/>
      <w:numFmt w:val="bullet"/>
      <w:lvlText w:val=""/>
      <w:lvlJc w:val="left"/>
      <w:pPr>
        <w:tabs>
          <w:tab w:val="num" w:pos="2160"/>
        </w:tabs>
        <w:ind w:left="2160" w:hanging="360"/>
      </w:pPr>
      <w:rPr>
        <w:rFonts w:ascii="Wingdings" w:hAnsi="Wingdings" w:hint="default"/>
      </w:rPr>
    </w:lvl>
    <w:lvl w:ilvl="3" w:tplc="CDB06EBC">
      <w:start w:val="1"/>
      <w:numFmt w:val="decimal"/>
      <w:lvlText w:val="%4."/>
      <w:lvlJc w:val="left"/>
      <w:pPr>
        <w:tabs>
          <w:tab w:val="num" w:pos="2880"/>
        </w:tabs>
        <w:ind w:left="2880" w:hanging="360"/>
      </w:pPr>
      <w:rPr>
        <w:rFonts w:cs="Times New Roman"/>
      </w:rPr>
    </w:lvl>
    <w:lvl w:ilvl="4" w:tplc="ADD691F0">
      <w:start w:val="1"/>
      <w:numFmt w:val="decimal"/>
      <w:lvlText w:val="%5."/>
      <w:lvlJc w:val="left"/>
      <w:pPr>
        <w:tabs>
          <w:tab w:val="num" w:pos="3600"/>
        </w:tabs>
        <w:ind w:left="3600" w:hanging="360"/>
      </w:pPr>
      <w:rPr>
        <w:rFonts w:cs="Times New Roman"/>
      </w:rPr>
    </w:lvl>
    <w:lvl w:ilvl="5" w:tplc="10AE235E">
      <w:start w:val="1"/>
      <w:numFmt w:val="decimal"/>
      <w:lvlText w:val="%6."/>
      <w:lvlJc w:val="left"/>
      <w:pPr>
        <w:tabs>
          <w:tab w:val="num" w:pos="4320"/>
        </w:tabs>
        <w:ind w:left="4320" w:hanging="360"/>
      </w:pPr>
      <w:rPr>
        <w:rFonts w:cs="Times New Roman"/>
      </w:rPr>
    </w:lvl>
    <w:lvl w:ilvl="6" w:tplc="46EE86E6">
      <w:start w:val="1"/>
      <w:numFmt w:val="decimal"/>
      <w:lvlText w:val="%7."/>
      <w:lvlJc w:val="left"/>
      <w:pPr>
        <w:tabs>
          <w:tab w:val="num" w:pos="5040"/>
        </w:tabs>
        <w:ind w:left="5040" w:hanging="360"/>
      </w:pPr>
      <w:rPr>
        <w:rFonts w:cs="Times New Roman"/>
      </w:rPr>
    </w:lvl>
    <w:lvl w:ilvl="7" w:tplc="8F4A9076">
      <w:start w:val="1"/>
      <w:numFmt w:val="decimal"/>
      <w:lvlText w:val="%8."/>
      <w:lvlJc w:val="left"/>
      <w:pPr>
        <w:tabs>
          <w:tab w:val="num" w:pos="5760"/>
        </w:tabs>
        <w:ind w:left="5760" w:hanging="360"/>
      </w:pPr>
      <w:rPr>
        <w:rFonts w:cs="Times New Roman"/>
      </w:rPr>
    </w:lvl>
    <w:lvl w:ilvl="8" w:tplc="87647956">
      <w:start w:val="1"/>
      <w:numFmt w:val="decimal"/>
      <w:lvlText w:val="%9."/>
      <w:lvlJc w:val="left"/>
      <w:pPr>
        <w:tabs>
          <w:tab w:val="num" w:pos="6480"/>
        </w:tabs>
        <w:ind w:left="6480" w:hanging="360"/>
      </w:pPr>
      <w:rPr>
        <w:rFonts w:cs="Times New Roman"/>
      </w:rPr>
    </w:lvl>
  </w:abstractNum>
  <w:abstractNum w:abstractNumId="23" w15:restartNumberingAfterBreak="0">
    <w:nsid w:val="1D627CD5"/>
    <w:multiLevelType w:val="hybridMultilevel"/>
    <w:tmpl w:val="C9567D9A"/>
    <w:lvl w:ilvl="0" w:tplc="0AA49F60">
      <w:start w:val="10"/>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1E3A5395"/>
    <w:multiLevelType w:val="multilevel"/>
    <w:tmpl w:val="8E90BF70"/>
    <w:lvl w:ilvl="0">
      <w:start w:val="1"/>
      <w:numFmt w:val="decimal"/>
      <w:lvlText w:val="%1."/>
      <w:lvlJc w:val="left"/>
      <w:pPr>
        <w:ind w:left="360" w:hanging="360"/>
      </w:pPr>
    </w:lvl>
    <w:lvl w:ilvl="1">
      <w:start w:val="2"/>
      <w:numFmt w:val="none"/>
      <w:lvlRestart w:val="0"/>
      <w:pStyle w:val="Podnaslov1"/>
      <w:lvlText w:val="2.2."/>
      <w:lvlJc w:val="left"/>
      <w:pPr>
        <w:ind w:left="999" w:hanging="432"/>
      </w:pPr>
    </w:lvl>
    <w:lvl w:ilvl="2">
      <w:start w:val="2"/>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1F4C50C9"/>
    <w:multiLevelType w:val="hybridMultilevel"/>
    <w:tmpl w:val="E3E0BC4E"/>
    <w:lvl w:ilvl="0" w:tplc="555C39BE">
      <w:numFmt w:val="bullet"/>
      <w:lvlText w:val="-"/>
      <w:lvlJc w:val="left"/>
      <w:pPr>
        <w:ind w:left="720" w:hanging="360"/>
      </w:pPr>
      <w:rPr>
        <w:rFonts w:ascii="Times New Roman" w:eastAsia="Calibri" w:hAnsi="Times New Roman" w:cs="Times New Roman"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6" w15:restartNumberingAfterBreak="0">
    <w:nsid w:val="20465EEA"/>
    <w:multiLevelType w:val="multilevel"/>
    <w:tmpl w:val="BC8CD8B0"/>
    <w:styleLink w:val="Slog11"/>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1146"/>
        </w:tabs>
        <w:ind w:left="1146"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7" w15:restartNumberingAfterBreak="0">
    <w:nsid w:val="21DF136A"/>
    <w:multiLevelType w:val="hybridMultilevel"/>
    <w:tmpl w:val="FC36358C"/>
    <w:lvl w:ilvl="0" w:tplc="2356FABE">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8" w15:restartNumberingAfterBreak="0">
    <w:nsid w:val="22B23992"/>
    <w:multiLevelType w:val="hybridMultilevel"/>
    <w:tmpl w:val="C0249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2332628A"/>
    <w:multiLevelType w:val="hybridMultilevel"/>
    <w:tmpl w:val="2124E62A"/>
    <w:lvl w:ilvl="0" w:tplc="2356FABE">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0" w15:restartNumberingAfterBreak="0">
    <w:nsid w:val="239846E7"/>
    <w:multiLevelType w:val="multilevel"/>
    <w:tmpl w:val="B7AE1C64"/>
    <w:styleLink w:val="Alinejazaodstavkom1"/>
    <w:lvl w:ilvl="0">
      <w:start w:val="1"/>
      <w:numFmt w:val="bullet"/>
      <w:lvlText w:val="-"/>
      <w:lvlJc w:val="left"/>
      <w:pPr>
        <w:ind w:left="720" w:hanging="360"/>
      </w:pPr>
      <w:rPr>
        <w:rFonts w:ascii="Arial" w:eastAsia="Times New Roman" w:hAnsi="Aria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15:restartNumberingAfterBreak="0">
    <w:nsid w:val="25A8586B"/>
    <w:multiLevelType w:val="hybridMultilevel"/>
    <w:tmpl w:val="6D5E28B6"/>
    <w:lvl w:ilvl="0" w:tplc="C804F4DE">
      <w:start w:val="21"/>
      <w:numFmt w:val="bullet"/>
      <w:lvlText w:val="-"/>
      <w:lvlJc w:val="left"/>
      <w:pPr>
        <w:ind w:left="1068" w:hanging="360"/>
      </w:pPr>
      <w:rPr>
        <w:rFonts w:ascii="Arial" w:eastAsiaTheme="minorHAnsi" w:hAnsi="Arial" w:cs="Arial" w:hint="default"/>
      </w:rPr>
    </w:lvl>
    <w:lvl w:ilvl="1" w:tplc="04240003" w:tentative="1">
      <w:start w:val="1"/>
      <w:numFmt w:val="bullet"/>
      <w:lvlText w:val="o"/>
      <w:lvlJc w:val="left"/>
      <w:pPr>
        <w:ind w:left="1788" w:hanging="360"/>
      </w:pPr>
      <w:rPr>
        <w:rFonts w:ascii="Courier New" w:hAnsi="Courier New" w:cs="Courier New" w:hint="default"/>
      </w:rPr>
    </w:lvl>
    <w:lvl w:ilvl="2" w:tplc="04240005" w:tentative="1">
      <w:start w:val="1"/>
      <w:numFmt w:val="bullet"/>
      <w:lvlText w:val=""/>
      <w:lvlJc w:val="left"/>
      <w:pPr>
        <w:ind w:left="2508" w:hanging="360"/>
      </w:pPr>
      <w:rPr>
        <w:rFonts w:ascii="Wingdings" w:hAnsi="Wingdings" w:hint="default"/>
      </w:rPr>
    </w:lvl>
    <w:lvl w:ilvl="3" w:tplc="04240001" w:tentative="1">
      <w:start w:val="1"/>
      <w:numFmt w:val="bullet"/>
      <w:lvlText w:val=""/>
      <w:lvlJc w:val="left"/>
      <w:pPr>
        <w:ind w:left="3228" w:hanging="360"/>
      </w:pPr>
      <w:rPr>
        <w:rFonts w:ascii="Symbol" w:hAnsi="Symbol" w:hint="default"/>
      </w:rPr>
    </w:lvl>
    <w:lvl w:ilvl="4" w:tplc="04240003" w:tentative="1">
      <w:start w:val="1"/>
      <w:numFmt w:val="bullet"/>
      <w:lvlText w:val="o"/>
      <w:lvlJc w:val="left"/>
      <w:pPr>
        <w:ind w:left="3948" w:hanging="360"/>
      </w:pPr>
      <w:rPr>
        <w:rFonts w:ascii="Courier New" w:hAnsi="Courier New" w:cs="Courier New" w:hint="default"/>
      </w:rPr>
    </w:lvl>
    <w:lvl w:ilvl="5" w:tplc="04240005" w:tentative="1">
      <w:start w:val="1"/>
      <w:numFmt w:val="bullet"/>
      <w:lvlText w:val=""/>
      <w:lvlJc w:val="left"/>
      <w:pPr>
        <w:ind w:left="4668" w:hanging="360"/>
      </w:pPr>
      <w:rPr>
        <w:rFonts w:ascii="Wingdings" w:hAnsi="Wingdings" w:hint="default"/>
      </w:rPr>
    </w:lvl>
    <w:lvl w:ilvl="6" w:tplc="04240001" w:tentative="1">
      <w:start w:val="1"/>
      <w:numFmt w:val="bullet"/>
      <w:lvlText w:val=""/>
      <w:lvlJc w:val="left"/>
      <w:pPr>
        <w:ind w:left="5388" w:hanging="360"/>
      </w:pPr>
      <w:rPr>
        <w:rFonts w:ascii="Symbol" w:hAnsi="Symbol" w:hint="default"/>
      </w:rPr>
    </w:lvl>
    <w:lvl w:ilvl="7" w:tplc="04240003" w:tentative="1">
      <w:start w:val="1"/>
      <w:numFmt w:val="bullet"/>
      <w:lvlText w:val="o"/>
      <w:lvlJc w:val="left"/>
      <w:pPr>
        <w:ind w:left="6108" w:hanging="360"/>
      </w:pPr>
      <w:rPr>
        <w:rFonts w:ascii="Courier New" w:hAnsi="Courier New" w:cs="Courier New" w:hint="default"/>
      </w:rPr>
    </w:lvl>
    <w:lvl w:ilvl="8" w:tplc="04240005" w:tentative="1">
      <w:start w:val="1"/>
      <w:numFmt w:val="bullet"/>
      <w:lvlText w:val=""/>
      <w:lvlJc w:val="left"/>
      <w:pPr>
        <w:ind w:left="6828" w:hanging="360"/>
      </w:pPr>
      <w:rPr>
        <w:rFonts w:ascii="Wingdings" w:hAnsi="Wingdings" w:hint="default"/>
      </w:rPr>
    </w:lvl>
  </w:abstractNum>
  <w:abstractNum w:abstractNumId="32" w15:restartNumberingAfterBreak="0">
    <w:nsid w:val="26234DBE"/>
    <w:multiLevelType w:val="hybridMultilevel"/>
    <w:tmpl w:val="5DDAEA9A"/>
    <w:lvl w:ilvl="0" w:tplc="8A101824">
      <w:numFmt w:val="bullet"/>
      <w:lvlText w:val="-"/>
      <w:lvlJc w:val="left"/>
      <w:pPr>
        <w:ind w:left="720" w:hanging="360"/>
      </w:pPr>
      <w:rPr>
        <w:rFonts w:ascii="Arial" w:eastAsia="Times New Roman" w:hAnsi="Arial"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2356FABE">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3" w15:restartNumberingAfterBreak="0">
    <w:nsid w:val="27791056"/>
    <w:multiLevelType w:val="multilevel"/>
    <w:tmpl w:val="5F6AEDDC"/>
    <w:lvl w:ilvl="0">
      <w:numFmt w:val="bullet"/>
      <w:pStyle w:val="tevilnatoka"/>
      <w:lvlText w:val="-"/>
      <w:lvlJc w:val="left"/>
      <w:pPr>
        <w:tabs>
          <w:tab w:val="num" w:pos="397"/>
        </w:tabs>
        <w:ind w:left="397" w:hanging="397"/>
      </w:pPr>
      <w:rPr>
        <w:rFonts w:ascii="Calibri" w:eastAsia="Calibri" w:hAnsi="Calibri" w:cs="Times New Roman" w:hint="default"/>
      </w:rPr>
    </w:lvl>
    <w:lvl w:ilvl="1">
      <w:start w:val="2"/>
      <w:numFmt w:val="decimal"/>
      <w:isLgl/>
      <w:lvlText w:val="%1.%2"/>
      <w:lvlJc w:val="left"/>
      <w:pPr>
        <w:ind w:left="555" w:hanging="55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4" w15:restartNumberingAfterBreak="0">
    <w:nsid w:val="283375D4"/>
    <w:multiLevelType w:val="hybridMultilevel"/>
    <w:tmpl w:val="7B247A0A"/>
    <w:lvl w:ilvl="0" w:tplc="521A3B48">
      <w:start w:val="1"/>
      <w:numFmt w:val="lowerLetter"/>
      <w:lvlText w:val="%1)"/>
      <w:lvlJc w:val="left"/>
      <w:pPr>
        <w:ind w:left="720" w:hanging="360"/>
      </w:pPr>
      <w:rPr>
        <w:rFonts w:hint="default"/>
        <w:strike w:val="0"/>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5" w15:restartNumberingAfterBreak="0">
    <w:nsid w:val="292539E9"/>
    <w:multiLevelType w:val="hybridMultilevel"/>
    <w:tmpl w:val="CAA4AD88"/>
    <w:lvl w:ilvl="0" w:tplc="2356FABE">
      <w:start w:val="1"/>
      <w:numFmt w:val="bullet"/>
      <w:lvlText w:val=""/>
      <w:lvlJc w:val="left"/>
      <w:pPr>
        <w:ind w:left="820" w:hanging="360"/>
      </w:pPr>
      <w:rPr>
        <w:rFonts w:ascii="Symbol" w:hAnsi="Symbol" w:hint="default"/>
      </w:rPr>
    </w:lvl>
    <w:lvl w:ilvl="1" w:tplc="04240003" w:tentative="1">
      <w:start w:val="1"/>
      <w:numFmt w:val="bullet"/>
      <w:lvlText w:val="o"/>
      <w:lvlJc w:val="left"/>
      <w:pPr>
        <w:ind w:left="1540" w:hanging="360"/>
      </w:pPr>
      <w:rPr>
        <w:rFonts w:ascii="Courier New" w:hAnsi="Courier New" w:cs="Courier New" w:hint="default"/>
      </w:rPr>
    </w:lvl>
    <w:lvl w:ilvl="2" w:tplc="04240005" w:tentative="1">
      <w:start w:val="1"/>
      <w:numFmt w:val="bullet"/>
      <w:lvlText w:val=""/>
      <w:lvlJc w:val="left"/>
      <w:pPr>
        <w:ind w:left="2260" w:hanging="360"/>
      </w:pPr>
      <w:rPr>
        <w:rFonts w:ascii="Wingdings" w:hAnsi="Wingdings" w:hint="default"/>
      </w:rPr>
    </w:lvl>
    <w:lvl w:ilvl="3" w:tplc="04240001" w:tentative="1">
      <w:start w:val="1"/>
      <w:numFmt w:val="bullet"/>
      <w:lvlText w:val=""/>
      <w:lvlJc w:val="left"/>
      <w:pPr>
        <w:ind w:left="2980" w:hanging="360"/>
      </w:pPr>
      <w:rPr>
        <w:rFonts w:ascii="Symbol" w:hAnsi="Symbol" w:hint="default"/>
      </w:rPr>
    </w:lvl>
    <w:lvl w:ilvl="4" w:tplc="04240003" w:tentative="1">
      <w:start w:val="1"/>
      <w:numFmt w:val="bullet"/>
      <w:lvlText w:val="o"/>
      <w:lvlJc w:val="left"/>
      <w:pPr>
        <w:ind w:left="3700" w:hanging="360"/>
      </w:pPr>
      <w:rPr>
        <w:rFonts w:ascii="Courier New" w:hAnsi="Courier New" w:cs="Courier New" w:hint="default"/>
      </w:rPr>
    </w:lvl>
    <w:lvl w:ilvl="5" w:tplc="04240005" w:tentative="1">
      <w:start w:val="1"/>
      <w:numFmt w:val="bullet"/>
      <w:lvlText w:val=""/>
      <w:lvlJc w:val="left"/>
      <w:pPr>
        <w:ind w:left="4420" w:hanging="360"/>
      </w:pPr>
      <w:rPr>
        <w:rFonts w:ascii="Wingdings" w:hAnsi="Wingdings" w:hint="default"/>
      </w:rPr>
    </w:lvl>
    <w:lvl w:ilvl="6" w:tplc="04240001" w:tentative="1">
      <w:start w:val="1"/>
      <w:numFmt w:val="bullet"/>
      <w:lvlText w:val=""/>
      <w:lvlJc w:val="left"/>
      <w:pPr>
        <w:ind w:left="5140" w:hanging="360"/>
      </w:pPr>
      <w:rPr>
        <w:rFonts w:ascii="Symbol" w:hAnsi="Symbol" w:hint="default"/>
      </w:rPr>
    </w:lvl>
    <w:lvl w:ilvl="7" w:tplc="04240003" w:tentative="1">
      <w:start w:val="1"/>
      <w:numFmt w:val="bullet"/>
      <w:lvlText w:val="o"/>
      <w:lvlJc w:val="left"/>
      <w:pPr>
        <w:ind w:left="5860" w:hanging="360"/>
      </w:pPr>
      <w:rPr>
        <w:rFonts w:ascii="Courier New" w:hAnsi="Courier New" w:cs="Courier New" w:hint="default"/>
      </w:rPr>
    </w:lvl>
    <w:lvl w:ilvl="8" w:tplc="04240005" w:tentative="1">
      <w:start w:val="1"/>
      <w:numFmt w:val="bullet"/>
      <w:lvlText w:val=""/>
      <w:lvlJc w:val="left"/>
      <w:pPr>
        <w:ind w:left="6580" w:hanging="360"/>
      </w:pPr>
      <w:rPr>
        <w:rFonts w:ascii="Wingdings" w:hAnsi="Wingdings" w:hint="default"/>
      </w:rPr>
    </w:lvl>
  </w:abstractNum>
  <w:abstractNum w:abstractNumId="36" w15:restartNumberingAfterBreak="0">
    <w:nsid w:val="29B136E1"/>
    <w:multiLevelType w:val="hybridMultilevel"/>
    <w:tmpl w:val="136C523A"/>
    <w:lvl w:ilvl="0" w:tplc="970AD690">
      <w:numFmt w:val="bullet"/>
      <w:lvlText w:val="-"/>
      <w:lvlJc w:val="left"/>
      <w:pPr>
        <w:ind w:left="2062" w:hanging="360"/>
      </w:pPr>
      <w:rPr>
        <w:rFonts w:ascii="Arial" w:eastAsiaTheme="minorHAnsi" w:hAnsi="Arial" w:cs="Arial" w:hint="default"/>
        <w:w w:val="103"/>
      </w:rPr>
    </w:lvl>
    <w:lvl w:ilvl="1" w:tplc="04240003">
      <w:start w:val="1"/>
      <w:numFmt w:val="decimal"/>
      <w:lvlText w:val="%2."/>
      <w:lvlJc w:val="left"/>
      <w:pPr>
        <w:tabs>
          <w:tab w:val="num" w:pos="1440"/>
        </w:tabs>
        <w:ind w:left="1440" w:hanging="360"/>
      </w:pPr>
      <w:rPr>
        <w:rFonts w:cs="Times New Roman"/>
      </w:rPr>
    </w:lvl>
    <w:lvl w:ilvl="2" w:tplc="04240005">
      <w:start w:val="1"/>
      <w:numFmt w:val="decimal"/>
      <w:lvlText w:val="%3."/>
      <w:lvlJc w:val="left"/>
      <w:pPr>
        <w:tabs>
          <w:tab w:val="num" w:pos="2160"/>
        </w:tabs>
        <w:ind w:left="2160" w:hanging="360"/>
      </w:pPr>
      <w:rPr>
        <w:rFonts w:cs="Times New Roman"/>
      </w:rPr>
    </w:lvl>
    <w:lvl w:ilvl="3" w:tplc="04240001">
      <w:start w:val="1"/>
      <w:numFmt w:val="decimal"/>
      <w:lvlText w:val="%4."/>
      <w:lvlJc w:val="left"/>
      <w:pPr>
        <w:tabs>
          <w:tab w:val="num" w:pos="2880"/>
        </w:tabs>
        <w:ind w:left="2880" w:hanging="360"/>
      </w:pPr>
      <w:rPr>
        <w:rFonts w:cs="Times New Roman"/>
      </w:rPr>
    </w:lvl>
    <w:lvl w:ilvl="4" w:tplc="04240003">
      <w:start w:val="1"/>
      <w:numFmt w:val="decimal"/>
      <w:lvlText w:val="%5."/>
      <w:lvlJc w:val="left"/>
      <w:pPr>
        <w:tabs>
          <w:tab w:val="num" w:pos="3600"/>
        </w:tabs>
        <w:ind w:left="3600" w:hanging="360"/>
      </w:pPr>
      <w:rPr>
        <w:rFonts w:cs="Times New Roman"/>
      </w:rPr>
    </w:lvl>
    <w:lvl w:ilvl="5" w:tplc="04240005">
      <w:start w:val="1"/>
      <w:numFmt w:val="decimal"/>
      <w:lvlText w:val="%6."/>
      <w:lvlJc w:val="left"/>
      <w:pPr>
        <w:tabs>
          <w:tab w:val="num" w:pos="4320"/>
        </w:tabs>
        <w:ind w:left="4320" w:hanging="360"/>
      </w:pPr>
      <w:rPr>
        <w:rFonts w:cs="Times New Roman"/>
      </w:rPr>
    </w:lvl>
    <w:lvl w:ilvl="6" w:tplc="04240001">
      <w:start w:val="1"/>
      <w:numFmt w:val="decimal"/>
      <w:lvlText w:val="%7."/>
      <w:lvlJc w:val="left"/>
      <w:pPr>
        <w:tabs>
          <w:tab w:val="num" w:pos="5040"/>
        </w:tabs>
        <w:ind w:left="5040" w:hanging="360"/>
      </w:pPr>
      <w:rPr>
        <w:rFonts w:cs="Times New Roman"/>
      </w:rPr>
    </w:lvl>
    <w:lvl w:ilvl="7" w:tplc="04240003">
      <w:start w:val="1"/>
      <w:numFmt w:val="decimal"/>
      <w:lvlText w:val="%8."/>
      <w:lvlJc w:val="left"/>
      <w:pPr>
        <w:tabs>
          <w:tab w:val="num" w:pos="5760"/>
        </w:tabs>
        <w:ind w:left="5760" w:hanging="360"/>
      </w:pPr>
      <w:rPr>
        <w:rFonts w:cs="Times New Roman"/>
      </w:rPr>
    </w:lvl>
    <w:lvl w:ilvl="8" w:tplc="04240005">
      <w:start w:val="1"/>
      <w:numFmt w:val="decimal"/>
      <w:lvlText w:val="%9."/>
      <w:lvlJc w:val="left"/>
      <w:pPr>
        <w:tabs>
          <w:tab w:val="num" w:pos="6480"/>
        </w:tabs>
        <w:ind w:left="6480" w:hanging="360"/>
      </w:pPr>
      <w:rPr>
        <w:rFonts w:cs="Times New Roman"/>
      </w:rPr>
    </w:lvl>
  </w:abstractNum>
  <w:abstractNum w:abstractNumId="37" w15:restartNumberingAfterBreak="0">
    <w:nsid w:val="2AE12EA2"/>
    <w:multiLevelType w:val="hybridMultilevel"/>
    <w:tmpl w:val="838E6E5A"/>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8" w15:restartNumberingAfterBreak="0">
    <w:nsid w:val="2EDC6731"/>
    <w:multiLevelType w:val="hybridMultilevel"/>
    <w:tmpl w:val="40B261C6"/>
    <w:lvl w:ilvl="0" w:tplc="0424000F">
      <w:start w:val="1"/>
      <w:numFmt w:val="decimal"/>
      <w:lvlText w:val="%1."/>
      <w:lvlJc w:val="left"/>
      <w:pPr>
        <w:ind w:left="651" w:hanging="360"/>
      </w:pPr>
    </w:lvl>
    <w:lvl w:ilvl="1" w:tplc="04240019" w:tentative="1">
      <w:start w:val="1"/>
      <w:numFmt w:val="lowerLetter"/>
      <w:lvlText w:val="%2."/>
      <w:lvlJc w:val="left"/>
      <w:pPr>
        <w:ind w:left="1371" w:hanging="360"/>
      </w:pPr>
    </w:lvl>
    <w:lvl w:ilvl="2" w:tplc="0424001B" w:tentative="1">
      <w:start w:val="1"/>
      <w:numFmt w:val="lowerRoman"/>
      <w:lvlText w:val="%3."/>
      <w:lvlJc w:val="right"/>
      <w:pPr>
        <w:ind w:left="2091" w:hanging="180"/>
      </w:pPr>
    </w:lvl>
    <w:lvl w:ilvl="3" w:tplc="0424000F" w:tentative="1">
      <w:start w:val="1"/>
      <w:numFmt w:val="decimal"/>
      <w:lvlText w:val="%4."/>
      <w:lvlJc w:val="left"/>
      <w:pPr>
        <w:ind w:left="2811" w:hanging="360"/>
      </w:pPr>
    </w:lvl>
    <w:lvl w:ilvl="4" w:tplc="04240019" w:tentative="1">
      <w:start w:val="1"/>
      <w:numFmt w:val="lowerLetter"/>
      <w:lvlText w:val="%5."/>
      <w:lvlJc w:val="left"/>
      <w:pPr>
        <w:ind w:left="3531" w:hanging="360"/>
      </w:pPr>
    </w:lvl>
    <w:lvl w:ilvl="5" w:tplc="0424001B" w:tentative="1">
      <w:start w:val="1"/>
      <w:numFmt w:val="lowerRoman"/>
      <w:lvlText w:val="%6."/>
      <w:lvlJc w:val="right"/>
      <w:pPr>
        <w:ind w:left="4251" w:hanging="180"/>
      </w:pPr>
    </w:lvl>
    <w:lvl w:ilvl="6" w:tplc="0424000F" w:tentative="1">
      <w:start w:val="1"/>
      <w:numFmt w:val="decimal"/>
      <w:lvlText w:val="%7."/>
      <w:lvlJc w:val="left"/>
      <w:pPr>
        <w:ind w:left="4971" w:hanging="360"/>
      </w:pPr>
    </w:lvl>
    <w:lvl w:ilvl="7" w:tplc="04240019" w:tentative="1">
      <w:start w:val="1"/>
      <w:numFmt w:val="lowerLetter"/>
      <w:lvlText w:val="%8."/>
      <w:lvlJc w:val="left"/>
      <w:pPr>
        <w:ind w:left="5691" w:hanging="360"/>
      </w:pPr>
    </w:lvl>
    <w:lvl w:ilvl="8" w:tplc="0424001B" w:tentative="1">
      <w:start w:val="1"/>
      <w:numFmt w:val="lowerRoman"/>
      <w:lvlText w:val="%9."/>
      <w:lvlJc w:val="right"/>
      <w:pPr>
        <w:ind w:left="6411" w:hanging="180"/>
      </w:pPr>
    </w:lvl>
  </w:abstractNum>
  <w:abstractNum w:abstractNumId="39" w15:restartNumberingAfterBreak="0">
    <w:nsid w:val="2FB97D2F"/>
    <w:multiLevelType w:val="hybridMultilevel"/>
    <w:tmpl w:val="D9BA5D3C"/>
    <w:lvl w:ilvl="0" w:tplc="E63C4044">
      <w:start w:val="1000"/>
      <w:numFmt w:val="bullet"/>
      <w:lvlText w:val="-"/>
      <w:lvlJc w:val="left"/>
      <w:pPr>
        <w:ind w:left="720" w:hanging="360"/>
      </w:pPr>
      <w:rPr>
        <w:rFonts w:ascii="Arial" w:eastAsiaTheme="minorHAnsi"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0" w15:restartNumberingAfterBreak="0">
    <w:nsid w:val="30962ABA"/>
    <w:multiLevelType w:val="multilevel"/>
    <w:tmpl w:val="3B3E254E"/>
    <w:styleLink w:val="IPPO"/>
    <w:lvl w:ilvl="0">
      <w:start w:val="1"/>
      <w:numFmt w:val="decimal"/>
      <w:suff w:val="space"/>
      <w:lvlText w:val="%1."/>
      <w:lvlJc w:val="left"/>
      <w:pPr>
        <w:ind w:left="680" w:hanging="680"/>
      </w:pPr>
      <w:rPr>
        <w:rFonts w:ascii="Garamond" w:eastAsia="Times New Roman" w:hAnsi="Garamond" w:cs="Arial"/>
        <w:b/>
        <w:dstrike w:val="0"/>
        <w:color w:val="FF0000"/>
        <w:sz w:val="28"/>
        <w:vertAlign w:val="baseline"/>
      </w:rPr>
    </w:lvl>
    <w:lvl w:ilvl="1">
      <w:start w:val="1"/>
      <w:numFmt w:val="decimal"/>
      <w:suff w:val="space"/>
      <w:lvlText w:val="%1.%2."/>
      <w:lvlJc w:val="left"/>
      <w:pPr>
        <w:ind w:left="680" w:hanging="680"/>
      </w:pPr>
      <w:rPr>
        <w:rFonts w:ascii="Times New Roman" w:hAnsi="Times New Roman" w:hint="default"/>
        <w:b/>
        <w:caps w:val="0"/>
        <w:strike w:val="0"/>
        <w:dstrike w:val="0"/>
        <w:vanish w:val="0"/>
        <w:color w:val="auto"/>
        <w:sz w:val="24"/>
        <w:vertAlign w:val="baseline"/>
      </w:rPr>
    </w:lvl>
    <w:lvl w:ilvl="2">
      <w:start w:val="1"/>
      <w:numFmt w:val="decimal"/>
      <w:suff w:val="space"/>
      <w:lvlText w:val="%1.%2.%3."/>
      <w:lvlJc w:val="left"/>
      <w:pPr>
        <w:ind w:left="680" w:hanging="680"/>
      </w:pPr>
      <w:rPr>
        <w:rFonts w:hint="default"/>
      </w:rPr>
    </w:lvl>
    <w:lvl w:ilvl="3">
      <w:start w:val="1"/>
      <w:numFmt w:val="decimal"/>
      <w:suff w:val="space"/>
      <w:lvlText w:val="%1.%2.%3.%4."/>
      <w:lvlJc w:val="left"/>
      <w:pPr>
        <w:ind w:left="680" w:hanging="680"/>
      </w:pPr>
      <w:rPr>
        <w:rFonts w:hint="default"/>
      </w:rPr>
    </w:lvl>
    <w:lvl w:ilvl="4">
      <w:start w:val="1"/>
      <w:numFmt w:val="decimal"/>
      <w:suff w:val="space"/>
      <w:lvlText w:val="%1.%2.%3.%4.%5."/>
      <w:lvlJc w:val="left"/>
      <w:pPr>
        <w:ind w:left="680" w:hanging="680"/>
      </w:pPr>
      <w:rPr>
        <w:rFonts w:ascii="Times New Roman" w:hAnsi="Times New Roman" w:hint="default"/>
        <w:b/>
        <w:i w:val="0"/>
        <w:caps w:val="0"/>
        <w:strike w:val="0"/>
        <w:dstrike w:val="0"/>
        <w:vanish w:val="0"/>
        <w:color w:val="auto"/>
        <w:sz w:val="24"/>
        <w:vertAlign w:val="baseline"/>
      </w:rPr>
    </w:lvl>
    <w:lvl w:ilvl="5">
      <w:start w:val="1"/>
      <w:numFmt w:val="lowerRoman"/>
      <w:lvlText w:val="(%6)"/>
      <w:lvlJc w:val="left"/>
      <w:pPr>
        <w:ind w:left="680" w:hanging="680"/>
      </w:pPr>
      <w:rPr>
        <w:rFonts w:hint="default"/>
      </w:rPr>
    </w:lvl>
    <w:lvl w:ilvl="6">
      <w:start w:val="1"/>
      <w:numFmt w:val="decimal"/>
      <w:lvlText w:val="%7."/>
      <w:lvlJc w:val="left"/>
      <w:pPr>
        <w:ind w:left="680" w:hanging="680"/>
      </w:pPr>
      <w:rPr>
        <w:rFonts w:hint="default"/>
      </w:rPr>
    </w:lvl>
    <w:lvl w:ilvl="7">
      <w:start w:val="1"/>
      <w:numFmt w:val="lowerLetter"/>
      <w:lvlText w:val="%8."/>
      <w:lvlJc w:val="left"/>
      <w:pPr>
        <w:ind w:left="680" w:hanging="680"/>
      </w:pPr>
      <w:rPr>
        <w:rFonts w:hint="default"/>
      </w:rPr>
    </w:lvl>
    <w:lvl w:ilvl="8">
      <w:start w:val="1"/>
      <w:numFmt w:val="lowerRoman"/>
      <w:lvlText w:val="%9."/>
      <w:lvlJc w:val="left"/>
      <w:pPr>
        <w:ind w:left="680" w:hanging="680"/>
      </w:pPr>
      <w:rPr>
        <w:rFonts w:hint="default"/>
      </w:rPr>
    </w:lvl>
  </w:abstractNum>
  <w:abstractNum w:abstractNumId="41" w15:restartNumberingAfterBreak="0">
    <w:nsid w:val="310F3908"/>
    <w:multiLevelType w:val="hybridMultilevel"/>
    <w:tmpl w:val="42A2A06C"/>
    <w:styleLink w:val="Alinejazaodstavkom"/>
    <w:lvl w:ilvl="0" w:tplc="0FE66CFA">
      <w:start w:val="1"/>
      <w:numFmt w:val="bullet"/>
      <w:lvlText w:val="₋"/>
      <w:lvlJc w:val="left"/>
      <w:pPr>
        <w:ind w:left="720" w:hanging="360"/>
      </w:pPr>
      <w:rPr>
        <w:rFonts w:ascii="Calibri" w:hAnsi="Calibri"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42" w15:restartNumberingAfterBreak="0">
    <w:nsid w:val="32EF3738"/>
    <w:multiLevelType w:val="hybridMultilevel"/>
    <w:tmpl w:val="3ED4A5A6"/>
    <w:lvl w:ilvl="0" w:tplc="2356FABE">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3" w15:restartNumberingAfterBreak="0">
    <w:nsid w:val="352C235E"/>
    <w:multiLevelType w:val="hybridMultilevel"/>
    <w:tmpl w:val="EC7C0B28"/>
    <w:lvl w:ilvl="0" w:tplc="04240017">
      <w:start w:val="1"/>
      <w:numFmt w:val="lowerLetter"/>
      <w:lvlText w:val="%1)"/>
      <w:lvlJc w:val="left"/>
      <w:pPr>
        <w:ind w:left="1429" w:hanging="360"/>
      </w:pPr>
    </w:lvl>
    <w:lvl w:ilvl="1" w:tplc="04240019" w:tentative="1">
      <w:start w:val="1"/>
      <w:numFmt w:val="lowerLetter"/>
      <w:lvlText w:val="%2."/>
      <w:lvlJc w:val="left"/>
      <w:pPr>
        <w:ind w:left="2149" w:hanging="360"/>
      </w:pPr>
    </w:lvl>
    <w:lvl w:ilvl="2" w:tplc="0424001B" w:tentative="1">
      <w:start w:val="1"/>
      <w:numFmt w:val="lowerRoman"/>
      <w:lvlText w:val="%3."/>
      <w:lvlJc w:val="right"/>
      <w:pPr>
        <w:ind w:left="2869" w:hanging="180"/>
      </w:pPr>
    </w:lvl>
    <w:lvl w:ilvl="3" w:tplc="0424000F" w:tentative="1">
      <w:start w:val="1"/>
      <w:numFmt w:val="decimal"/>
      <w:lvlText w:val="%4."/>
      <w:lvlJc w:val="left"/>
      <w:pPr>
        <w:ind w:left="3589" w:hanging="360"/>
      </w:pPr>
    </w:lvl>
    <w:lvl w:ilvl="4" w:tplc="04240019" w:tentative="1">
      <w:start w:val="1"/>
      <w:numFmt w:val="lowerLetter"/>
      <w:lvlText w:val="%5."/>
      <w:lvlJc w:val="left"/>
      <w:pPr>
        <w:ind w:left="4309" w:hanging="360"/>
      </w:pPr>
    </w:lvl>
    <w:lvl w:ilvl="5" w:tplc="0424001B" w:tentative="1">
      <w:start w:val="1"/>
      <w:numFmt w:val="lowerRoman"/>
      <w:lvlText w:val="%6."/>
      <w:lvlJc w:val="right"/>
      <w:pPr>
        <w:ind w:left="5029" w:hanging="180"/>
      </w:pPr>
    </w:lvl>
    <w:lvl w:ilvl="6" w:tplc="0424000F" w:tentative="1">
      <w:start w:val="1"/>
      <w:numFmt w:val="decimal"/>
      <w:lvlText w:val="%7."/>
      <w:lvlJc w:val="left"/>
      <w:pPr>
        <w:ind w:left="5749" w:hanging="360"/>
      </w:pPr>
    </w:lvl>
    <w:lvl w:ilvl="7" w:tplc="04240019" w:tentative="1">
      <w:start w:val="1"/>
      <w:numFmt w:val="lowerLetter"/>
      <w:lvlText w:val="%8."/>
      <w:lvlJc w:val="left"/>
      <w:pPr>
        <w:ind w:left="6469" w:hanging="360"/>
      </w:pPr>
    </w:lvl>
    <w:lvl w:ilvl="8" w:tplc="0424001B" w:tentative="1">
      <w:start w:val="1"/>
      <w:numFmt w:val="lowerRoman"/>
      <w:lvlText w:val="%9."/>
      <w:lvlJc w:val="right"/>
      <w:pPr>
        <w:ind w:left="7189" w:hanging="180"/>
      </w:pPr>
    </w:lvl>
  </w:abstractNum>
  <w:abstractNum w:abstractNumId="44" w15:restartNumberingAfterBreak="0">
    <w:nsid w:val="39745F03"/>
    <w:multiLevelType w:val="hybridMultilevel"/>
    <w:tmpl w:val="F5125A8A"/>
    <w:styleLink w:val="Nastevanje2"/>
    <w:lvl w:ilvl="0" w:tplc="B7AE1BDA">
      <w:start w:val="1"/>
      <w:numFmt w:val="lowerLetter"/>
      <w:pStyle w:val="rkovnatokazaodstavkom"/>
      <w:lvlText w:val="%1)"/>
      <w:lvlJc w:val="left"/>
      <w:pPr>
        <w:ind w:left="720" w:hanging="360"/>
      </w:pPr>
      <w:rPr>
        <w:rFonts w:hint="default"/>
      </w:rPr>
    </w:lvl>
    <w:lvl w:ilvl="1" w:tplc="04240003" w:tentative="1">
      <w:start w:val="1"/>
      <w:numFmt w:val="lowerLetter"/>
      <w:lvlText w:val="%2."/>
      <w:lvlJc w:val="left"/>
      <w:pPr>
        <w:ind w:left="1440" w:hanging="360"/>
      </w:pPr>
    </w:lvl>
    <w:lvl w:ilvl="2" w:tplc="04240005" w:tentative="1">
      <w:start w:val="1"/>
      <w:numFmt w:val="lowerRoman"/>
      <w:lvlText w:val="%3."/>
      <w:lvlJc w:val="right"/>
      <w:pPr>
        <w:ind w:left="2160" w:hanging="180"/>
      </w:pPr>
    </w:lvl>
    <w:lvl w:ilvl="3" w:tplc="04240001" w:tentative="1">
      <w:start w:val="1"/>
      <w:numFmt w:val="decimal"/>
      <w:lvlText w:val="%4."/>
      <w:lvlJc w:val="left"/>
      <w:pPr>
        <w:ind w:left="2880" w:hanging="360"/>
      </w:pPr>
    </w:lvl>
    <w:lvl w:ilvl="4" w:tplc="04240003" w:tentative="1">
      <w:start w:val="1"/>
      <w:numFmt w:val="lowerLetter"/>
      <w:lvlText w:val="%5."/>
      <w:lvlJc w:val="left"/>
      <w:pPr>
        <w:ind w:left="3600" w:hanging="360"/>
      </w:pPr>
    </w:lvl>
    <w:lvl w:ilvl="5" w:tplc="04240005" w:tentative="1">
      <w:start w:val="1"/>
      <w:numFmt w:val="lowerRoman"/>
      <w:lvlText w:val="%6."/>
      <w:lvlJc w:val="right"/>
      <w:pPr>
        <w:ind w:left="4320" w:hanging="180"/>
      </w:pPr>
    </w:lvl>
    <w:lvl w:ilvl="6" w:tplc="04240001" w:tentative="1">
      <w:start w:val="1"/>
      <w:numFmt w:val="decimal"/>
      <w:lvlText w:val="%7."/>
      <w:lvlJc w:val="left"/>
      <w:pPr>
        <w:ind w:left="5040" w:hanging="360"/>
      </w:pPr>
    </w:lvl>
    <w:lvl w:ilvl="7" w:tplc="04240003" w:tentative="1">
      <w:start w:val="1"/>
      <w:numFmt w:val="lowerLetter"/>
      <w:lvlText w:val="%8."/>
      <w:lvlJc w:val="left"/>
      <w:pPr>
        <w:ind w:left="5760" w:hanging="360"/>
      </w:pPr>
    </w:lvl>
    <w:lvl w:ilvl="8" w:tplc="04240005" w:tentative="1">
      <w:start w:val="1"/>
      <w:numFmt w:val="lowerRoman"/>
      <w:lvlText w:val="%9."/>
      <w:lvlJc w:val="right"/>
      <w:pPr>
        <w:ind w:left="6480" w:hanging="180"/>
      </w:pPr>
    </w:lvl>
  </w:abstractNum>
  <w:abstractNum w:abstractNumId="45" w15:restartNumberingAfterBreak="0">
    <w:nsid w:val="3A260BE8"/>
    <w:multiLevelType w:val="hybridMultilevel"/>
    <w:tmpl w:val="C98A5FB2"/>
    <w:lvl w:ilvl="0" w:tplc="2356FABE">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405001FD"/>
    <w:multiLevelType w:val="hybridMultilevel"/>
    <w:tmpl w:val="B2A26C44"/>
    <w:lvl w:ilvl="0" w:tplc="F604A7D2">
      <w:numFmt w:val="bullet"/>
      <w:lvlText w:val="-"/>
      <w:lvlJc w:val="left"/>
      <w:pPr>
        <w:ind w:left="720" w:hanging="360"/>
      </w:pPr>
      <w:rPr>
        <w:rFonts w:ascii="Arial" w:eastAsiaTheme="minorHAnsi"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7" w15:restartNumberingAfterBreak="0">
    <w:nsid w:val="42352BC0"/>
    <w:multiLevelType w:val="hybridMultilevel"/>
    <w:tmpl w:val="1E8402D8"/>
    <w:lvl w:ilvl="0" w:tplc="2356FABE">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8" w15:restartNumberingAfterBreak="0">
    <w:nsid w:val="42487DAE"/>
    <w:multiLevelType w:val="hybridMultilevel"/>
    <w:tmpl w:val="818C5B1C"/>
    <w:lvl w:ilvl="0" w:tplc="2356FABE">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9" w15:restartNumberingAfterBreak="0">
    <w:nsid w:val="43497F56"/>
    <w:multiLevelType w:val="singleLevel"/>
    <w:tmpl w:val="DD14EFC0"/>
    <w:lvl w:ilvl="0">
      <w:start w:val="1"/>
      <w:numFmt w:val="decimal"/>
      <w:pStyle w:val="Question"/>
      <w:lvlText w:val="Question %1: "/>
      <w:lvlJc w:val="left"/>
      <w:pPr>
        <w:tabs>
          <w:tab w:val="num" w:pos="1440"/>
        </w:tabs>
        <w:ind w:left="1021" w:hanging="1021"/>
      </w:pPr>
      <w:rPr>
        <w:b/>
        <w:i w:val="0"/>
      </w:rPr>
    </w:lvl>
  </w:abstractNum>
  <w:abstractNum w:abstractNumId="50" w15:restartNumberingAfterBreak="0">
    <w:nsid w:val="483A2B2E"/>
    <w:multiLevelType w:val="hybridMultilevel"/>
    <w:tmpl w:val="6234CCE0"/>
    <w:lvl w:ilvl="0" w:tplc="E586FED0">
      <w:start w:val="1"/>
      <w:numFmt w:val="decimal"/>
      <w:pStyle w:val="Natevanjeotevileno"/>
      <w:lvlText w:val="%1."/>
      <w:lvlJc w:val="left"/>
      <w:pPr>
        <w:tabs>
          <w:tab w:val="num" w:pos="567"/>
        </w:tabs>
        <w:ind w:left="567" w:hanging="567"/>
      </w:pPr>
    </w:lvl>
    <w:lvl w:ilvl="1" w:tplc="04240003">
      <w:start w:val="1"/>
      <w:numFmt w:val="lowerLetter"/>
      <w:lvlText w:val="%2."/>
      <w:lvlJc w:val="left"/>
      <w:pPr>
        <w:tabs>
          <w:tab w:val="num" w:pos="1440"/>
        </w:tabs>
        <w:ind w:left="1440" w:hanging="360"/>
      </w:pPr>
    </w:lvl>
    <w:lvl w:ilvl="2" w:tplc="04240005">
      <w:start w:val="1"/>
      <w:numFmt w:val="lowerRoman"/>
      <w:lvlText w:val="%3."/>
      <w:lvlJc w:val="right"/>
      <w:pPr>
        <w:tabs>
          <w:tab w:val="num" w:pos="2160"/>
        </w:tabs>
        <w:ind w:left="2160" w:hanging="180"/>
      </w:pPr>
    </w:lvl>
    <w:lvl w:ilvl="3" w:tplc="04240001">
      <w:start w:val="1"/>
      <w:numFmt w:val="decimal"/>
      <w:lvlText w:val="%4."/>
      <w:lvlJc w:val="left"/>
      <w:pPr>
        <w:tabs>
          <w:tab w:val="num" w:pos="2880"/>
        </w:tabs>
        <w:ind w:left="2880" w:hanging="360"/>
      </w:pPr>
    </w:lvl>
    <w:lvl w:ilvl="4" w:tplc="04240003">
      <w:start w:val="1"/>
      <w:numFmt w:val="lowerLetter"/>
      <w:lvlText w:val="%5."/>
      <w:lvlJc w:val="left"/>
      <w:pPr>
        <w:tabs>
          <w:tab w:val="num" w:pos="3600"/>
        </w:tabs>
        <w:ind w:left="3600" w:hanging="360"/>
      </w:pPr>
    </w:lvl>
    <w:lvl w:ilvl="5" w:tplc="04240005">
      <w:start w:val="1"/>
      <w:numFmt w:val="lowerRoman"/>
      <w:lvlText w:val="%6."/>
      <w:lvlJc w:val="right"/>
      <w:pPr>
        <w:tabs>
          <w:tab w:val="num" w:pos="4320"/>
        </w:tabs>
        <w:ind w:left="4320" w:hanging="180"/>
      </w:pPr>
    </w:lvl>
    <w:lvl w:ilvl="6" w:tplc="04240001">
      <w:start w:val="1"/>
      <w:numFmt w:val="decimal"/>
      <w:lvlText w:val="%7."/>
      <w:lvlJc w:val="left"/>
      <w:pPr>
        <w:tabs>
          <w:tab w:val="num" w:pos="5040"/>
        </w:tabs>
        <w:ind w:left="5040" w:hanging="360"/>
      </w:pPr>
    </w:lvl>
    <w:lvl w:ilvl="7" w:tplc="04240003">
      <w:start w:val="1"/>
      <w:numFmt w:val="lowerLetter"/>
      <w:lvlText w:val="%8."/>
      <w:lvlJc w:val="left"/>
      <w:pPr>
        <w:tabs>
          <w:tab w:val="num" w:pos="5760"/>
        </w:tabs>
        <w:ind w:left="5760" w:hanging="360"/>
      </w:pPr>
    </w:lvl>
    <w:lvl w:ilvl="8" w:tplc="04240005">
      <w:start w:val="1"/>
      <w:numFmt w:val="lowerRoman"/>
      <w:lvlText w:val="%9."/>
      <w:lvlJc w:val="right"/>
      <w:pPr>
        <w:tabs>
          <w:tab w:val="num" w:pos="6480"/>
        </w:tabs>
        <w:ind w:left="6480" w:hanging="180"/>
      </w:pPr>
    </w:lvl>
  </w:abstractNum>
  <w:abstractNum w:abstractNumId="51" w15:restartNumberingAfterBreak="0">
    <w:nsid w:val="495A3469"/>
    <w:multiLevelType w:val="hybridMultilevel"/>
    <w:tmpl w:val="AEACB08E"/>
    <w:lvl w:ilvl="0" w:tplc="2356FABE">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2" w15:restartNumberingAfterBreak="0">
    <w:nsid w:val="4B887615"/>
    <w:multiLevelType w:val="hybridMultilevel"/>
    <w:tmpl w:val="C9DA69D6"/>
    <w:lvl w:ilvl="0" w:tplc="2356FABE">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3" w15:restartNumberingAfterBreak="0">
    <w:nsid w:val="4CAD472F"/>
    <w:multiLevelType w:val="hybridMultilevel"/>
    <w:tmpl w:val="B262033C"/>
    <w:lvl w:ilvl="0" w:tplc="55DE9CC0">
      <w:start w:val="1"/>
      <w:numFmt w:val="bullet"/>
      <w:lvlText w:val="-"/>
      <w:lvlJc w:val="left"/>
      <w:pPr>
        <w:ind w:left="720" w:hanging="360"/>
      </w:pPr>
      <w:rPr>
        <w:rFonts w:ascii="Calibri" w:eastAsiaTheme="minorHAnsi" w:hAnsi="Calibri" w:cstheme="minorBidi" w:hint="default"/>
        <w:color w:val="auto"/>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4" w15:restartNumberingAfterBreak="0">
    <w:nsid w:val="4CC73F74"/>
    <w:multiLevelType w:val="multilevel"/>
    <w:tmpl w:val="06AC518C"/>
    <w:styleLink w:val="Nastevanje"/>
    <w:lvl w:ilvl="0">
      <w:start w:val="1"/>
      <w:numFmt w:val="bullet"/>
      <w:lvlText w:val=""/>
      <w:lvlJc w:val="left"/>
      <w:pPr>
        <w:tabs>
          <w:tab w:val="num" w:pos="567"/>
        </w:tabs>
        <w:ind w:left="567" w:hanging="567"/>
      </w:pPr>
      <w:rPr>
        <w:rFonts w:ascii="Symbol" w:hAnsi="Symbol" w:cs="Times New Roman" w:hint="default"/>
        <w:sz w:val="22"/>
        <w:szCs w:val="24"/>
      </w:rPr>
    </w:lvl>
    <w:lvl w:ilvl="1">
      <w:start w:val="1"/>
      <w:numFmt w:val="bullet"/>
      <w:lvlText w:val="o"/>
      <w:lvlJc w:val="left"/>
      <w:pPr>
        <w:tabs>
          <w:tab w:val="num" w:pos="1440"/>
        </w:tabs>
        <w:ind w:left="1440" w:hanging="360"/>
      </w:pPr>
      <w:rPr>
        <w:rFonts w:ascii="Courier New" w:hAnsi="Courier New"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4E9023DE"/>
    <w:multiLevelType w:val="hybridMultilevel"/>
    <w:tmpl w:val="88B644FA"/>
    <w:lvl w:ilvl="0" w:tplc="2356FABE">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6" w15:restartNumberingAfterBreak="0">
    <w:nsid w:val="50CA171F"/>
    <w:multiLevelType w:val="multilevel"/>
    <w:tmpl w:val="AB403FA6"/>
    <w:lvl w:ilvl="0">
      <w:start w:val="1"/>
      <w:numFmt w:val="upperRoman"/>
      <w:lvlText w:val="%1"/>
      <w:lvlJc w:val="left"/>
      <w:pPr>
        <w:ind w:left="432" w:hanging="432"/>
      </w:pPr>
      <w:rPr>
        <w:rFonts w:hint="default"/>
      </w:rPr>
    </w:lvl>
    <w:lvl w:ilvl="1">
      <w:start w:val="1"/>
      <w:numFmt w:val="decimal"/>
      <w:lvlText w:val="%1.%2"/>
      <w:lvlJc w:val="left"/>
      <w:pPr>
        <w:ind w:left="576" w:hanging="576"/>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u w:val="single"/>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7" w15:restartNumberingAfterBreak="0">
    <w:nsid w:val="52A71AC5"/>
    <w:multiLevelType w:val="hybridMultilevel"/>
    <w:tmpl w:val="42DC67E8"/>
    <w:lvl w:ilvl="0" w:tplc="2356FABE">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8" w15:restartNumberingAfterBreak="0">
    <w:nsid w:val="52E43BD4"/>
    <w:multiLevelType w:val="hybridMultilevel"/>
    <w:tmpl w:val="384E5FA8"/>
    <w:lvl w:ilvl="0" w:tplc="95AEA76C">
      <w:start w:val="1"/>
      <w:numFmt w:val="bullet"/>
      <w:pStyle w:val="Alineja"/>
      <w:lvlText w:val="-"/>
      <w:lvlJc w:val="left"/>
      <w:pPr>
        <w:ind w:left="1440" w:hanging="360"/>
      </w:pPr>
      <w:rPr>
        <w:rFonts w:ascii="Arial" w:eastAsia="Times New Roman" w:hAnsi="Arial" w:cs="Aria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59" w15:restartNumberingAfterBreak="0">
    <w:nsid w:val="53D859E4"/>
    <w:multiLevelType w:val="hybridMultilevel"/>
    <w:tmpl w:val="A3E89FFC"/>
    <w:lvl w:ilvl="0" w:tplc="2356FABE">
      <w:start w:val="1"/>
      <w:numFmt w:val="bullet"/>
      <w:lvlText w:val=""/>
      <w:lvlJc w:val="left"/>
      <w:pPr>
        <w:ind w:left="1080" w:hanging="360"/>
      </w:pPr>
      <w:rPr>
        <w:rFonts w:ascii="Symbol" w:hAnsi="Symbo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60" w15:restartNumberingAfterBreak="0">
    <w:nsid w:val="54593082"/>
    <w:multiLevelType w:val="singleLevel"/>
    <w:tmpl w:val="EDE069AC"/>
    <w:name w:val="Bullet 0"/>
    <w:lvl w:ilvl="0">
      <w:start w:val="1"/>
      <w:numFmt w:val="bullet"/>
      <w:lvlRestart w:val="0"/>
      <w:pStyle w:val="Bullet0"/>
      <w:lvlText w:val=""/>
      <w:lvlJc w:val="left"/>
      <w:pPr>
        <w:tabs>
          <w:tab w:val="num" w:pos="850"/>
        </w:tabs>
        <w:ind w:left="850" w:hanging="850"/>
      </w:pPr>
      <w:rPr>
        <w:rFonts w:ascii="Symbol" w:hAnsi="Symbol" w:hint="default"/>
      </w:rPr>
    </w:lvl>
  </w:abstractNum>
  <w:abstractNum w:abstractNumId="61" w15:restartNumberingAfterBreak="0">
    <w:nsid w:val="54C127F8"/>
    <w:multiLevelType w:val="hybridMultilevel"/>
    <w:tmpl w:val="99864A18"/>
    <w:lvl w:ilvl="0" w:tplc="CFB4B36A">
      <w:start w:val="10"/>
      <w:numFmt w:val="bullet"/>
      <w:lvlText w:val="-"/>
      <w:lvlJc w:val="left"/>
      <w:pPr>
        <w:ind w:left="360" w:hanging="360"/>
      </w:pPr>
      <w:rPr>
        <w:rFonts w:ascii="Arial" w:eastAsiaTheme="minorHAnsi" w:hAnsi="Arial" w:cs="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62" w15:restartNumberingAfterBreak="0">
    <w:nsid w:val="589E7834"/>
    <w:multiLevelType w:val="multilevel"/>
    <w:tmpl w:val="E07C713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SlogSlogSlogNaslov3ArialNarrowSamovelikerkeNeKrepk"/>
      <w:lvlText w:val="%1.%2.%3"/>
      <w:lvlJc w:val="left"/>
      <w:pPr>
        <w:ind w:left="5965" w:hanging="720"/>
      </w:pPr>
    </w:lvl>
    <w:lvl w:ilvl="3">
      <w:start w:val="1"/>
      <w:numFmt w:val="decimal"/>
      <w:lvlText w:val="%1.%2.%3.%4"/>
      <w:lvlJc w:val="left"/>
      <w:pPr>
        <w:ind w:left="1148" w:hanging="864"/>
      </w:pPr>
      <w:rPr>
        <w:b w:val="0"/>
        <w:bCs w:val="0"/>
        <w:i w:val="0"/>
        <w:iCs w:val="0"/>
        <w:caps w:val="0"/>
        <w:smallCaps w:val="0"/>
        <w:strike w:val="0"/>
        <w:dstrike w:val="0"/>
        <w:noProof w:val="0"/>
        <w:vanish w:val="0"/>
        <w:webHidden w:val="0"/>
        <w:spacing w:val="0"/>
        <w:kern w:val="0"/>
        <w:position w:val="0"/>
        <w:u w:val="none"/>
        <w:effect w:val="none"/>
        <w:vertAlign w:val="baseline"/>
        <w:em w:val="none"/>
        <w:specVanish w:val="0"/>
      </w:rPr>
    </w:lvl>
    <w:lvl w:ilvl="4">
      <w:start w:val="1"/>
      <w:numFmt w:val="decimal"/>
      <w:lvlText w:val="%1.%2.%3.%4.%5"/>
      <w:lvlJc w:val="left"/>
      <w:pPr>
        <w:ind w:left="1150"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3" w15:restartNumberingAfterBreak="0">
    <w:nsid w:val="5B8432DC"/>
    <w:multiLevelType w:val="hybridMultilevel"/>
    <w:tmpl w:val="BBE4D0BC"/>
    <w:lvl w:ilvl="0" w:tplc="2356FABE">
      <w:start w:val="1"/>
      <w:numFmt w:val="bullet"/>
      <w:lvlText w:val=""/>
      <w:lvlJc w:val="left"/>
      <w:pPr>
        <w:ind w:left="720" w:hanging="360"/>
      </w:pPr>
      <w:rPr>
        <w:rFonts w:ascii="Symbol" w:hAnsi="Symbol" w:hint="default"/>
        <w:color w:val="auto"/>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4" w15:restartNumberingAfterBreak="0">
    <w:nsid w:val="5BD41018"/>
    <w:multiLevelType w:val="multilevel"/>
    <w:tmpl w:val="35E63DA2"/>
    <w:styleLink w:val="111111"/>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5F894BFE"/>
    <w:multiLevelType w:val="singleLevel"/>
    <w:tmpl w:val="A33E1D38"/>
    <w:lvl w:ilvl="0">
      <w:start w:val="1"/>
      <w:numFmt w:val="bullet"/>
      <w:lvlRestart w:val="0"/>
      <w:pStyle w:val="Point2number"/>
      <w:lvlText w:val=""/>
      <w:lvlJc w:val="left"/>
      <w:pPr>
        <w:tabs>
          <w:tab w:val="num" w:pos="850"/>
        </w:tabs>
        <w:ind w:left="850" w:hanging="850"/>
      </w:pPr>
      <w:rPr>
        <w:rFonts w:ascii="Symbol" w:hAnsi="Symbol" w:hint="default"/>
      </w:rPr>
    </w:lvl>
  </w:abstractNum>
  <w:abstractNum w:abstractNumId="66" w15:restartNumberingAfterBreak="0">
    <w:nsid w:val="5FEE6EE4"/>
    <w:multiLevelType w:val="hybridMultilevel"/>
    <w:tmpl w:val="E02ECF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62970F71"/>
    <w:multiLevelType w:val="singleLevel"/>
    <w:tmpl w:val="5AFA8C72"/>
    <w:name w:val="Tiret 2"/>
    <w:lvl w:ilvl="0">
      <w:start w:val="1"/>
      <w:numFmt w:val="bullet"/>
      <w:lvlRestart w:val="0"/>
      <w:pStyle w:val="Tiret2"/>
      <w:lvlText w:val="–"/>
      <w:lvlJc w:val="left"/>
      <w:pPr>
        <w:tabs>
          <w:tab w:val="num" w:pos="1984"/>
        </w:tabs>
        <w:ind w:left="1984" w:hanging="567"/>
      </w:pPr>
    </w:lvl>
  </w:abstractNum>
  <w:abstractNum w:abstractNumId="68" w15:restartNumberingAfterBreak="0">
    <w:nsid w:val="62C85E40"/>
    <w:multiLevelType w:val="singleLevel"/>
    <w:tmpl w:val="68DEADF2"/>
    <w:lvl w:ilvl="0">
      <w:start w:val="1"/>
      <w:numFmt w:val="decimal"/>
      <w:pStyle w:val="Step"/>
      <w:lvlText w:val="%1) "/>
      <w:lvlJc w:val="left"/>
      <w:pPr>
        <w:tabs>
          <w:tab w:val="num" w:pos="1021"/>
        </w:tabs>
        <w:ind w:left="1021" w:hanging="1021"/>
      </w:pPr>
      <w:rPr>
        <w:b/>
        <w:i w:val="0"/>
      </w:rPr>
    </w:lvl>
  </w:abstractNum>
  <w:abstractNum w:abstractNumId="69" w15:restartNumberingAfterBreak="0">
    <w:nsid w:val="656A5C07"/>
    <w:multiLevelType w:val="hybridMultilevel"/>
    <w:tmpl w:val="4192CE1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66436C72"/>
    <w:multiLevelType w:val="hybridMultilevel"/>
    <w:tmpl w:val="340E66FE"/>
    <w:lvl w:ilvl="0" w:tplc="2356FABE">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1" w15:restartNumberingAfterBreak="0">
    <w:nsid w:val="66CD173F"/>
    <w:multiLevelType w:val="hybridMultilevel"/>
    <w:tmpl w:val="F5D6D6C8"/>
    <w:lvl w:ilvl="0" w:tplc="2356FABE">
      <w:start w:val="1"/>
      <w:numFmt w:val="bullet"/>
      <w:lvlText w:val=""/>
      <w:lvlJc w:val="left"/>
      <w:pPr>
        <w:ind w:left="1080" w:hanging="360"/>
      </w:pPr>
      <w:rPr>
        <w:rFonts w:ascii="Symbol" w:hAnsi="Symbo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72" w15:restartNumberingAfterBreak="0">
    <w:nsid w:val="691D4DC3"/>
    <w:multiLevelType w:val="hybridMultilevel"/>
    <w:tmpl w:val="E75695A2"/>
    <w:lvl w:ilvl="0" w:tplc="2356FABE">
      <w:start w:val="1"/>
      <w:numFmt w:val="bullet"/>
      <w:lvlText w:val=""/>
      <w:lvlJc w:val="left"/>
      <w:pPr>
        <w:ind w:left="720" w:hanging="360"/>
      </w:pPr>
      <w:rPr>
        <w:rFonts w:ascii="Symbol" w:hAnsi="Symbol" w:hint="default"/>
      </w:r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3" w15:restartNumberingAfterBreak="0">
    <w:nsid w:val="6A870AC5"/>
    <w:multiLevelType w:val="hybridMultilevel"/>
    <w:tmpl w:val="D0D408EA"/>
    <w:lvl w:ilvl="0" w:tplc="3F3AE07E">
      <w:start w:val="1"/>
      <w:numFmt w:val="bullet"/>
      <w:pStyle w:val="Alineazaodstavkom"/>
      <w:lvlText w:val="-"/>
      <w:lvlJc w:val="left"/>
      <w:pPr>
        <w:tabs>
          <w:tab w:val="num" w:pos="826"/>
        </w:tabs>
        <w:ind w:left="826" w:hanging="397"/>
      </w:pPr>
      <w:rPr>
        <w:rFonts w:ascii="Arial" w:hAnsi="Arial" w:hint="default"/>
      </w:rPr>
    </w:lvl>
    <w:lvl w:ilvl="1" w:tplc="EE8AB270">
      <w:start w:val="1"/>
      <w:numFmt w:val="bullet"/>
      <w:lvlText w:val="o"/>
      <w:lvlJc w:val="left"/>
      <w:pPr>
        <w:tabs>
          <w:tab w:val="num" w:pos="1869"/>
        </w:tabs>
        <w:ind w:left="1869" w:hanging="360"/>
      </w:pPr>
      <w:rPr>
        <w:rFonts w:ascii="Courier New" w:hAnsi="Courier New" w:cs="Courier New" w:hint="default"/>
      </w:rPr>
    </w:lvl>
    <w:lvl w:ilvl="2" w:tplc="F46EC354" w:tentative="1">
      <w:start w:val="1"/>
      <w:numFmt w:val="bullet"/>
      <w:lvlText w:val=""/>
      <w:lvlJc w:val="left"/>
      <w:pPr>
        <w:tabs>
          <w:tab w:val="num" w:pos="2589"/>
        </w:tabs>
        <w:ind w:left="2589" w:hanging="360"/>
      </w:pPr>
      <w:rPr>
        <w:rFonts w:ascii="Wingdings" w:hAnsi="Wingdings" w:hint="default"/>
      </w:rPr>
    </w:lvl>
    <w:lvl w:ilvl="3" w:tplc="1BEC76E8" w:tentative="1">
      <w:start w:val="1"/>
      <w:numFmt w:val="bullet"/>
      <w:lvlText w:val=""/>
      <w:lvlJc w:val="left"/>
      <w:pPr>
        <w:tabs>
          <w:tab w:val="num" w:pos="3309"/>
        </w:tabs>
        <w:ind w:left="3309" w:hanging="360"/>
      </w:pPr>
      <w:rPr>
        <w:rFonts w:ascii="Symbol" w:hAnsi="Symbol" w:hint="default"/>
      </w:rPr>
    </w:lvl>
    <w:lvl w:ilvl="4" w:tplc="034E0C0A" w:tentative="1">
      <w:start w:val="1"/>
      <w:numFmt w:val="bullet"/>
      <w:lvlText w:val="o"/>
      <w:lvlJc w:val="left"/>
      <w:pPr>
        <w:tabs>
          <w:tab w:val="num" w:pos="4029"/>
        </w:tabs>
        <w:ind w:left="4029" w:hanging="360"/>
      </w:pPr>
      <w:rPr>
        <w:rFonts w:ascii="Courier New" w:hAnsi="Courier New" w:cs="Courier New" w:hint="default"/>
      </w:rPr>
    </w:lvl>
    <w:lvl w:ilvl="5" w:tplc="31A84DA0" w:tentative="1">
      <w:start w:val="1"/>
      <w:numFmt w:val="bullet"/>
      <w:lvlText w:val=""/>
      <w:lvlJc w:val="left"/>
      <w:pPr>
        <w:tabs>
          <w:tab w:val="num" w:pos="4749"/>
        </w:tabs>
        <w:ind w:left="4749" w:hanging="360"/>
      </w:pPr>
      <w:rPr>
        <w:rFonts w:ascii="Wingdings" w:hAnsi="Wingdings" w:hint="default"/>
      </w:rPr>
    </w:lvl>
    <w:lvl w:ilvl="6" w:tplc="7BE0E044" w:tentative="1">
      <w:start w:val="1"/>
      <w:numFmt w:val="bullet"/>
      <w:lvlText w:val=""/>
      <w:lvlJc w:val="left"/>
      <w:pPr>
        <w:tabs>
          <w:tab w:val="num" w:pos="5469"/>
        </w:tabs>
        <w:ind w:left="5469" w:hanging="360"/>
      </w:pPr>
      <w:rPr>
        <w:rFonts w:ascii="Symbol" w:hAnsi="Symbol" w:hint="default"/>
      </w:rPr>
    </w:lvl>
    <w:lvl w:ilvl="7" w:tplc="49FA7B86" w:tentative="1">
      <w:start w:val="1"/>
      <w:numFmt w:val="bullet"/>
      <w:lvlText w:val="o"/>
      <w:lvlJc w:val="left"/>
      <w:pPr>
        <w:tabs>
          <w:tab w:val="num" w:pos="6189"/>
        </w:tabs>
        <w:ind w:left="6189" w:hanging="360"/>
      </w:pPr>
      <w:rPr>
        <w:rFonts w:ascii="Courier New" w:hAnsi="Courier New" w:cs="Courier New" w:hint="default"/>
      </w:rPr>
    </w:lvl>
    <w:lvl w:ilvl="8" w:tplc="4FCEF41A" w:tentative="1">
      <w:start w:val="1"/>
      <w:numFmt w:val="bullet"/>
      <w:lvlText w:val=""/>
      <w:lvlJc w:val="left"/>
      <w:pPr>
        <w:tabs>
          <w:tab w:val="num" w:pos="6909"/>
        </w:tabs>
        <w:ind w:left="6909" w:hanging="360"/>
      </w:pPr>
      <w:rPr>
        <w:rFonts w:ascii="Wingdings" w:hAnsi="Wingdings" w:hint="default"/>
      </w:rPr>
    </w:lvl>
  </w:abstractNum>
  <w:abstractNum w:abstractNumId="74" w15:restartNumberingAfterBreak="0">
    <w:nsid w:val="6F710002"/>
    <w:multiLevelType w:val="hybridMultilevel"/>
    <w:tmpl w:val="BE1A92BE"/>
    <w:lvl w:ilvl="0" w:tplc="F740FB34">
      <w:start w:val="1"/>
      <w:numFmt w:val="decimal"/>
      <w:lvlText w:val="%1."/>
      <w:lvlJc w:val="left"/>
      <w:pPr>
        <w:ind w:left="720" w:hanging="360"/>
      </w:pPr>
      <w:rPr>
        <w:rFonts w:hint="default"/>
        <w:strike w:val="0"/>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5" w15:restartNumberingAfterBreak="0">
    <w:nsid w:val="6FF969E4"/>
    <w:multiLevelType w:val="hybridMultilevel"/>
    <w:tmpl w:val="37EA95C6"/>
    <w:lvl w:ilvl="0" w:tplc="3956F57A">
      <w:numFmt w:val="bullet"/>
      <w:lvlText w:val="-"/>
      <w:lvlJc w:val="left"/>
      <w:pPr>
        <w:ind w:left="720" w:hanging="360"/>
      </w:pPr>
      <w:rPr>
        <w:rFonts w:ascii="Calibri" w:eastAsia="Cambria" w:hAnsi="Calibri"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6" w15:restartNumberingAfterBreak="0">
    <w:nsid w:val="70CB60F2"/>
    <w:multiLevelType w:val="singleLevel"/>
    <w:tmpl w:val="1A34B748"/>
    <w:lvl w:ilvl="0">
      <w:start w:val="14"/>
      <w:numFmt w:val="decimal"/>
      <w:pStyle w:val="resolution"/>
      <w:lvlText w:val="Action %1:"/>
      <w:lvlJc w:val="left"/>
      <w:pPr>
        <w:tabs>
          <w:tab w:val="num" w:pos="1080"/>
        </w:tabs>
        <w:ind w:left="461" w:hanging="461"/>
      </w:pPr>
      <w:rPr>
        <w:b/>
        <w:i w:val="0"/>
        <w:u w:val="single"/>
      </w:rPr>
    </w:lvl>
  </w:abstractNum>
  <w:abstractNum w:abstractNumId="77" w15:restartNumberingAfterBreak="0">
    <w:nsid w:val="75CD00BD"/>
    <w:multiLevelType w:val="multilevel"/>
    <w:tmpl w:val="8A0ECAE4"/>
    <w:styleLink w:val="Nastevanje1"/>
    <w:lvl w:ilvl="0">
      <w:start w:val="1"/>
      <w:numFmt w:val="bullet"/>
      <w:lvlText w:val=""/>
      <w:lvlJc w:val="left"/>
      <w:pPr>
        <w:tabs>
          <w:tab w:val="num" w:pos="567"/>
        </w:tabs>
        <w:ind w:left="567" w:hanging="567"/>
      </w:pPr>
      <w:rPr>
        <w:rFonts w:ascii="Symbol" w:hAnsi="Symbol" w:cs="Times New Roman" w:hint="default"/>
        <w:sz w:val="22"/>
        <w:szCs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78" w15:restartNumberingAfterBreak="0">
    <w:nsid w:val="76160026"/>
    <w:multiLevelType w:val="hybridMultilevel"/>
    <w:tmpl w:val="6250F66E"/>
    <w:lvl w:ilvl="0" w:tplc="8A101824">
      <w:numFmt w:val="bullet"/>
      <w:lvlText w:val="-"/>
      <w:lvlJc w:val="left"/>
      <w:pPr>
        <w:tabs>
          <w:tab w:val="num" w:pos="717"/>
        </w:tabs>
        <w:ind w:left="717" w:hanging="360"/>
      </w:pPr>
      <w:rPr>
        <w:rFonts w:ascii="Arial" w:eastAsia="Times New Roman" w:hAnsi="Arial" w:cs="Times New Roman" w:hint="default"/>
      </w:rPr>
    </w:lvl>
    <w:lvl w:ilvl="1" w:tplc="6DCA60C2">
      <w:start w:val="1"/>
      <w:numFmt w:val="bullet"/>
      <w:lvlText w:val="o"/>
      <w:lvlJc w:val="left"/>
      <w:pPr>
        <w:tabs>
          <w:tab w:val="num" w:pos="1440"/>
        </w:tabs>
        <w:ind w:left="1440" w:hanging="360"/>
      </w:pPr>
      <w:rPr>
        <w:rFonts w:ascii="Courier New" w:hAnsi="Courier New" w:cs="Times New Roman" w:hint="default"/>
      </w:rPr>
    </w:lvl>
    <w:lvl w:ilvl="2" w:tplc="8AECF000">
      <w:start w:val="1"/>
      <w:numFmt w:val="bullet"/>
      <w:lvlText w:val=""/>
      <w:lvlJc w:val="left"/>
      <w:pPr>
        <w:tabs>
          <w:tab w:val="num" w:pos="2160"/>
        </w:tabs>
        <w:ind w:left="2160" w:hanging="360"/>
      </w:pPr>
      <w:rPr>
        <w:rFonts w:ascii="Wingdings" w:hAnsi="Wingdings" w:hint="default"/>
      </w:rPr>
    </w:lvl>
    <w:lvl w:ilvl="3" w:tplc="CDB06EBC">
      <w:start w:val="1"/>
      <w:numFmt w:val="decimal"/>
      <w:lvlText w:val="%4."/>
      <w:lvlJc w:val="left"/>
      <w:pPr>
        <w:tabs>
          <w:tab w:val="num" w:pos="2880"/>
        </w:tabs>
        <w:ind w:left="2880" w:hanging="360"/>
      </w:pPr>
      <w:rPr>
        <w:rFonts w:cs="Times New Roman"/>
      </w:rPr>
    </w:lvl>
    <w:lvl w:ilvl="4" w:tplc="ADD691F0">
      <w:start w:val="1"/>
      <w:numFmt w:val="decimal"/>
      <w:lvlText w:val="%5."/>
      <w:lvlJc w:val="left"/>
      <w:pPr>
        <w:tabs>
          <w:tab w:val="num" w:pos="3600"/>
        </w:tabs>
        <w:ind w:left="3600" w:hanging="360"/>
      </w:pPr>
      <w:rPr>
        <w:rFonts w:cs="Times New Roman"/>
      </w:rPr>
    </w:lvl>
    <w:lvl w:ilvl="5" w:tplc="10AE235E">
      <w:start w:val="1"/>
      <w:numFmt w:val="decimal"/>
      <w:lvlText w:val="%6."/>
      <w:lvlJc w:val="left"/>
      <w:pPr>
        <w:tabs>
          <w:tab w:val="num" w:pos="4320"/>
        </w:tabs>
        <w:ind w:left="4320" w:hanging="360"/>
      </w:pPr>
      <w:rPr>
        <w:rFonts w:cs="Times New Roman"/>
      </w:rPr>
    </w:lvl>
    <w:lvl w:ilvl="6" w:tplc="46EE86E6">
      <w:start w:val="1"/>
      <w:numFmt w:val="decimal"/>
      <w:lvlText w:val="%7."/>
      <w:lvlJc w:val="left"/>
      <w:pPr>
        <w:tabs>
          <w:tab w:val="num" w:pos="5040"/>
        </w:tabs>
        <w:ind w:left="5040" w:hanging="360"/>
      </w:pPr>
      <w:rPr>
        <w:rFonts w:cs="Times New Roman"/>
      </w:rPr>
    </w:lvl>
    <w:lvl w:ilvl="7" w:tplc="8F4A9076">
      <w:start w:val="1"/>
      <w:numFmt w:val="decimal"/>
      <w:lvlText w:val="%8."/>
      <w:lvlJc w:val="left"/>
      <w:pPr>
        <w:tabs>
          <w:tab w:val="num" w:pos="5760"/>
        </w:tabs>
        <w:ind w:left="5760" w:hanging="360"/>
      </w:pPr>
      <w:rPr>
        <w:rFonts w:cs="Times New Roman"/>
      </w:rPr>
    </w:lvl>
    <w:lvl w:ilvl="8" w:tplc="87647956">
      <w:start w:val="1"/>
      <w:numFmt w:val="decimal"/>
      <w:lvlText w:val="%9."/>
      <w:lvlJc w:val="left"/>
      <w:pPr>
        <w:tabs>
          <w:tab w:val="num" w:pos="6480"/>
        </w:tabs>
        <w:ind w:left="6480" w:hanging="360"/>
      </w:pPr>
      <w:rPr>
        <w:rFonts w:cs="Times New Roman"/>
      </w:rPr>
    </w:lvl>
  </w:abstractNum>
  <w:abstractNum w:abstractNumId="79" w15:restartNumberingAfterBreak="0">
    <w:nsid w:val="78D019F2"/>
    <w:multiLevelType w:val="multilevel"/>
    <w:tmpl w:val="8CA2B7F6"/>
    <w:lvl w:ilvl="0">
      <w:start w:val="1"/>
      <w:numFmt w:val="decimal"/>
      <w:pStyle w:val="EO-Poglavje3"/>
      <w:lvlText w:val="%1."/>
      <w:lvlJc w:val="left"/>
      <w:pPr>
        <w:tabs>
          <w:tab w:val="num" w:pos="1134"/>
        </w:tabs>
        <w:ind w:left="1134" w:hanging="1134"/>
      </w:pPr>
      <w:rPr>
        <w:rFonts w:ascii="Tahoma" w:hAnsi="Tahoma" w:hint="default"/>
        <w:b/>
        <w:i w:val="0"/>
        <w:caps/>
        <w:sz w:val="28"/>
      </w:rPr>
    </w:lvl>
    <w:lvl w:ilvl="1">
      <w:start w:val="1"/>
      <w:numFmt w:val="decimal"/>
      <w:pStyle w:val="EO-Poglavje4"/>
      <w:lvlText w:val="%1.%2"/>
      <w:lvlJc w:val="left"/>
      <w:pPr>
        <w:tabs>
          <w:tab w:val="num" w:pos="1134"/>
        </w:tabs>
        <w:ind w:left="1134" w:hanging="1134"/>
      </w:pPr>
      <w:rPr>
        <w:rFonts w:ascii="Tahoma" w:hAnsi="Tahoma" w:hint="default"/>
        <w:b/>
        <w:i w:val="0"/>
        <w:caps/>
        <w:sz w:val="22"/>
      </w:rPr>
    </w:lvl>
    <w:lvl w:ilvl="2">
      <w:start w:val="1"/>
      <w:numFmt w:val="decimal"/>
      <w:pStyle w:val="EO-natevanje1"/>
      <w:lvlText w:val="%1.%2.%3"/>
      <w:lvlJc w:val="left"/>
      <w:pPr>
        <w:tabs>
          <w:tab w:val="num" w:pos="1134"/>
        </w:tabs>
        <w:ind w:left="1134" w:hanging="1134"/>
      </w:pPr>
      <w:rPr>
        <w:rFonts w:ascii="Tahoma" w:hAnsi="Tahoma" w:hint="default"/>
        <w:b/>
        <w:i w:val="0"/>
        <w:sz w:val="22"/>
      </w:rPr>
    </w:lvl>
    <w:lvl w:ilvl="3">
      <w:start w:val="1"/>
      <w:numFmt w:val="decimal"/>
      <w:pStyle w:val="EO-tabela-vsebina"/>
      <w:lvlText w:val="%1.%2.%3.%4"/>
      <w:lvlJc w:val="left"/>
      <w:pPr>
        <w:tabs>
          <w:tab w:val="num" w:pos="1134"/>
        </w:tabs>
        <w:ind w:left="1134" w:hanging="1134"/>
      </w:pPr>
      <w:rPr>
        <w:rFonts w:ascii="Tahoma" w:hAnsi="Tahoma" w:hint="default"/>
        <w:b/>
        <w:i w:val="0"/>
        <w:sz w:val="2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80" w15:restartNumberingAfterBreak="0">
    <w:nsid w:val="79C004C6"/>
    <w:multiLevelType w:val="hybridMultilevel"/>
    <w:tmpl w:val="A1F4B918"/>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81" w15:restartNumberingAfterBreak="0">
    <w:nsid w:val="7A6306FF"/>
    <w:multiLevelType w:val="hybridMultilevel"/>
    <w:tmpl w:val="129C686A"/>
    <w:lvl w:ilvl="0" w:tplc="2356FABE">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2" w15:restartNumberingAfterBreak="0">
    <w:nsid w:val="7B8024BF"/>
    <w:multiLevelType w:val="multilevel"/>
    <w:tmpl w:val="45645F0C"/>
    <w:lvl w:ilvl="0">
      <w:start w:val="5"/>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pStyle w:val="Slog5"/>
      <w:lvlText w:val="%1.%2.%3.%4"/>
      <w:lvlJc w:val="left"/>
      <w:pPr>
        <w:tabs>
          <w:tab w:val="num" w:pos="864"/>
        </w:tabs>
        <w:ind w:left="864" w:hanging="864"/>
      </w:pPr>
    </w:lvl>
    <w:lvl w:ilvl="4">
      <w:start w:val="1"/>
      <w:numFmt w:val="decimal"/>
      <w:lvlRestart w:val="0"/>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83" w15:restartNumberingAfterBreak="0">
    <w:nsid w:val="7D7B20EC"/>
    <w:multiLevelType w:val="multilevel"/>
    <w:tmpl w:val="DDAEEACC"/>
    <w:lvl w:ilvl="0">
      <w:start w:val="5"/>
      <w:numFmt w:val="decimal"/>
      <w:lvlText w:val="%1"/>
      <w:lvlJc w:val="left"/>
      <w:pPr>
        <w:tabs>
          <w:tab w:val="num" w:pos="432"/>
        </w:tabs>
        <w:ind w:left="432" w:hanging="432"/>
      </w:pPr>
    </w:lvl>
    <w:lvl w:ilvl="1">
      <w:start w:val="1"/>
      <w:numFmt w:val="decimal"/>
      <w:pStyle w:val="SlogNaslov2ArialNarrow"/>
      <w:lvlText w:val="%1.%2"/>
      <w:lvlJc w:val="left"/>
      <w:pPr>
        <w:tabs>
          <w:tab w:val="num" w:pos="576"/>
        </w:tabs>
        <w:ind w:left="576" w:hanging="576"/>
      </w:pPr>
    </w:lvl>
    <w:lvl w:ilvl="2">
      <w:start w:val="1"/>
      <w:numFmt w:val="decimal"/>
      <w:lvlRestart w:val="0"/>
      <w:pStyle w:val="SlogNaslov3ArialNarrowSamovelikerke"/>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Restart w:val="0"/>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84" w15:restartNumberingAfterBreak="0">
    <w:nsid w:val="7DD5290C"/>
    <w:multiLevelType w:val="hybridMultilevel"/>
    <w:tmpl w:val="D9E0ECF2"/>
    <w:lvl w:ilvl="0" w:tplc="06B23C30">
      <w:start w:val="1"/>
      <w:numFmt w:val="lowerLetter"/>
      <w:pStyle w:val="rkovnatokazatevilnotoko"/>
      <w:lvlText w:val="%1)"/>
      <w:lvlJc w:val="left"/>
      <w:pPr>
        <w:ind w:left="757" w:hanging="360"/>
      </w:pPr>
      <w:rPr>
        <w:rFonts w:hint="default"/>
      </w:rPr>
    </w:lvl>
    <w:lvl w:ilvl="1" w:tplc="04240019" w:tentative="1">
      <w:start w:val="1"/>
      <w:numFmt w:val="lowerLetter"/>
      <w:lvlText w:val="%2."/>
      <w:lvlJc w:val="left"/>
      <w:pPr>
        <w:ind w:left="1477" w:hanging="360"/>
      </w:pPr>
    </w:lvl>
    <w:lvl w:ilvl="2" w:tplc="0424001B" w:tentative="1">
      <w:start w:val="1"/>
      <w:numFmt w:val="lowerRoman"/>
      <w:lvlText w:val="%3."/>
      <w:lvlJc w:val="right"/>
      <w:pPr>
        <w:ind w:left="2197" w:hanging="180"/>
      </w:pPr>
    </w:lvl>
    <w:lvl w:ilvl="3" w:tplc="0424000F" w:tentative="1">
      <w:start w:val="1"/>
      <w:numFmt w:val="decimal"/>
      <w:lvlText w:val="%4."/>
      <w:lvlJc w:val="left"/>
      <w:pPr>
        <w:ind w:left="2917" w:hanging="360"/>
      </w:pPr>
    </w:lvl>
    <w:lvl w:ilvl="4" w:tplc="04240019" w:tentative="1">
      <w:start w:val="1"/>
      <w:numFmt w:val="lowerLetter"/>
      <w:lvlText w:val="%5."/>
      <w:lvlJc w:val="left"/>
      <w:pPr>
        <w:ind w:left="3637" w:hanging="360"/>
      </w:pPr>
    </w:lvl>
    <w:lvl w:ilvl="5" w:tplc="0424001B" w:tentative="1">
      <w:start w:val="1"/>
      <w:numFmt w:val="lowerRoman"/>
      <w:lvlText w:val="%6."/>
      <w:lvlJc w:val="right"/>
      <w:pPr>
        <w:ind w:left="4357" w:hanging="180"/>
      </w:pPr>
    </w:lvl>
    <w:lvl w:ilvl="6" w:tplc="0424000F" w:tentative="1">
      <w:start w:val="1"/>
      <w:numFmt w:val="decimal"/>
      <w:lvlText w:val="%7."/>
      <w:lvlJc w:val="left"/>
      <w:pPr>
        <w:ind w:left="5077" w:hanging="360"/>
      </w:pPr>
    </w:lvl>
    <w:lvl w:ilvl="7" w:tplc="04240019" w:tentative="1">
      <w:start w:val="1"/>
      <w:numFmt w:val="lowerLetter"/>
      <w:lvlText w:val="%8."/>
      <w:lvlJc w:val="left"/>
      <w:pPr>
        <w:ind w:left="5797" w:hanging="360"/>
      </w:pPr>
    </w:lvl>
    <w:lvl w:ilvl="8" w:tplc="0424001B" w:tentative="1">
      <w:start w:val="1"/>
      <w:numFmt w:val="lowerRoman"/>
      <w:lvlText w:val="%9."/>
      <w:lvlJc w:val="right"/>
      <w:pPr>
        <w:ind w:left="6517" w:hanging="180"/>
      </w:pPr>
    </w:lvl>
  </w:abstractNum>
  <w:abstractNum w:abstractNumId="85" w15:restartNumberingAfterBreak="0">
    <w:nsid w:val="7E5F5917"/>
    <w:multiLevelType w:val="multilevel"/>
    <w:tmpl w:val="38488B14"/>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75"/>
  </w:num>
  <w:num w:numId="2">
    <w:abstractNumId w:val="53"/>
  </w:num>
  <w:num w:numId="3">
    <w:abstractNumId w:val="31"/>
  </w:num>
  <w:num w:numId="4">
    <w:abstractNumId w:val="80"/>
  </w:num>
  <w:num w:numId="5">
    <w:abstractNumId w:val="43"/>
  </w:num>
  <w:num w:numId="6">
    <w:abstractNumId w:val="6"/>
  </w:num>
  <w:num w:numId="7">
    <w:abstractNumId w:val="18"/>
  </w:num>
  <w:num w:numId="8">
    <w:abstractNumId w:val="79"/>
  </w:num>
  <w:num w:numId="9">
    <w:abstractNumId w:val="40"/>
  </w:num>
  <w:num w:numId="10">
    <w:abstractNumId w:val="15"/>
  </w:num>
  <w:num w:numId="11">
    <w:abstractNumId w:val="2"/>
  </w:num>
  <w:num w:numId="12">
    <w:abstractNumId w:val="38"/>
  </w:num>
  <w:num w:numId="13">
    <w:abstractNumId w:val="25"/>
  </w:num>
  <w:num w:numId="14">
    <w:abstractNumId w:val="61"/>
  </w:num>
  <w:num w:numId="15">
    <w:abstractNumId w:val="78"/>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74"/>
  </w:num>
  <w:num w:numId="17">
    <w:abstractNumId w:val="34"/>
  </w:num>
  <w:num w:numId="18">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7"/>
  </w:num>
  <w:num w:numId="20">
    <w:abstractNumId w:val="7"/>
  </w:num>
  <w:num w:numId="21">
    <w:abstractNumId w:val="4"/>
  </w:num>
  <w:num w:numId="22">
    <w:abstractNumId w:val="36"/>
  </w:num>
  <w:num w:numId="23">
    <w:abstractNumId w:val="52"/>
  </w:num>
  <w:num w:numId="24">
    <w:abstractNumId w:val="71"/>
  </w:num>
  <w:num w:numId="25">
    <w:abstractNumId w:val="27"/>
  </w:num>
  <w:num w:numId="26">
    <w:abstractNumId w:val="55"/>
  </w:num>
  <w:num w:numId="27">
    <w:abstractNumId w:val="72"/>
  </w:num>
  <w:num w:numId="28">
    <w:abstractNumId w:val="22"/>
  </w:num>
  <w:num w:numId="29">
    <w:abstractNumId w:val="29"/>
  </w:num>
  <w:num w:numId="30">
    <w:abstractNumId w:val="70"/>
  </w:num>
  <w:num w:numId="31">
    <w:abstractNumId w:val="47"/>
  </w:num>
  <w:num w:numId="32">
    <w:abstractNumId w:val="14"/>
  </w:num>
  <w:num w:numId="33">
    <w:abstractNumId w:val="35"/>
  </w:num>
  <w:num w:numId="34">
    <w:abstractNumId w:val="3"/>
  </w:num>
  <w:num w:numId="35">
    <w:abstractNumId w:val="42"/>
  </w:num>
  <w:num w:numId="36">
    <w:abstractNumId w:val="10"/>
  </w:num>
  <w:num w:numId="37">
    <w:abstractNumId w:val="41"/>
  </w:num>
  <w:num w:numId="38">
    <w:abstractNumId w:val="64"/>
  </w:num>
  <w:num w:numId="39">
    <w:abstractNumId w:val="17"/>
  </w:num>
  <w:num w:numId="40">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44"/>
  </w:num>
  <w:num w:numId="42">
    <w:abstractNumId w:val="58"/>
  </w:num>
  <w:num w:numId="43">
    <w:abstractNumId w:val="30"/>
  </w:num>
  <w:num w:numId="44">
    <w:abstractNumId w:val="33"/>
  </w:num>
  <w:num w:numId="45">
    <w:abstractNumId w:val="73"/>
  </w:num>
  <w:num w:numId="46">
    <w:abstractNumId w:val="84"/>
  </w:num>
  <w:num w:numId="47">
    <w:abstractNumId w:val="1"/>
    <w:lvlOverride w:ilvl="0">
      <w:startOverride w:val="1"/>
    </w:lvlOverride>
  </w:num>
  <w:num w:numId="48">
    <w:abstractNumId w:val="0"/>
    <w:lvlOverride w:ilvl="0">
      <w:startOverride w:val="1"/>
    </w:lvlOverride>
  </w:num>
  <w:num w:numId="49">
    <w:abstractNumId w:val="24"/>
    <w:lvlOverride w:ilvl="0">
      <w:startOverride w:val="1"/>
    </w:lvlOverride>
    <w:lvlOverride w:ilvl="1">
      <w:startOverride w:val="2"/>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68"/>
    <w:lvlOverride w:ilvl="0">
      <w:startOverride w:val="1"/>
    </w:lvlOverride>
  </w:num>
  <w:num w:numId="51">
    <w:abstractNumId w:val="21"/>
    <w:lvlOverride w:ilvl="0">
      <w:startOverride w:val="1"/>
    </w:lvlOverride>
  </w:num>
  <w:num w:numId="52">
    <w:abstractNumId w:val="49"/>
    <w:lvlOverride w:ilvl="0">
      <w:startOverride w:val="1"/>
    </w:lvlOverride>
  </w:num>
  <w:num w:numId="53">
    <w:abstractNumId w:val="76"/>
    <w:lvlOverride w:ilvl="0">
      <w:startOverride w:val="14"/>
    </w:lvlOverride>
  </w:num>
  <w:num w:numId="54">
    <w:abstractNumId w:val="12"/>
  </w:num>
  <w:num w:numId="5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9"/>
  </w:num>
  <w:num w:numId="57">
    <w:abstractNumId w:val="82"/>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1"/>
  </w:num>
  <w:num w:numId="59">
    <w:abstractNumId w:val="26"/>
  </w:num>
  <w:num w:numId="60">
    <w:abstractNumId w:val="54"/>
  </w:num>
  <w:num w:numId="61">
    <w:abstractNumId w:val="77"/>
  </w:num>
  <w:num w:numId="6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83"/>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67"/>
  </w:num>
  <w:num w:numId="67">
    <w:abstractNumId w:val="60"/>
  </w:num>
  <w:num w:numId="68">
    <w:abstractNumId w:val="65"/>
  </w:num>
  <w:num w:numId="69">
    <w:abstractNumId w:val="46"/>
  </w:num>
  <w:num w:numId="70">
    <w:abstractNumId w:val="59"/>
  </w:num>
  <w:num w:numId="71">
    <w:abstractNumId w:val="32"/>
  </w:num>
  <w:num w:numId="72">
    <w:abstractNumId w:val="81"/>
  </w:num>
  <w:num w:numId="73">
    <w:abstractNumId w:val="48"/>
  </w:num>
  <w:num w:numId="74">
    <w:abstractNumId w:val="13"/>
  </w:num>
  <w:num w:numId="75">
    <w:abstractNumId w:val="63"/>
  </w:num>
  <w:num w:numId="76">
    <w:abstractNumId w:val="51"/>
  </w:num>
  <w:num w:numId="77">
    <w:abstractNumId w:val="16"/>
  </w:num>
  <w:num w:numId="78">
    <w:abstractNumId w:val="45"/>
  </w:num>
  <w:num w:numId="79">
    <w:abstractNumId w:val="56"/>
  </w:num>
  <w:num w:numId="80">
    <w:abstractNumId w:val="39"/>
  </w:num>
  <w:num w:numId="81">
    <w:abstractNumId w:val="69"/>
  </w:num>
  <w:num w:numId="82">
    <w:abstractNumId w:val="5"/>
  </w:num>
  <w:num w:numId="83">
    <w:abstractNumId w:val="78"/>
  </w:num>
  <w:num w:numId="84">
    <w:abstractNumId w:val="8"/>
  </w:num>
  <w:num w:numId="85">
    <w:abstractNumId w:val="66"/>
  </w:num>
  <w:num w:numId="86">
    <w:abstractNumId w:val="23"/>
  </w:num>
  <w:num w:numId="87">
    <w:abstractNumId w:val="85"/>
  </w:num>
  <w:num w:numId="88">
    <w:abstractNumId w:val="28"/>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hideSpellingErrors/>
  <w:hideGrammaticalErrors/>
  <w:attachedTemplate r:id="rId1"/>
  <w:stylePaneFormatFilter w:val="0001" w:allStyles="1"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425"/>
  <w:doNotHyphenateCaps/>
  <w:drawingGridHorizontalSpacing w:val="284"/>
  <w:drawingGridVerticalSpacing w:val="284"/>
  <w:displayHorizontalDrawingGridEvery w:val="2"/>
  <w:displayVerticalDrawingGridEvery w:val="2"/>
  <w:doNotUseMarginsForDrawingGridOrigin/>
  <w:drawingGridHorizontalOrigin w:val="0"/>
  <w:drawingGridVerticalOrigin w:val="0"/>
  <w:noPunctuationKerning/>
  <w:characterSpacingControl w:val="doNotCompress"/>
  <w:hdrShapeDefaults>
    <o:shapedefaults v:ext="edit" spidmax="4097">
      <o:colormru v:ext="edit" colors="#428299"/>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842C3"/>
    <w:rsid w:val="0000410C"/>
    <w:rsid w:val="0000539D"/>
    <w:rsid w:val="00006C00"/>
    <w:rsid w:val="00010E20"/>
    <w:rsid w:val="000122EE"/>
    <w:rsid w:val="0001550E"/>
    <w:rsid w:val="00022BEE"/>
    <w:rsid w:val="00023A88"/>
    <w:rsid w:val="00027744"/>
    <w:rsid w:val="00032EB4"/>
    <w:rsid w:val="00044E8C"/>
    <w:rsid w:val="00046844"/>
    <w:rsid w:val="000501FB"/>
    <w:rsid w:val="00054D18"/>
    <w:rsid w:val="00062F64"/>
    <w:rsid w:val="00072419"/>
    <w:rsid w:val="00075DBA"/>
    <w:rsid w:val="00081D89"/>
    <w:rsid w:val="00084957"/>
    <w:rsid w:val="000849B1"/>
    <w:rsid w:val="0008564D"/>
    <w:rsid w:val="00085F68"/>
    <w:rsid w:val="000976BC"/>
    <w:rsid w:val="000A095B"/>
    <w:rsid w:val="000A4EDA"/>
    <w:rsid w:val="000A5663"/>
    <w:rsid w:val="000A7238"/>
    <w:rsid w:val="000B0325"/>
    <w:rsid w:val="000B4B39"/>
    <w:rsid w:val="000C114A"/>
    <w:rsid w:val="000E1264"/>
    <w:rsid w:val="000E1873"/>
    <w:rsid w:val="000E1C17"/>
    <w:rsid w:val="000E1FEA"/>
    <w:rsid w:val="000F1FB3"/>
    <w:rsid w:val="001065CE"/>
    <w:rsid w:val="00107DE0"/>
    <w:rsid w:val="001115D4"/>
    <w:rsid w:val="00121C03"/>
    <w:rsid w:val="00127368"/>
    <w:rsid w:val="001306BF"/>
    <w:rsid w:val="001323F1"/>
    <w:rsid w:val="001357B2"/>
    <w:rsid w:val="001408F1"/>
    <w:rsid w:val="00143AFB"/>
    <w:rsid w:val="00145454"/>
    <w:rsid w:val="001545A4"/>
    <w:rsid w:val="00155A15"/>
    <w:rsid w:val="00163CCC"/>
    <w:rsid w:val="00164BE3"/>
    <w:rsid w:val="001846D9"/>
    <w:rsid w:val="00191699"/>
    <w:rsid w:val="0019259A"/>
    <w:rsid w:val="00194EA0"/>
    <w:rsid w:val="00197CA1"/>
    <w:rsid w:val="001A22F2"/>
    <w:rsid w:val="001A468A"/>
    <w:rsid w:val="001A509D"/>
    <w:rsid w:val="001A5512"/>
    <w:rsid w:val="001B34D7"/>
    <w:rsid w:val="001C2C87"/>
    <w:rsid w:val="001C5BD5"/>
    <w:rsid w:val="001E4B30"/>
    <w:rsid w:val="00202A77"/>
    <w:rsid w:val="00216EAF"/>
    <w:rsid w:val="00225F01"/>
    <w:rsid w:val="00232468"/>
    <w:rsid w:val="00237690"/>
    <w:rsid w:val="0025307F"/>
    <w:rsid w:val="00262A67"/>
    <w:rsid w:val="002649B7"/>
    <w:rsid w:val="00267327"/>
    <w:rsid w:val="00271CE5"/>
    <w:rsid w:val="00271CF2"/>
    <w:rsid w:val="0027335F"/>
    <w:rsid w:val="00282020"/>
    <w:rsid w:val="00283D5F"/>
    <w:rsid w:val="002974AD"/>
    <w:rsid w:val="002A6C2E"/>
    <w:rsid w:val="002B13CD"/>
    <w:rsid w:val="002B471A"/>
    <w:rsid w:val="002B6ED6"/>
    <w:rsid w:val="002B7A82"/>
    <w:rsid w:val="002C1878"/>
    <w:rsid w:val="002C4C44"/>
    <w:rsid w:val="002C5038"/>
    <w:rsid w:val="002D1010"/>
    <w:rsid w:val="002E4BB9"/>
    <w:rsid w:val="002F3C80"/>
    <w:rsid w:val="002F73CD"/>
    <w:rsid w:val="003014E1"/>
    <w:rsid w:val="0030649F"/>
    <w:rsid w:val="00307F4E"/>
    <w:rsid w:val="00317429"/>
    <w:rsid w:val="00324352"/>
    <w:rsid w:val="003261BC"/>
    <w:rsid w:val="00334E92"/>
    <w:rsid w:val="0034120A"/>
    <w:rsid w:val="003432DB"/>
    <w:rsid w:val="00343B6B"/>
    <w:rsid w:val="00350D52"/>
    <w:rsid w:val="003633B8"/>
    <w:rsid w:val="003636BF"/>
    <w:rsid w:val="00370229"/>
    <w:rsid w:val="0037479F"/>
    <w:rsid w:val="00374EC7"/>
    <w:rsid w:val="00382D39"/>
    <w:rsid w:val="003845B4"/>
    <w:rsid w:val="00387B1A"/>
    <w:rsid w:val="00391E43"/>
    <w:rsid w:val="003A2B3B"/>
    <w:rsid w:val="003A5A76"/>
    <w:rsid w:val="003B2707"/>
    <w:rsid w:val="003B381F"/>
    <w:rsid w:val="003C1B05"/>
    <w:rsid w:val="003C54B9"/>
    <w:rsid w:val="003D52FE"/>
    <w:rsid w:val="003E0F5A"/>
    <w:rsid w:val="003E1C74"/>
    <w:rsid w:val="003E5C2D"/>
    <w:rsid w:val="003F159A"/>
    <w:rsid w:val="00406445"/>
    <w:rsid w:val="00407C7F"/>
    <w:rsid w:val="00411AC4"/>
    <w:rsid w:val="00412201"/>
    <w:rsid w:val="0041270D"/>
    <w:rsid w:val="00420279"/>
    <w:rsid w:val="00421EBA"/>
    <w:rsid w:val="00427ED6"/>
    <w:rsid w:val="00430B59"/>
    <w:rsid w:val="004365C1"/>
    <w:rsid w:val="00442DE2"/>
    <w:rsid w:val="00450DF5"/>
    <w:rsid w:val="00464243"/>
    <w:rsid w:val="0047088D"/>
    <w:rsid w:val="004769A6"/>
    <w:rsid w:val="00491A26"/>
    <w:rsid w:val="004A5DAA"/>
    <w:rsid w:val="004A70BA"/>
    <w:rsid w:val="004B19F4"/>
    <w:rsid w:val="004B2E4F"/>
    <w:rsid w:val="004C2455"/>
    <w:rsid w:val="004C7890"/>
    <w:rsid w:val="004D4309"/>
    <w:rsid w:val="004E00F6"/>
    <w:rsid w:val="004E0C80"/>
    <w:rsid w:val="004E4807"/>
    <w:rsid w:val="004E66F7"/>
    <w:rsid w:val="00511EC8"/>
    <w:rsid w:val="005228FF"/>
    <w:rsid w:val="00526246"/>
    <w:rsid w:val="00531721"/>
    <w:rsid w:val="005337E6"/>
    <w:rsid w:val="00536437"/>
    <w:rsid w:val="00545542"/>
    <w:rsid w:val="00557289"/>
    <w:rsid w:val="00563EE7"/>
    <w:rsid w:val="00567106"/>
    <w:rsid w:val="00573D73"/>
    <w:rsid w:val="0057482E"/>
    <w:rsid w:val="00577BF7"/>
    <w:rsid w:val="0058121B"/>
    <w:rsid w:val="00584DB3"/>
    <w:rsid w:val="005A07E9"/>
    <w:rsid w:val="005A41F6"/>
    <w:rsid w:val="005A4D93"/>
    <w:rsid w:val="005B42B6"/>
    <w:rsid w:val="005B5411"/>
    <w:rsid w:val="005B58A8"/>
    <w:rsid w:val="005C3289"/>
    <w:rsid w:val="005C5CB1"/>
    <w:rsid w:val="005E1D3C"/>
    <w:rsid w:val="005E3890"/>
    <w:rsid w:val="005F4B30"/>
    <w:rsid w:val="00607481"/>
    <w:rsid w:val="006117DE"/>
    <w:rsid w:val="00613CA0"/>
    <w:rsid w:val="00615811"/>
    <w:rsid w:val="00620226"/>
    <w:rsid w:val="00623E88"/>
    <w:rsid w:val="00625001"/>
    <w:rsid w:val="00631876"/>
    <w:rsid w:val="00632253"/>
    <w:rsid w:val="006331C1"/>
    <w:rsid w:val="006375CF"/>
    <w:rsid w:val="00642714"/>
    <w:rsid w:val="006455CE"/>
    <w:rsid w:val="00645AE7"/>
    <w:rsid w:val="00646A56"/>
    <w:rsid w:val="006470F1"/>
    <w:rsid w:val="00655FD5"/>
    <w:rsid w:val="00663EFF"/>
    <w:rsid w:val="0066727A"/>
    <w:rsid w:val="00670C45"/>
    <w:rsid w:val="0067273B"/>
    <w:rsid w:val="00677197"/>
    <w:rsid w:val="00681398"/>
    <w:rsid w:val="0068365C"/>
    <w:rsid w:val="006846CB"/>
    <w:rsid w:val="00692C71"/>
    <w:rsid w:val="00696BAE"/>
    <w:rsid w:val="006A1E67"/>
    <w:rsid w:val="006A401E"/>
    <w:rsid w:val="006A4CE0"/>
    <w:rsid w:val="006A4FC3"/>
    <w:rsid w:val="006C193E"/>
    <w:rsid w:val="006C1AB2"/>
    <w:rsid w:val="006C1BF5"/>
    <w:rsid w:val="006C78F6"/>
    <w:rsid w:val="006D42D9"/>
    <w:rsid w:val="006E06FB"/>
    <w:rsid w:val="006E15F3"/>
    <w:rsid w:val="006E2428"/>
    <w:rsid w:val="006F04AB"/>
    <w:rsid w:val="006F7D31"/>
    <w:rsid w:val="00705D22"/>
    <w:rsid w:val="00710681"/>
    <w:rsid w:val="00733017"/>
    <w:rsid w:val="00733B54"/>
    <w:rsid w:val="00742284"/>
    <w:rsid w:val="00743F94"/>
    <w:rsid w:val="0075562D"/>
    <w:rsid w:val="0075754E"/>
    <w:rsid w:val="0077619C"/>
    <w:rsid w:val="00783310"/>
    <w:rsid w:val="00785F72"/>
    <w:rsid w:val="00786EDB"/>
    <w:rsid w:val="0079793C"/>
    <w:rsid w:val="007A4A6D"/>
    <w:rsid w:val="007C1C4F"/>
    <w:rsid w:val="007C37DF"/>
    <w:rsid w:val="007D1BCF"/>
    <w:rsid w:val="007D75CF"/>
    <w:rsid w:val="007E5098"/>
    <w:rsid w:val="007E6DC5"/>
    <w:rsid w:val="007F4060"/>
    <w:rsid w:val="007F567C"/>
    <w:rsid w:val="00800DEE"/>
    <w:rsid w:val="00805AA7"/>
    <w:rsid w:val="008067FB"/>
    <w:rsid w:val="008117DA"/>
    <w:rsid w:val="008161AC"/>
    <w:rsid w:val="008220CE"/>
    <w:rsid w:val="00836B2C"/>
    <w:rsid w:val="00846702"/>
    <w:rsid w:val="00850FD9"/>
    <w:rsid w:val="00851CB9"/>
    <w:rsid w:val="00854527"/>
    <w:rsid w:val="0085697D"/>
    <w:rsid w:val="008616B0"/>
    <w:rsid w:val="00877D79"/>
    <w:rsid w:val="0088043C"/>
    <w:rsid w:val="008906C9"/>
    <w:rsid w:val="008923F7"/>
    <w:rsid w:val="008A5A87"/>
    <w:rsid w:val="008A7ECA"/>
    <w:rsid w:val="008B2AED"/>
    <w:rsid w:val="008B3FE1"/>
    <w:rsid w:val="008C0365"/>
    <w:rsid w:val="008C1C29"/>
    <w:rsid w:val="008C5738"/>
    <w:rsid w:val="008D04F0"/>
    <w:rsid w:val="008D1666"/>
    <w:rsid w:val="008E4256"/>
    <w:rsid w:val="008F1089"/>
    <w:rsid w:val="008F24C3"/>
    <w:rsid w:val="008F2957"/>
    <w:rsid w:val="008F3500"/>
    <w:rsid w:val="008F6C71"/>
    <w:rsid w:val="009025DB"/>
    <w:rsid w:val="00920EF5"/>
    <w:rsid w:val="00924E3C"/>
    <w:rsid w:val="0092665E"/>
    <w:rsid w:val="0094211E"/>
    <w:rsid w:val="00942FC5"/>
    <w:rsid w:val="00944E3D"/>
    <w:rsid w:val="00952151"/>
    <w:rsid w:val="009612BB"/>
    <w:rsid w:val="009628A8"/>
    <w:rsid w:val="00977C28"/>
    <w:rsid w:val="0098377C"/>
    <w:rsid w:val="00987D03"/>
    <w:rsid w:val="00993FB7"/>
    <w:rsid w:val="00994953"/>
    <w:rsid w:val="009A0B55"/>
    <w:rsid w:val="009A3CE1"/>
    <w:rsid w:val="009A5D27"/>
    <w:rsid w:val="009A5F33"/>
    <w:rsid w:val="009B706D"/>
    <w:rsid w:val="009C68D9"/>
    <w:rsid w:val="009E26C2"/>
    <w:rsid w:val="009E3CBA"/>
    <w:rsid w:val="009E56E1"/>
    <w:rsid w:val="009E6932"/>
    <w:rsid w:val="00A0214A"/>
    <w:rsid w:val="00A11C91"/>
    <w:rsid w:val="00A125C5"/>
    <w:rsid w:val="00A2213A"/>
    <w:rsid w:val="00A3208F"/>
    <w:rsid w:val="00A32DFC"/>
    <w:rsid w:val="00A32EA7"/>
    <w:rsid w:val="00A5039D"/>
    <w:rsid w:val="00A51864"/>
    <w:rsid w:val="00A5489D"/>
    <w:rsid w:val="00A56553"/>
    <w:rsid w:val="00A65EE7"/>
    <w:rsid w:val="00A70133"/>
    <w:rsid w:val="00A71F91"/>
    <w:rsid w:val="00A74360"/>
    <w:rsid w:val="00A74527"/>
    <w:rsid w:val="00A74D69"/>
    <w:rsid w:val="00A8411F"/>
    <w:rsid w:val="00A842C3"/>
    <w:rsid w:val="00A84A02"/>
    <w:rsid w:val="00A873AA"/>
    <w:rsid w:val="00A92CF3"/>
    <w:rsid w:val="00A96422"/>
    <w:rsid w:val="00AA0294"/>
    <w:rsid w:val="00AA39E0"/>
    <w:rsid w:val="00AB2BA5"/>
    <w:rsid w:val="00AB441D"/>
    <w:rsid w:val="00AC1A56"/>
    <w:rsid w:val="00AC2465"/>
    <w:rsid w:val="00AC60D4"/>
    <w:rsid w:val="00AC69B8"/>
    <w:rsid w:val="00AD0951"/>
    <w:rsid w:val="00AD11C6"/>
    <w:rsid w:val="00AD2D8C"/>
    <w:rsid w:val="00AE4035"/>
    <w:rsid w:val="00AE564F"/>
    <w:rsid w:val="00AE5F43"/>
    <w:rsid w:val="00AE76AB"/>
    <w:rsid w:val="00AF4321"/>
    <w:rsid w:val="00AF5D29"/>
    <w:rsid w:val="00B05C4D"/>
    <w:rsid w:val="00B17141"/>
    <w:rsid w:val="00B31575"/>
    <w:rsid w:val="00B31BA6"/>
    <w:rsid w:val="00B63335"/>
    <w:rsid w:val="00B65FCD"/>
    <w:rsid w:val="00B66CA1"/>
    <w:rsid w:val="00B72DAA"/>
    <w:rsid w:val="00B84777"/>
    <w:rsid w:val="00B8547D"/>
    <w:rsid w:val="00B95595"/>
    <w:rsid w:val="00BA11EF"/>
    <w:rsid w:val="00BA40A0"/>
    <w:rsid w:val="00BC39A8"/>
    <w:rsid w:val="00BC3E69"/>
    <w:rsid w:val="00BC4E24"/>
    <w:rsid w:val="00BC56D7"/>
    <w:rsid w:val="00BC5EA9"/>
    <w:rsid w:val="00BC6491"/>
    <w:rsid w:val="00BD6150"/>
    <w:rsid w:val="00BD6993"/>
    <w:rsid w:val="00BE1EE0"/>
    <w:rsid w:val="00BE4FF5"/>
    <w:rsid w:val="00BE5DC6"/>
    <w:rsid w:val="00BF514C"/>
    <w:rsid w:val="00BF7467"/>
    <w:rsid w:val="00C00FDC"/>
    <w:rsid w:val="00C221E8"/>
    <w:rsid w:val="00C250D5"/>
    <w:rsid w:val="00C3126B"/>
    <w:rsid w:val="00C32106"/>
    <w:rsid w:val="00C56C38"/>
    <w:rsid w:val="00C603E1"/>
    <w:rsid w:val="00C63643"/>
    <w:rsid w:val="00C6467A"/>
    <w:rsid w:val="00C84BBE"/>
    <w:rsid w:val="00C90D7B"/>
    <w:rsid w:val="00C92898"/>
    <w:rsid w:val="00C948B7"/>
    <w:rsid w:val="00CA4188"/>
    <w:rsid w:val="00CA55AD"/>
    <w:rsid w:val="00CA6900"/>
    <w:rsid w:val="00CB5442"/>
    <w:rsid w:val="00CC6664"/>
    <w:rsid w:val="00CD0AE6"/>
    <w:rsid w:val="00CD4513"/>
    <w:rsid w:val="00CD490E"/>
    <w:rsid w:val="00CE7514"/>
    <w:rsid w:val="00CE7DE4"/>
    <w:rsid w:val="00CF356C"/>
    <w:rsid w:val="00CF5505"/>
    <w:rsid w:val="00D01174"/>
    <w:rsid w:val="00D05A96"/>
    <w:rsid w:val="00D14E2D"/>
    <w:rsid w:val="00D1732A"/>
    <w:rsid w:val="00D22E1C"/>
    <w:rsid w:val="00D244AD"/>
    <w:rsid w:val="00D248DE"/>
    <w:rsid w:val="00D26302"/>
    <w:rsid w:val="00D30263"/>
    <w:rsid w:val="00D511AB"/>
    <w:rsid w:val="00D552D3"/>
    <w:rsid w:val="00D61F47"/>
    <w:rsid w:val="00D71719"/>
    <w:rsid w:val="00D71EEC"/>
    <w:rsid w:val="00D75597"/>
    <w:rsid w:val="00D75936"/>
    <w:rsid w:val="00D77C21"/>
    <w:rsid w:val="00D8542D"/>
    <w:rsid w:val="00D85F39"/>
    <w:rsid w:val="00D870FC"/>
    <w:rsid w:val="00DB0AB7"/>
    <w:rsid w:val="00DB4553"/>
    <w:rsid w:val="00DC054F"/>
    <w:rsid w:val="00DC6678"/>
    <w:rsid w:val="00DC6A71"/>
    <w:rsid w:val="00DC6D2A"/>
    <w:rsid w:val="00DD484D"/>
    <w:rsid w:val="00DE28E6"/>
    <w:rsid w:val="00DE3B10"/>
    <w:rsid w:val="00DE4553"/>
    <w:rsid w:val="00DE5B46"/>
    <w:rsid w:val="00DE6DA9"/>
    <w:rsid w:val="00DF306C"/>
    <w:rsid w:val="00DF4CD9"/>
    <w:rsid w:val="00E02B74"/>
    <w:rsid w:val="00E0357D"/>
    <w:rsid w:val="00E07C65"/>
    <w:rsid w:val="00E13B53"/>
    <w:rsid w:val="00E24EC2"/>
    <w:rsid w:val="00E37B70"/>
    <w:rsid w:val="00E40322"/>
    <w:rsid w:val="00E405B2"/>
    <w:rsid w:val="00E41458"/>
    <w:rsid w:val="00E42F42"/>
    <w:rsid w:val="00E45B17"/>
    <w:rsid w:val="00E56941"/>
    <w:rsid w:val="00E71CC6"/>
    <w:rsid w:val="00E92484"/>
    <w:rsid w:val="00E94DAD"/>
    <w:rsid w:val="00E96041"/>
    <w:rsid w:val="00EA4ABC"/>
    <w:rsid w:val="00EB05B2"/>
    <w:rsid w:val="00EB2121"/>
    <w:rsid w:val="00EB48E5"/>
    <w:rsid w:val="00EC30FA"/>
    <w:rsid w:val="00ED0D9D"/>
    <w:rsid w:val="00ED1807"/>
    <w:rsid w:val="00ED5008"/>
    <w:rsid w:val="00ED7C74"/>
    <w:rsid w:val="00EE0325"/>
    <w:rsid w:val="00EF2E77"/>
    <w:rsid w:val="00EF5127"/>
    <w:rsid w:val="00F03820"/>
    <w:rsid w:val="00F04D80"/>
    <w:rsid w:val="00F10743"/>
    <w:rsid w:val="00F23209"/>
    <w:rsid w:val="00F240BB"/>
    <w:rsid w:val="00F25603"/>
    <w:rsid w:val="00F26BDB"/>
    <w:rsid w:val="00F27499"/>
    <w:rsid w:val="00F46724"/>
    <w:rsid w:val="00F57FED"/>
    <w:rsid w:val="00F64A8F"/>
    <w:rsid w:val="00F728E5"/>
    <w:rsid w:val="00FA5EE0"/>
    <w:rsid w:val="00FB5F63"/>
    <w:rsid w:val="00FB62A7"/>
    <w:rsid w:val="00FC5C23"/>
    <w:rsid w:val="00FE5AD7"/>
    <w:rsid w:val="00FE6163"/>
    <w:rsid w:val="00FF2BD0"/>
    <w:rsid w:val="00FF4C0C"/>
    <w:rsid w:val="00FF68BC"/>
    <w:rsid w:val="00FF782C"/>
    <w:rsid w:val="00FF7D58"/>
    <w:rsid w:val="00FF7ECB"/>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colormru v:ext="edit" colors="#428299"/>
    </o:shapedefaults>
    <o:shapelayout v:ext="edit">
      <o:idmap v:ext="edit" data="1"/>
    </o:shapelayout>
  </w:shapeDefaults>
  <w:doNotEmbedSmartTags/>
  <w:decimalSymbol w:val=","/>
  <w:listSeparator w:val=";"/>
  <w15:docId w15:val="{6A05C7E1-0C9E-418B-A6F4-BEB0352139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sl-SI" w:eastAsia="sl-SI"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iPriority="99"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iPriority="99" w:unhideWhenUsed="1"/>
    <w:lsdException w:name="List Number" w:uiPriority="99"/>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99"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iPriority="99"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iPriority="99"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iPriority="99" w:unhideWhenUsed="1"/>
    <w:lsdException w:name="Table Simple 3" w:semiHidden="1" w:unhideWhenUsed="1"/>
    <w:lsdException w:name="Table Classic 1" w:semiHidden="1" w:unhideWhenUsed="1"/>
    <w:lsdException w:name="Table Classic 2" w:semiHidden="1" w:unhideWhenUsed="1"/>
    <w:lsdException w:name="Table Classic 3" w:semiHidden="1" w:uiPriority="99"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DC6A71"/>
    <w:pPr>
      <w:spacing w:line="260" w:lineRule="atLeast"/>
    </w:pPr>
    <w:rPr>
      <w:rFonts w:ascii="Arial" w:hAnsi="Arial"/>
      <w:szCs w:val="24"/>
      <w:lang w:val="en-US" w:eastAsia="en-US"/>
    </w:rPr>
  </w:style>
  <w:style w:type="paragraph" w:styleId="Naslov1">
    <w:name w:val="heading 1"/>
    <w:aliases w:val="NASLOV,Naslov 1 nuv,Znak,PVO-1"/>
    <w:basedOn w:val="Navaden"/>
    <w:next w:val="Navaden"/>
    <w:link w:val="Naslov1Znak"/>
    <w:autoRedefine/>
    <w:qFormat/>
    <w:rsid w:val="002B6ED6"/>
    <w:pPr>
      <w:keepNext/>
      <w:spacing w:after="360" w:line="240" w:lineRule="atLeast"/>
      <w:jc w:val="both"/>
      <w:outlineLvl w:val="0"/>
    </w:pPr>
    <w:rPr>
      <w:b/>
      <w:kern w:val="32"/>
      <w:sz w:val="22"/>
      <w:szCs w:val="22"/>
      <w:lang w:val="sl-SI" w:eastAsia="sl-SI"/>
    </w:rPr>
  </w:style>
  <w:style w:type="paragraph" w:styleId="Naslov2">
    <w:name w:val="heading 2"/>
    <w:aliases w:val="naslov nuv 2,PVO-2"/>
    <w:basedOn w:val="Navaden"/>
    <w:next w:val="Navaden"/>
    <w:link w:val="Naslov2Znak"/>
    <w:unhideWhenUsed/>
    <w:qFormat/>
    <w:rsid w:val="00993FB7"/>
    <w:pPr>
      <w:keepNext/>
      <w:keepLines/>
      <w:spacing w:before="200" w:line="276" w:lineRule="auto"/>
      <w:outlineLvl w:val="1"/>
    </w:pPr>
    <w:rPr>
      <w:rFonts w:ascii="Cambria" w:hAnsi="Cambria"/>
      <w:b/>
      <w:bCs/>
      <w:color w:val="4F81BD"/>
      <w:sz w:val="26"/>
      <w:szCs w:val="26"/>
      <w:lang w:eastAsia="sl-SI"/>
    </w:rPr>
  </w:style>
  <w:style w:type="paragraph" w:styleId="Naslov3">
    <w:name w:val="heading 3"/>
    <w:aliases w:val="3 nuv,Pvo-3"/>
    <w:basedOn w:val="Navaden"/>
    <w:next w:val="Navaden"/>
    <w:link w:val="Naslov3Znak"/>
    <w:unhideWhenUsed/>
    <w:qFormat/>
    <w:rsid w:val="00993FB7"/>
    <w:pPr>
      <w:keepNext/>
      <w:keepLines/>
      <w:spacing w:before="200" w:line="276" w:lineRule="auto"/>
      <w:outlineLvl w:val="2"/>
    </w:pPr>
    <w:rPr>
      <w:rFonts w:ascii="Calibri" w:eastAsia="Calibri" w:hAnsi="Calibri"/>
      <w:b/>
      <w:color w:val="1F497D"/>
      <w:szCs w:val="20"/>
      <w:lang w:val="en-GB" w:eastAsia="sl-SI"/>
    </w:rPr>
  </w:style>
  <w:style w:type="paragraph" w:styleId="Naslov4">
    <w:name w:val="heading 4"/>
    <w:aliases w:val="nuv 2, Znak,Znak3"/>
    <w:basedOn w:val="Naslov5"/>
    <w:next w:val="Navaden"/>
    <w:link w:val="Naslov4Znak"/>
    <w:qFormat/>
    <w:rsid w:val="00993FB7"/>
    <w:pPr>
      <w:outlineLvl w:val="3"/>
    </w:pPr>
    <w:rPr>
      <w:rFonts w:ascii="Verdana" w:hAnsi="Verdana"/>
      <w:b w:val="0"/>
      <w:bCs w:val="0"/>
      <w:szCs w:val="28"/>
    </w:rPr>
  </w:style>
  <w:style w:type="paragraph" w:styleId="Naslov5">
    <w:name w:val="heading 5"/>
    <w:aliases w:val="5 nuv"/>
    <w:basedOn w:val="Navaden"/>
    <w:next w:val="Navaden"/>
    <w:link w:val="Naslov5Znak"/>
    <w:qFormat/>
    <w:rsid w:val="00993FB7"/>
    <w:pPr>
      <w:keepNext/>
      <w:spacing w:before="240" w:after="240" w:line="240" w:lineRule="auto"/>
      <w:ind w:left="680" w:hanging="680"/>
      <w:jc w:val="both"/>
      <w:outlineLvl w:val="4"/>
    </w:pPr>
    <w:rPr>
      <w:rFonts w:ascii="Times New Roman" w:hAnsi="Times New Roman" w:cs="Arial"/>
      <w:b/>
      <w:bCs/>
      <w:iCs/>
      <w:sz w:val="24"/>
      <w:szCs w:val="26"/>
      <w:lang w:val="sl-SI"/>
    </w:rPr>
  </w:style>
  <w:style w:type="paragraph" w:styleId="Naslov6">
    <w:name w:val="heading 6"/>
    <w:basedOn w:val="Navaden"/>
    <w:next w:val="Navaden"/>
    <w:link w:val="Naslov6Znak"/>
    <w:unhideWhenUsed/>
    <w:qFormat/>
    <w:rsid w:val="00993FB7"/>
    <w:pPr>
      <w:keepNext/>
      <w:keepLines/>
      <w:spacing w:before="200" w:line="240" w:lineRule="auto"/>
      <w:ind w:left="1152" w:hanging="1152"/>
      <w:outlineLvl w:val="5"/>
    </w:pPr>
    <w:rPr>
      <w:rFonts w:ascii="Cambria" w:hAnsi="Cambria"/>
      <w:i/>
      <w:iCs/>
      <w:color w:val="243F60"/>
      <w:sz w:val="22"/>
      <w:szCs w:val="22"/>
      <w:lang w:val="sl-SI" w:eastAsia="ja-JP"/>
    </w:rPr>
  </w:style>
  <w:style w:type="paragraph" w:styleId="Naslov7">
    <w:name w:val="heading 7"/>
    <w:basedOn w:val="Navaden"/>
    <w:next w:val="Navaden"/>
    <w:link w:val="Naslov7Znak"/>
    <w:unhideWhenUsed/>
    <w:qFormat/>
    <w:rsid w:val="00993FB7"/>
    <w:pPr>
      <w:keepNext/>
      <w:keepLines/>
      <w:spacing w:before="200" w:line="240" w:lineRule="auto"/>
      <w:ind w:left="1296" w:hanging="1296"/>
      <w:outlineLvl w:val="6"/>
    </w:pPr>
    <w:rPr>
      <w:rFonts w:ascii="Cambria" w:hAnsi="Cambria"/>
      <w:i/>
      <w:iCs/>
      <w:color w:val="404040"/>
      <w:sz w:val="22"/>
      <w:szCs w:val="22"/>
      <w:lang w:val="sl-SI" w:eastAsia="ja-JP"/>
    </w:rPr>
  </w:style>
  <w:style w:type="paragraph" w:styleId="Naslov8">
    <w:name w:val="heading 8"/>
    <w:basedOn w:val="Navaden"/>
    <w:next w:val="Navaden"/>
    <w:link w:val="Naslov8Znak"/>
    <w:unhideWhenUsed/>
    <w:qFormat/>
    <w:rsid w:val="00993FB7"/>
    <w:pPr>
      <w:keepNext/>
      <w:keepLines/>
      <w:spacing w:before="200" w:line="240" w:lineRule="auto"/>
      <w:ind w:left="1440" w:hanging="1440"/>
      <w:outlineLvl w:val="7"/>
    </w:pPr>
    <w:rPr>
      <w:rFonts w:ascii="Cambria" w:hAnsi="Cambria"/>
      <w:color w:val="4F81BD"/>
      <w:szCs w:val="20"/>
      <w:lang w:val="sl-SI" w:eastAsia="ja-JP"/>
    </w:rPr>
  </w:style>
  <w:style w:type="paragraph" w:styleId="Naslov9">
    <w:name w:val="heading 9"/>
    <w:basedOn w:val="Navaden"/>
    <w:next w:val="Navaden"/>
    <w:link w:val="Naslov9Znak"/>
    <w:unhideWhenUsed/>
    <w:qFormat/>
    <w:rsid w:val="00993FB7"/>
    <w:pPr>
      <w:keepNext/>
      <w:keepLines/>
      <w:spacing w:before="200" w:line="240" w:lineRule="auto"/>
      <w:ind w:left="1584" w:hanging="1584"/>
      <w:outlineLvl w:val="8"/>
    </w:pPr>
    <w:rPr>
      <w:rFonts w:ascii="Cambria" w:hAnsi="Cambria"/>
      <w:i/>
      <w:iCs/>
      <w:color w:val="404040"/>
      <w:szCs w:val="20"/>
      <w:lang w:val="sl-SI" w:eastAsia="ja-JP"/>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Glava">
    <w:name w:val="header"/>
    <w:aliases w:val="Header-PR"/>
    <w:basedOn w:val="Navaden"/>
    <w:link w:val="GlavaZnak"/>
    <w:uiPriority w:val="99"/>
    <w:rsid w:val="00AD2B87"/>
    <w:pPr>
      <w:tabs>
        <w:tab w:val="center" w:pos="4320"/>
        <w:tab w:val="right" w:pos="8640"/>
      </w:tabs>
    </w:pPr>
  </w:style>
  <w:style w:type="paragraph" w:styleId="Noga">
    <w:name w:val="footer"/>
    <w:aliases w:val="Footer1"/>
    <w:basedOn w:val="Navaden"/>
    <w:link w:val="NogaZnak"/>
    <w:uiPriority w:val="99"/>
    <w:rsid w:val="00AD2B87"/>
    <w:pPr>
      <w:tabs>
        <w:tab w:val="center" w:pos="4320"/>
        <w:tab w:val="right" w:pos="8640"/>
      </w:tabs>
    </w:pPr>
  </w:style>
  <w:style w:type="paragraph" w:styleId="Zgradbadokumenta">
    <w:name w:val="Document Map"/>
    <w:basedOn w:val="Navaden"/>
    <w:link w:val="ZgradbadokumentaZnak"/>
    <w:rsid w:val="00B31575"/>
    <w:rPr>
      <w:rFonts w:ascii="Tahoma" w:hAnsi="Tahoma"/>
      <w:sz w:val="16"/>
      <w:szCs w:val="16"/>
    </w:rPr>
  </w:style>
  <w:style w:type="character" w:customStyle="1" w:styleId="ZgradbadokumentaZnak">
    <w:name w:val="Zgradba dokumenta Znak"/>
    <w:link w:val="Zgradbadokumenta"/>
    <w:rsid w:val="00B31575"/>
    <w:rPr>
      <w:rFonts w:ascii="Tahoma" w:hAnsi="Tahoma" w:cs="Tahoma"/>
      <w:sz w:val="16"/>
      <w:szCs w:val="16"/>
      <w:lang w:val="en-US" w:eastAsia="en-US"/>
    </w:rPr>
  </w:style>
  <w:style w:type="table" w:styleId="Tabelamrea">
    <w:name w:val="Table Grid"/>
    <w:basedOn w:val="Navadnatabela"/>
    <w:uiPriority w:val="59"/>
    <w:rsid w:val="0073301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atumtevilka">
    <w:name w:val="datum številka"/>
    <w:basedOn w:val="Navaden"/>
    <w:qFormat/>
    <w:rsid w:val="00DC6A71"/>
    <w:pPr>
      <w:tabs>
        <w:tab w:val="left" w:pos="1701"/>
      </w:tabs>
    </w:pPr>
    <w:rPr>
      <w:szCs w:val="20"/>
      <w:lang w:val="sl-SI" w:eastAsia="sl-SI"/>
    </w:rPr>
  </w:style>
  <w:style w:type="paragraph" w:customStyle="1" w:styleId="ZADEVA">
    <w:name w:val="ZADEVA"/>
    <w:basedOn w:val="Navaden"/>
    <w:qFormat/>
    <w:rsid w:val="00DC6A71"/>
    <w:pPr>
      <w:tabs>
        <w:tab w:val="left" w:pos="1701"/>
      </w:tabs>
      <w:ind w:left="1701" w:hanging="1701"/>
    </w:pPr>
    <w:rPr>
      <w:b/>
      <w:lang w:val="it-IT"/>
    </w:rPr>
  </w:style>
  <w:style w:type="character" w:styleId="Hiperpovezava">
    <w:name w:val="Hyperlink"/>
    <w:uiPriority w:val="99"/>
    <w:rsid w:val="00783310"/>
    <w:rPr>
      <w:color w:val="0000FF"/>
      <w:u w:val="single"/>
    </w:rPr>
  </w:style>
  <w:style w:type="paragraph" w:customStyle="1" w:styleId="podpisi">
    <w:name w:val="podpisi"/>
    <w:basedOn w:val="Navaden"/>
    <w:qFormat/>
    <w:rsid w:val="003E1C74"/>
    <w:pPr>
      <w:tabs>
        <w:tab w:val="left" w:pos="3402"/>
      </w:tabs>
    </w:pPr>
    <w:rPr>
      <w:lang w:val="it-IT"/>
    </w:rPr>
  </w:style>
  <w:style w:type="paragraph" w:styleId="Besedilooblaka">
    <w:name w:val="Balloon Text"/>
    <w:basedOn w:val="Navaden"/>
    <w:link w:val="BesedilooblakaZnak"/>
    <w:uiPriority w:val="99"/>
    <w:rsid w:val="001846D9"/>
    <w:pPr>
      <w:spacing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rsid w:val="001846D9"/>
    <w:rPr>
      <w:rFonts w:ascii="Tahoma" w:hAnsi="Tahoma" w:cs="Tahoma"/>
      <w:sz w:val="16"/>
      <w:szCs w:val="16"/>
      <w:lang w:val="en-US" w:eastAsia="en-US"/>
    </w:rPr>
  </w:style>
  <w:style w:type="paragraph" w:styleId="Brezrazmikov">
    <w:name w:val="No Spacing"/>
    <w:uiPriority w:val="1"/>
    <w:qFormat/>
    <w:rsid w:val="000C114A"/>
    <w:rPr>
      <w:rFonts w:asciiTheme="minorHAnsi" w:eastAsiaTheme="minorHAnsi" w:hAnsiTheme="minorHAnsi" w:cstheme="minorBidi"/>
      <w:sz w:val="22"/>
      <w:szCs w:val="22"/>
      <w:lang w:eastAsia="en-US"/>
    </w:rPr>
  </w:style>
  <w:style w:type="paragraph" w:styleId="Odstavekseznama">
    <w:name w:val="List Paragraph"/>
    <w:basedOn w:val="Navaden"/>
    <w:link w:val="OdstavekseznamaZnak"/>
    <w:uiPriority w:val="34"/>
    <w:qFormat/>
    <w:rsid w:val="00216EAF"/>
    <w:pPr>
      <w:ind w:left="720"/>
      <w:contextualSpacing/>
    </w:pPr>
  </w:style>
  <w:style w:type="character" w:styleId="SledenaHiperpovezava">
    <w:name w:val="FollowedHyperlink"/>
    <w:basedOn w:val="Privzetapisavaodstavka"/>
    <w:rsid w:val="002B471A"/>
    <w:rPr>
      <w:color w:val="919191" w:themeColor="followedHyperlink"/>
      <w:u w:val="single"/>
    </w:rPr>
  </w:style>
  <w:style w:type="character" w:customStyle="1" w:styleId="Naslov2Znak">
    <w:name w:val="Naslov 2 Znak"/>
    <w:aliases w:val="naslov nuv 2 Znak,PVO-2 Znak"/>
    <w:basedOn w:val="Privzetapisavaodstavka"/>
    <w:link w:val="Naslov2"/>
    <w:rsid w:val="00993FB7"/>
    <w:rPr>
      <w:rFonts w:ascii="Cambria" w:hAnsi="Cambria"/>
      <w:b/>
      <w:bCs/>
      <w:color w:val="4F81BD"/>
      <w:sz w:val="26"/>
      <w:szCs w:val="26"/>
      <w:lang w:val="en-US"/>
    </w:rPr>
  </w:style>
  <w:style w:type="character" w:customStyle="1" w:styleId="Naslov3Znak">
    <w:name w:val="Naslov 3 Znak"/>
    <w:aliases w:val="3 nuv Znak,Pvo-3 Znak"/>
    <w:basedOn w:val="Privzetapisavaodstavka"/>
    <w:link w:val="Naslov3"/>
    <w:rsid w:val="00993FB7"/>
    <w:rPr>
      <w:rFonts w:ascii="Calibri" w:eastAsia="Calibri" w:hAnsi="Calibri"/>
      <w:b/>
      <w:color w:val="1F497D"/>
      <w:lang w:val="en-GB"/>
    </w:rPr>
  </w:style>
  <w:style w:type="character" w:customStyle="1" w:styleId="Naslov4Znak">
    <w:name w:val="Naslov 4 Znak"/>
    <w:aliases w:val="nuv 2 Znak, Znak Znak,Znak3 Znak"/>
    <w:basedOn w:val="Privzetapisavaodstavka"/>
    <w:link w:val="Naslov4"/>
    <w:rsid w:val="00993FB7"/>
    <w:rPr>
      <w:rFonts w:ascii="Verdana" w:hAnsi="Verdana" w:cs="Arial"/>
      <w:iCs/>
      <w:sz w:val="24"/>
      <w:szCs w:val="28"/>
      <w:lang w:eastAsia="en-US"/>
    </w:rPr>
  </w:style>
  <w:style w:type="character" w:customStyle="1" w:styleId="Naslov5Znak">
    <w:name w:val="Naslov 5 Znak"/>
    <w:aliases w:val="5 nuv Znak"/>
    <w:basedOn w:val="Privzetapisavaodstavka"/>
    <w:link w:val="Naslov5"/>
    <w:rsid w:val="00993FB7"/>
    <w:rPr>
      <w:rFonts w:cs="Arial"/>
      <w:b/>
      <w:bCs/>
      <w:iCs/>
      <w:sz w:val="24"/>
      <w:szCs w:val="26"/>
      <w:lang w:eastAsia="en-US"/>
    </w:rPr>
  </w:style>
  <w:style w:type="character" w:customStyle="1" w:styleId="Naslov6Znak">
    <w:name w:val="Naslov 6 Znak"/>
    <w:basedOn w:val="Privzetapisavaodstavka"/>
    <w:link w:val="Naslov6"/>
    <w:rsid w:val="00993FB7"/>
    <w:rPr>
      <w:rFonts w:ascii="Cambria" w:hAnsi="Cambria"/>
      <w:i/>
      <w:iCs/>
      <w:color w:val="243F60"/>
      <w:sz w:val="22"/>
      <w:szCs w:val="22"/>
      <w:lang w:eastAsia="ja-JP"/>
    </w:rPr>
  </w:style>
  <w:style w:type="character" w:customStyle="1" w:styleId="Naslov7Znak">
    <w:name w:val="Naslov 7 Znak"/>
    <w:basedOn w:val="Privzetapisavaodstavka"/>
    <w:link w:val="Naslov7"/>
    <w:rsid w:val="00993FB7"/>
    <w:rPr>
      <w:rFonts w:ascii="Cambria" w:hAnsi="Cambria"/>
      <w:i/>
      <w:iCs/>
      <w:color w:val="404040"/>
      <w:sz w:val="22"/>
      <w:szCs w:val="22"/>
      <w:lang w:eastAsia="ja-JP"/>
    </w:rPr>
  </w:style>
  <w:style w:type="character" w:customStyle="1" w:styleId="Naslov8Znak">
    <w:name w:val="Naslov 8 Znak"/>
    <w:basedOn w:val="Privzetapisavaodstavka"/>
    <w:link w:val="Naslov8"/>
    <w:rsid w:val="00993FB7"/>
    <w:rPr>
      <w:rFonts w:ascii="Cambria" w:hAnsi="Cambria"/>
      <w:color w:val="4F81BD"/>
      <w:lang w:eastAsia="ja-JP"/>
    </w:rPr>
  </w:style>
  <w:style w:type="character" w:customStyle="1" w:styleId="Naslov9Znak">
    <w:name w:val="Naslov 9 Znak"/>
    <w:basedOn w:val="Privzetapisavaodstavka"/>
    <w:link w:val="Naslov9"/>
    <w:rsid w:val="00993FB7"/>
    <w:rPr>
      <w:rFonts w:ascii="Cambria" w:hAnsi="Cambria"/>
      <w:i/>
      <w:iCs/>
      <w:color w:val="404040"/>
      <w:lang w:eastAsia="ja-JP"/>
    </w:rPr>
  </w:style>
  <w:style w:type="numbering" w:customStyle="1" w:styleId="Brezseznama1">
    <w:name w:val="Brez seznama1"/>
    <w:next w:val="Brezseznama"/>
    <w:uiPriority w:val="99"/>
    <w:semiHidden/>
    <w:unhideWhenUsed/>
    <w:rsid w:val="00993FB7"/>
  </w:style>
  <w:style w:type="character" w:customStyle="1" w:styleId="Naslov1Znak">
    <w:name w:val="Naslov 1 Znak"/>
    <w:aliases w:val="NASLOV Znak,Naslov 1 nuv Znak,Znak Znak,PVO-1 Znak"/>
    <w:basedOn w:val="Privzetapisavaodstavka"/>
    <w:link w:val="Naslov1"/>
    <w:rsid w:val="002B6ED6"/>
    <w:rPr>
      <w:rFonts w:ascii="Arial" w:hAnsi="Arial"/>
      <w:b/>
      <w:kern w:val="32"/>
      <w:sz w:val="22"/>
      <w:szCs w:val="22"/>
    </w:rPr>
  </w:style>
  <w:style w:type="table" w:customStyle="1" w:styleId="Tabelamrea1">
    <w:name w:val="Tabela – mreža1"/>
    <w:basedOn w:val="Navadnatabela"/>
    <w:next w:val="Tabelamrea"/>
    <w:uiPriority w:val="59"/>
    <w:rsid w:val="00993FB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11">
    <w:name w:val="Tabela – mreža11"/>
    <w:basedOn w:val="Navadnatabela"/>
    <w:next w:val="Tabelamrea"/>
    <w:rsid w:val="00993FB7"/>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mrea2">
    <w:name w:val="Tabela – mreža2"/>
    <w:basedOn w:val="Navadnatabela"/>
    <w:next w:val="Tabelamrea"/>
    <w:uiPriority w:val="59"/>
    <w:rsid w:val="00993FB7"/>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GlavaZnak">
    <w:name w:val="Glava Znak"/>
    <w:aliases w:val="Header-PR Znak"/>
    <w:basedOn w:val="Privzetapisavaodstavka"/>
    <w:link w:val="Glava"/>
    <w:uiPriority w:val="99"/>
    <w:rsid w:val="00993FB7"/>
    <w:rPr>
      <w:rFonts w:ascii="Arial" w:hAnsi="Arial"/>
      <w:szCs w:val="24"/>
      <w:lang w:val="en-US" w:eastAsia="en-US"/>
    </w:rPr>
  </w:style>
  <w:style w:type="character" w:customStyle="1" w:styleId="NogaZnak">
    <w:name w:val="Noga Znak"/>
    <w:aliases w:val="Footer1 Znak"/>
    <w:basedOn w:val="Privzetapisavaodstavka"/>
    <w:link w:val="Noga"/>
    <w:uiPriority w:val="99"/>
    <w:rsid w:val="00993FB7"/>
    <w:rPr>
      <w:rFonts w:ascii="Arial" w:hAnsi="Arial"/>
      <w:szCs w:val="24"/>
      <w:lang w:val="en-US" w:eastAsia="en-US"/>
    </w:rPr>
  </w:style>
  <w:style w:type="numbering" w:customStyle="1" w:styleId="Brezseznama11">
    <w:name w:val="Brez seznama11"/>
    <w:next w:val="Brezseznama"/>
    <w:uiPriority w:val="99"/>
    <w:semiHidden/>
    <w:unhideWhenUsed/>
    <w:rsid w:val="00993FB7"/>
  </w:style>
  <w:style w:type="paragraph" w:styleId="Revizija">
    <w:name w:val="Revision"/>
    <w:hidden/>
    <w:uiPriority w:val="99"/>
    <w:semiHidden/>
    <w:rsid w:val="00993FB7"/>
    <w:rPr>
      <w:rFonts w:ascii="Calibri" w:eastAsia="Calibri" w:hAnsi="Calibri"/>
      <w:sz w:val="22"/>
      <w:szCs w:val="22"/>
      <w:lang w:eastAsia="en-US"/>
    </w:rPr>
  </w:style>
  <w:style w:type="paragraph" w:styleId="Sprotnaopomba-besedilo">
    <w:name w:val="footnote text"/>
    <w:aliases w:val="Footnote Text Char Char,Footnote Text Char Char Char Char,Footnote Text1 Char,Footnote Text1,Footnote Text Char Char Char,Footnote Text1 Char Char Char,Footnote Text1 Char Char Char Char Char Char Char Char,Char Char Char,Char5"/>
    <w:basedOn w:val="Navaden"/>
    <w:link w:val="Sprotnaopomba-besediloZnak"/>
    <w:uiPriority w:val="99"/>
    <w:unhideWhenUsed/>
    <w:qFormat/>
    <w:rsid w:val="00993FB7"/>
    <w:pPr>
      <w:spacing w:line="240" w:lineRule="auto"/>
    </w:pPr>
    <w:rPr>
      <w:rFonts w:ascii="Calibri" w:eastAsia="Calibri" w:hAnsi="Calibri"/>
      <w:szCs w:val="20"/>
      <w:lang w:val="sl-SI"/>
    </w:rPr>
  </w:style>
  <w:style w:type="character" w:customStyle="1" w:styleId="Sprotnaopomba-besediloZnak">
    <w:name w:val="Sprotna opomba - besedilo Znak"/>
    <w:aliases w:val="Footnote Text Char Char Znak,Footnote Text Char Char Char Char Znak,Footnote Text1 Char Znak,Footnote Text1 Znak,Footnote Text Char Char Char Znak,Footnote Text1 Char Char Char Znak,Char Char Char Znak,Char5 Znak"/>
    <w:basedOn w:val="Privzetapisavaodstavka"/>
    <w:link w:val="Sprotnaopomba-besedilo"/>
    <w:uiPriority w:val="99"/>
    <w:rsid w:val="00993FB7"/>
    <w:rPr>
      <w:rFonts w:ascii="Calibri" w:eastAsia="Calibri" w:hAnsi="Calibri"/>
      <w:lang w:eastAsia="en-US"/>
    </w:rPr>
  </w:style>
  <w:style w:type="character" w:styleId="Sprotnaopomba-sklic">
    <w:name w:val="footnote reference"/>
    <w:aliases w:val="number,Footnote,Footnote symbol,Char1 Char Char Char Char,Footnote Reference/,EN Footnote Reference,Times 10 Point,Exposant 3 Point,Footnote reference number,note TESI,stylish,SUPERS,no...,Footnote Reference Superscript,Nota,Char1"/>
    <w:basedOn w:val="Privzetapisavaodstavka"/>
    <w:link w:val="FootnotesymbolCarZchn"/>
    <w:unhideWhenUsed/>
    <w:qFormat/>
    <w:rsid w:val="00993FB7"/>
    <w:rPr>
      <w:vertAlign w:val="superscript"/>
    </w:rPr>
  </w:style>
  <w:style w:type="paragraph" w:styleId="Telobesedila">
    <w:name w:val="Body Text"/>
    <w:aliases w:val="  uvlaka 2,uvlaka 2"/>
    <w:basedOn w:val="Navaden"/>
    <w:link w:val="TelobesedilaZnak"/>
    <w:uiPriority w:val="99"/>
    <w:unhideWhenUsed/>
    <w:rsid w:val="00993FB7"/>
    <w:pPr>
      <w:spacing w:after="120" w:line="240" w:lineRule="auto"/>
    </w:pPr>
    <w:rPr>
      <w:rFonts w:ascii="Calibri" w:eastAsia="Cambria" w:hAnsi="Calibri"/>
      <w:sz w:val="22"/>
      <w:lang w:val="sl-SI"/>
    </w:rPr>
  </w:style>
  <w:style w:type="character" w:customStyle="1" w:styleId="TelobesedilaZnak">
    <w:name w:val="Telo besedila Znak"/>
    <w:aliases w:val="  uvlaka 2 Znak,uvlaka 2 Znak"/>
    <w:basedOn w:val="Privzetapisavaodstavka"/>
    <w:link w:val="Telobesedila"/>
    <w:uiPriority w:val="99"/>
    <w:rsid w:val="00993FB7"/>
    <w:rPr>
      <w:rFonts w:ascii="Calibri" w:eastAsia="Cambria" w:hAnsi="Calibri"/>
      <w:sz w:val="22"/>
      <w:szCs w:val="24"/>
      <w:lang w:eastAsia="en-US"/>
    </w:rPr>
  </w:style>
  <w:style w:type="character" w:styleId="Pripombasklic">
    <w:name w:val="annotation reference"/>
    <w:basedOn w:val="Privzetapisavaodstavka"/>
    <w:uiPriority w:val="99"/>
    <w:unhideWhenUsed/>
    <w:rsid w:val="00993FB7"/>
    <w:rPr>
      <w:sz w:val="16"/>
      <w:szCs w:val="16"/>
    </w:rPr>
  </w:style>
  <w:style w:type="paragraph" w:styleId="Pripombabesedilo">
    <w:name w:val="annotation text"/>
    <w:basedOn w:val="Navaden"/>
    <w:link w:val="PripombabesediloZnak"/>
    <w:uiPriority w:val="99"/>
    <w:unhideWhenUsed/>
    <w:rsid w:val="00993FB7"/>
    <w:pPr>
      <w:spacing w:line="240" w:lineRule="auto"/>
    </w:pPr>
    <w:rPr>
      <w:rFonts w:ascii="Calibri" w:eastAsia="Cambria" w:hAnsi="Calibri"/>
      <w:szCs w:val="20"/>
      <w:lang w:val="sl-SI"/>
    </w:rPr>
  </w:style>
  <w:style w:type="character" w:customStyle="1" w:styleId="PripombabesediloZnak">
    <w:name w:val="Pripomba – besedilo Znak"/>
    <w:basedOn w:val="Privzetapisavaodstavka"/>
    <w:link w:val="Pripombabesedilo"/>
    <w:uiPriority w:val="99"/>
    <w:rsid w:val="00993FB7"/>
    <w:rPr>
      <w:rFonts w:ascii="Calibri" w:eastAsia="Cambria" w:hAnsi="Calibri"/>
      <w:lang w:eastAsia="en-US"/>
    </w:rPr>
  </w:style>
  <w:style w:type="character" w:styleId="Poudarek">
    <w:name w:val="Emphasis"/>
    <w:basedOn w:val="Privzetapisavaodstavka"/>
    <w:uiPriority w:val="20"/>
    <w:qFormat/>
    <w:rsid w:val="00993FB7"/>
    <w:rPr>
      <w:i/>
      <w:iCs/>
    </w:rPr>
  </w:style>
  <w:style w:type="numbering" w:customStyle="1" w:styleId="Brezseznama2">
    <w:name w:val="Brez seznama2"/>
    <w:next w:val="Brezseznama"/>
    <w:uiPriority w:val="99"/>
    <w:semiHidden/>
    <w:unhideWhenUsed/>
    <w:rsid w:val="00993FB7"/>
  </w:style>
  <w:style w:type="paragraph" w:styleId="Navadensplet">
    <w:name w:val="Normal (Web)"/>
    <w:aliases w:val="Normal (Tabele)"/>
    <w:basedOn w:val="Navaden"/>
    <w:link w:val="NavadenspletZnak"/>
    <w:uiPriority w:val="99"/>
    <w:qFormat/>
    <w:rsid w:val="00993FB7"/>
    <w:pPr>
      <w:spacing w:before="100" w:beforeAutospacing="1" w:after="100" w:afterAutospacing="1" w:line="240" w:lineRule="auto"/>
    </w:pPr>
    <w:rPr>
      <w:rFonts w:ascii="Times New Roman" w:hAnsi="Times New Roman"/>
      <w:sz w:val="24"/>
      <w:lang w:val="sl-SI" w:eastAsia="sl-SI"/>
    </w:rPr>
  </w:style>
  <w:style w:type="character" w:customStyle="1" w:styleId="indcode">
    <w:name w:val="ind_code"/>
    <w:basedOn w:val="Privzetapisavaodstavka"/>
    <w:rsid w:val="00993FB7"/>
  </w:style>
  <w:style w:type="character" w:customStyle="1" w:styleId="indname">
    <w:name w:val="ind_name"/>
    <w:basedOn w:val="Privzetapisavaodstavka"/>
    <w:rsid w:val="00993FB7"/>
  </w:style>
  <w:style w:type="character" w:customStyle="1" w:styleId="graphtitle1">
    <w:name w:val="graph_title1"/>
    <w:basedOn w:val="Privzetapisavaodstavka"/>
    <w:rsid w:val="00993FB7"/>
  </w:style>
  <w:style w:type="character" w:customStyle="1" w:styleId="graphtitle2">
    <w:name w:val="graph_title2"/>
    <w:basedOn w:val="Privzetapisavaodstavka"/>
    <w:rsid w:val="00993FB7"/>
  </w:style>
  <w:style w:type="character" w:customStyle="1" w:styleId="graphsource1">
    <w:name w:val="graph_source1"/>
    <w:basedOn w:val="Privzetapisavaodstavka"/>
    <w:rsid w:val="00993FB7"/>
  </w:style>
  <w:style w:type="character" w:customStyle="1" w:styleId="graphsource2">
    <w:name w:val="graph_source2"/>
    <w:basedOn w:val="Privzetapisavaodstavka"/>
    <w:rsid w:val="00993FB7"/>
  </w:style>
  <w:style w:type="character" w:styleId="Krepko">
    <w:name w:val="Strong"/>
    <w:basedOn w:val="Privzetapisavaodstavka"/>
    <w:uiPriority w:val="22"/>
    <w:qFormat/>
    <w:rsid w:val="00993FB7"/>
    <w:rPr>
      <w:b/>
      <w:bCs/>
    </w:rPr>
  </w:style>
  <w:style w:type="paragraph" w:customStyle="1" w:styleId="Default">
    <w:name w:val="Default"/>
    <w:rsid w:val="00993FB7"/>
    <w:pPr>
      <w:autoSpaceDE w:val="0"/>
      <w:autoSpaceDN w:val="0"/>
      <w:adjustRightInd w:val="0"/>
    </w:pPr>
    <w:rPr>
      <w:rFonts w:ascii="Cambria" w:eastAsiaTheme="minorHAnsi" w:hAnsi="Cambria" w:cs="Cambria"/>
      <w:color w:val="000000"/>
      <w:sz w:val="24"/>
      <w:szCs w:val="24"/>
      <w:lang w:eastAsia="en-US"/>
    </w:rPr>
  </w:style>
  <w:style w:type="character" w:customStyle="1" w:styleId="apple-converted-space">
    <w:name w:val="apple-converted-space"/>
    <w:basedOn w:val="Privzetapisavaodstavka"/>
    <w:rsid w:val="00993FB7"/>
  </w:style>
  <w:style w:type="paragraph" w:customStyle="1" w:styleId="odstavek1">
    <w:name w:val="odstavek1"/>
    <w:basedOn w:val="Navaden"/>
    <w:rsid w:val="00993FB7"/>
    <w:pPr>
      <w:spacing w:before="240" w:line="240" w:lineRule="auto"/>
      <w:ind w:firstLine="1021"/>
      <w:jc w:val="both"/>
    </w:pPr>
    <w:rPr>
      <w:rFonts w:cs="Arial"/>
      <w:sz w:val="22"/>
      <w:szCs w:val="22"/>
      <w:lang w:val="sl-SI" w:eastAsia="sl-SI"/>
    </w:rPr>
  </w:style>
  <w:style w:type="paragraph" w:customStyle="1" w:styleId="tevilnatoka1">
    <w:name w:val="tevilnatoka1"/>
    <w:basedOn w:val="Navaden"/>
    <w:rsid w:val="00993FB7"/>
    <w:pPr>
      <w:spacing w:line="240" w:lineRule="auto"/>
      <w:ind w:left="425" w:hanging="425"/>
      <w:jc w:val="both"/>
    </w:pPr>
    <w:rPr>
      <w:rFonts w:cs="Arial"/>
      <w:sz w:val="22"/>
      <w:szCs w:val="22"/>
      <w:lang w:val="sl-SI" w:eastAsia="sl-SI"/>
    </w:rPr>
  </w:style>
  <w:style w:type="paragraph" w:styleId="Zadevapripombe">
    <w:name w:val="annotation subject"/>
    <w:basedOn w:val="Pripombabesedilo"/>
    <w:next w:val="Pripombabesedilo"/>
    <w:link w:val="ZadevapripombeZnak"/>
    <w:uiPriority w:val="99"/>
    <w:unhideWhenUsed/>
    <w:rsid w:val="00993FB7"/>
    <w:rPr>
      <w:rFonts w:ascii="Arial" w:eastAsiaTheme="minorHAnsi" w:hAnsi="Arial" w:cstheme="minorBidi"/>
      <w:b/>
      <w:bCs/>
    </w:rPr>
  </w:style>
  <w:style w:type="character" w:customStyle="1" w:styleId="ZadevapripombeZnak">
    <w:name w:val="Zadeva pripombe Znak"/>
    <w:basedOn w:val="PripombabesediloZnak"/>
    <w:link w:val="Zadevapripombe"/>
    <w:uiPriority w:val="99"/>
    <w:rsid w:val="00993FB7"/>
    <w:rPr>
      <w:rFonts w:ascii="Arial" w:eastAsiaTheme="minorHAnsi" w:hAnsi="Arial" w:cstheme="minorBidi"/>
      <w:b/>
      <w:bCs/>
      <w:lang w:eastAsia="en-US"/>
    </w:rPr>
  </w:style>
  <w:style w:type="character" w:customStyle="1" w:styleId="a13">
    <w:name w:val="a13"/>
    <w:basedOn w:val="Privzetapisavaodstavka"/>
    <w:rsid w:val="00993FB7"/>
  </w:style>
  <w:style w:type="character" w:customStyle="1" w:styleId="name">
    <w:name w:val="name"/>
    <w:basedOn w:val="Privzetapisavaodstavka"/>
    <w:rsid w:val="00993FB7"/>
  </w:style>
  <w:style w:type="paragraph" w:customStyle="1" w:styleId="Naslov21">
    <w:name w:val="Naslov 21"/>
    <w:basedOn w:val="Navaden"/>
    <w:next w:val="Navaden"/>
    <w:uiPriority w:val="99"/>
    <w:unhideWhenUsed/>
    <w:qFormat/>
    <w:rsid w:val="00993FB7"/>
    <w:pPr>
      <w:keepNext/>
      <w:keepLines/>
      <w:spacing w:before="200"/>
      <w:outlineLvl w:val="1"/>
    </w:pPr>
    <w:rPr>
      <w:rFonts w:ascii="Cambria" w:hAnsi="Cambria"/>
      <w:b/>
      <w:bCs/>
      <w:color w:val="4F81BD"/>
      <w:sz w:val="26"/>
      <w:szCs w:val="26"/>
    </w:rPr>
  </w:style>
  <w:style w:type="paragraph" w:customStyle="1" w:styleId="Naslov31">
    <w:name w:val="Naslov 31"/>
    <w:basedOn w:val="Navaden"/>
    <w:next w:val="Navaden"/>
    <w:uiPriority w:val="9"/>
    <w:unhideWhenUsed/>
    <w:qFormat/>
    <w:rsid w:val="00993FB7"/>
    <w:pPr>
      <w:spacing w:after="120" w:line="240" w:lineRule="auto"/>
      <w:jc w:val="both"/>
      <w:outlineLvl w:val="2"/>
    </w:pPr>
    <w:rPr>
      <w:rFonts w:ascii="Calibri" w:eastAsia="Calibri" w:hAnsi="Calibri"/>
      <w:b/>
      <w:color w:val="1F497D"/>
      <w:sz w:val="22"/>
      <w:szCs w:val="22"/>
      <w:lang w:val="en-GB"/>
    </w:rPr>
  </w:style>
  <w:style w:type="numbering" w:customStyle="1" w:styleId="Brezseznama3">
    <w:name w:val="Brez seznama3"/>
    <w:next w:val="Brezseznama"/>
    <w:uiPriority w:val="99"/>
    <w:semiHidden/>
    <w:unhideWhenUsed/>
    <w:rsid w:val="00993FB7"/>
  </w:style>
  <w:style w:type="paragraph" w:customStyle="1" w:styleId="FootnotesymbolCarZchn">
    <w:name w:val="Footnote symbol Car Zchn"/>
    <w:aliases w:val="Footnote Car Zchn,Times 10 Point Car Zchn,Exposant 3 Point Car Zchn,Footnote Reference Superscript Car Zchn,Char Char Char Char Char Car Zchn,BVI fnr Car Zchn,SUPERS Car Zchn"/>
    <w:basedOn w:val="Navaden"/>
    <w:link w:val="Sprotnaopomba-sklic"/>
    <w:rsid w:val="00993FB7"/>
    <w:pPr>
      <w:spacing w:after="160" w:line="240" w:lineRule="exact"/>
      <w:jc w:val="both"/>
    </w:pPr>
    <w:rPr>
      <w:rFonts w:ascii="Times New Roman" w:hAnsi="Times New Roman"/>
      <w:szCs w:val="20"/>
      <w:vertAlign w:val="superscript"/>
      <w:lang w:val="sl-SI" w:eastAsia="sl-SI"/>
    </w:rPr>
  </w:style>
  <w:style w:type="paragraph" w:customStyle="1" w:styleId="EO-tekst-splono">
    <w:name w:val="EO-tekst-splošno"/>
    <w:uiPriority w:val="99"/>
    <w:rsid w:val="00993FB7"/>
    <w:pPr>
      <w:jc w:val="both"/>
    </w:pPr>
    <w:rPr>
      <w:rFonts w:ascii="Tahoma" w:hAnsi="Tahoma"/>
      <w:noProof/>
      <w:lang w:eastAsia="en-US"/>
    </w:rPr>
  </w:style>
  <w:style w:type="paragraph" w:styleId="Napis">
    <w:name w:val="caption"/>
    <w:aliases w:val="E-PVO-Tabela-Graf-Slika,TABELA,Slika,Napis Znak,Napis Znak2,Napis Znak1 Znak,E-PVO-Tabela-Graf-Slika Znak Znak,TABELA Znak Znak,Slika Znak Znak,E-PVO-Tabela-Graf-Slika Znak1,TABELA Znak1,Slika Znak1,Napis Znak Znak1 Znak,Napis Znak Znak Znak,Cha"/>
    <w:basedOn w:val="Navaden"/>
    <w:next w:val="EO-tekst-splono"/>
    <w:link w:val="NapisZnak1"/>
    <w:unhideWhenUsed/>
    <w:qFormat/>
    <w:rsid w:val="00993FB7"/>
    <w:pPr>
      <w:keepNext/>
      <w:tabs>
        <w:tab w:val="left" w:pos="851"/>
        <w:tab w:val="left" w:pos="1134"/>
      </w:tabs>
      <w:spacing w:before="200" w:line="240" w:lineRule="auto"/>
      <w:ind w:left="851" w:hanging="851"/>
    </w:pPr>
    <w:rPr>
      <w:rFonts w:ascii="Tahoma" w:hAnsi="Tahoma" w:cs="Arial"/>
      <w:bCs/>
      <w:i/>
      <w:noProof/>
      <w:szCs w:val="20"/>
      <w:lang w:val="sl-SI"/>
    </w:rPr>
  </w:style>
  <w:style w:type="character" w:customStyle="1" w:styleId="NapisZnak1">
    <w:name w:val="Napis Znak1"/>
    <w:aliases w:val="E-PVO-Tabela-Graf-Slika Znak,TABELA Znak,Slika Znak,Napis Znak Znak,Napis Znak2 Znak,Napis Znak1 Znak Znak,E-PVO-Tabela-Graf-Slika Znak Znak Znak,TABELA Znak Znak Znak,Slika Znak Znak Znak,E-PVO-Tabela-Graf-Slika Znak1 Znak,TABELA Znak1 Znak"/>
    <w:link w:val="Napis"/>
    <w:rsid w:val="00993FB7"/>
    <w:rPr>
      <w:rFonts w:ascii="Tahoma" w:hAnsi="Tahoma" w:cs="Arial"/>
      <w:bCs/>
      <w:i/>
      <w:noProof/>
      <w:lang w:eastAsia="en-US"/>
    </w:rPr>
  </w:style>
  <w:style w:type="table" w:customStyle="1" w:styleId="Tabelamrea3">
    <w:name w:val="Tabela – mreža3"/>
    <w:basedOn w:val="Navadnatabela"/>
    <w:next w:val="Tabelamrea"/>
    <w:uiPriority w:val="59"/>
    <w:rsid w:val="00993FB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irst-para">
    <w:name w:val="first-para"/>
    <w:basedOn w:val="Navaden"/>
    <w:rsid w:val="00993FB7"/>
    <w:pPr>
      <w:spacing w:before="100" w:beforeAutospacing="1" w:after="100" w:afterAutospacing="1" w:line="240" w:lineRule="auto"/>
    </w:pPr>
    <w:rPr>
      <w:rFonts w:ascii="Times New Roman" w:hAnsi="Times New Roman"/>
      <w:sz w:val="24"/>
      <w:lang w:val="sl-SI" w:eastAsia="sl-SI"/>
    </w:rPr>
  </w:style>
  <w:style w:type="table" w:customStyle="1" w:styleId="Svetelseznampoudarek31">
    <w:name w:val="Svetel seznam – poudarek 31"/>
    <w:basedOn w:val="Navadnatabela"/>
    <w:next w:val="Svetelseznampoudarek3"/>
    <w:uiPriority w:val="61"/>
    <w:rsid w:val="00993FB7"/>
    <w:rPr>
      <w:rFonts w:ascii="Calibri" w:eastAsia="Calibri" w:hAnsi="Calibri"/>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customStyle="1" w:styleId="HeaderChar">
    <w:name w:val="Header Char"/>
    <w:aliases w:val="Header-PR Char"/>
    <w:rsid w:val="00993FB7"/>
    <w:rPr>
      <w:sz w:val="22"/>
      <w:szCs w:val="22"/>
      <w:lang w:eastAsia="en-US"/>
    </w:rPr>
  </w:style>
  <w:style w:type="character" w:customStyle="1" w:styleId="FooterChar">
    <w:name w:val="Footer Char"/>
    <w:aliases w:val="Footer1 Char"/>
    <w:uiPriority w:val="99"/>
    <w:rsid w:val="00993FB7"/>
    <w:rPr>
      <w:sz w:val="22"/>
      <w:szCs w:val="22"/>
      <w:lang w:eastAsia="en-US"/>
    </w:rPr>
  </w:style>
  <w:style w:type="paragraph" w:styleId="Telobesedila2">
    <w:name w:val="Body Text 2"/>
    <w:basedOn w:val="Navaden"/>
    <w:link w:val="Telobesedila2Znak"/>
    <w:uiPriority w:val="99"/>
    <w:rsid w:val="00993FB7"/>
    <w:pPr>
      <w:spacing w:line="240" w:lineRule="auto"/>
      <w:jc w:val="both"/>
    </w:pPr>
    <w:rPr>
      <w:rFonts w:ascii="Times New Roman" w:hAnsi="Times New Roman" w:cs="Arial"/>
      <w:sz w:val="22"/>
      <w:lang w:val="sl-SI" w:eastAsia="sl-SI"/>
    </w:rPr>
  </w:style>
  <w:style w:type="character" w:customStyle="1" w:styleId="Telobesedila2Znak">
    <w:name w:val="Telo besedila 2 Znak"/>
    <w:basedOn w:val="Privzetapisavaodstavka"/>
    <w:link w:val="Telobesedila2"/>
    <w:uiPriority w:val="99"/>
    <w:rsid w:val="00993FB7"/>
    <w:rPr>
      <w:rFonts w:cs="Arial"/>
      <w:sz w:val="22"/>
      <w:szCs w:val="24"/>
    </w:rPr>
  </w:style>
  <w:style w:type="character" w:customStyle="1" w:styleId="BodyText2Char">
    <w:name w:val="Body Text 2 Char"/>
    <w:uiPriority w:val="99"/>
    <w:semiHidden/>
    <w:rsid w:val="00993FB7"/>
    <w:rPr>
      <w:rFonts w:ascii="Times New Roman" w:eastAsia="Times New Roman" w:hAnsi="Times New Roman"/>
      <w:sz w:val="22"/>
      <w:szCs w:val="24"/>
    </w:rPr>
  </w:style>
  <w:style w:type="paragraph" w:customStyle="1" w:styleId="Slog12ptRazmikvrstic15vrstice">
    <w:name w:val="Slog 12 pt Razmik vrstic:  15 vrstice"/>
    <w:basedOn w:val="Navaden"/>
    <w:uiPriority w:val="99"/>
    <w:semiHidden/>
    <w:unhideWhenUsed/>
    <w:rsid w:val="00993FB7"/>
    <w:pPr>
      <w:spacing w:line="240" w:lineRule="auto"/>
      <w:jc w:val="both"/>
    </w:pPr>
    <w:rPr>
      <w:rFonts w:ascii="Times New Roman" w:hAnsi="Times New Roman" w:cs="Arial"/>
      <w:sz w:val="24"/>
      <w:szCs w:val="20"/>
      <w:lang w:val="sl-SI" w:eastAsia="sl-SI"/>
    </w:rPr>
  </w:style>
  <w:style w:type="paragraph" w:customStyle="1" w:styleId="EO-Poglavje1">
    <w:name w:val="EO-Poglavje1"/>
    <w:basedOn w:val="EO-tekst-splono"/>
    <w:next w:val="EO-tekst-splono"/>
    <w:uiPriority w:val="99"/>
    <w:rsid w:val="00993FB7"/>
    <w:pPr>
      <w:keepNext/>
      <w:spacing w:after="360"/>
      <w:ind w:left="480" w:hanging="480"/>
      <w:jc w:val="left"/>
      <w:outlineLvl w:val="0"/>
    </w:pPr>
    <w:rPr>
      <w:b/>
      <w:caps/>
      <w:sz w:val="28"/>
    </w:rPr>
  </w:style>
  <w:style w:type="paragraph" w:customStyle="1" w:styleId="EO-Poglavje2">
    <w:name w:val="EO-Poglavje2"/>
    <w:basedOn w:val="EO-tekst-splono"/>
    <w:next w:val="EO-tekst-splono"/>
    <w:uiPriority w:val="99"/>
    <w:rsid w:val="00993FB7"/>
    <w:pPr>
      <w:keepNext/>
      <w:spacing w:before="120" w:after="220"/>
      <w:ind w:left="480" w:hanging="480"/>
      <w:jc w:val="left"/>
      <w:outlineLvl w:val="1"/>
    </w:pPr>
    <w:rPr>
      <w:b/>
      <w:caps/>
      <w:sz w:val="22"/>
    </w:rPr>
  </w:style>
  <w:style w:type="paragraph" w:customStyle="1" w:styleId="EO-Poglavje3">
    <w:name w:val="EO-Poglavje3"/>
    <w:basedOn w:val="EO-tekst-splono"/>
    <w:next w:val="EO-tekst-splono"/>
    <w:uiPriority w:val="99"/>
    <w:rsid w:val="00993FB7"/>
    <w:pPr>
      <w:keepNext/>
      <w:numPr>
        <w:numId w:val="8"/>
      </w:numPr>
      <w:spacing w:after="220"/>
      <w:jc w:val="left"/>
      <w:outlineLvl w:val="2"/>
    </w:pPr>
    <w:rPr>
      <w:b/>
      <w:sz w:val="22"/>
      <w:u w:val="single"/>
    </w:rPr>
  </w:style>
  <w:style w:type="paragraph" w:customStyle="1" w:styleId="EO-Poglavje4">
    <w:name w:val="EO-Poglavje4"/>
    <w:basedOn w:val="EO-tekst-splono"/>
    <w:next w:val="EO-tekst-splono"/>
    <w:uiPriority w:val="99"/>
    <w:rsid w:val="00993FB7"/>
    <w:pPr>
      <w:keepNext/>
      <w:numPr>
        <w:ilvl w:val="1"/>
        <w:numId w:val="8"/>
      </w:numPr>
      <w:spacing w:after="220"/>
      <w:jc w:val="left"/>
      <w:outlineLvl w:val="3"/>
    </w:pPr>
    <w:rPr>
      <w:b/>
    </w:rPr>
  </w:style>
  <w:style w:type="paragraph" w:customStyle="1" w:styleId="EO-natevanje1">
    <w:name w:val="EO-naštevanje1"/>
    <w:basedOn w:val="EO-tekst-splono"/>
    <w:uiPriority w:val="99"/>
    <w:rsid w:val="00993FB7"/>
    <w:pPr>
      <w:numPr>
        <w:ilvl w:val="2"/>
        <w:numId w:val="8"/>
      </w:numPr>
      <w:tabs>
        <w:tab w:val="clear" w:pos="1134"/>
        <w:tab w:val="num" w:pos="397"/>
      </w:tabs>
      <w:ind w:left="397" w:hanging="397"/>
      <w:jc w:val="left"/>
    </w:pPr>
  </w:style>
  <w:style w:type="paragraph" w:customStyle="1" w:styleId="EO-tabela-vsebina">
    <w:name w:val="EO-tabela-vsebina"/>
    <w:basedOn w:val="EO-tekst-splono"/>
    <w:next w:val="EO-tekst-splono"/>
    <w:uiPriority w:val="99"/>
    <w:rsid w:val="00993FB7"/>
    <w:pPr>
      <w:numPr>
        <w:ilvl w:val="3"/>
        <w:numId w:val="8"/>
      </w:numPr>
      <w:tabs>
        <w:tab w:val="clear" w:pos="1134"/>
      </w:tabs>
      <w:spacing w:before="20" w:after="20"/>
      <w:ind w:left="0" w:firstLine="0"/>
      <w:jc w:val="left"/>
    </w:pPr>
    <w:rPr>
      <w:sz w:val="18"/>
    </w:rPr>
  </w:style>
  <w:style w:type="paragraph" w:styleId="Kazalovsebine3">
    <w:name w:val="toc 3"/>
    <w:next w:val="Navaden"/>
    <w:uiPriority w:val="39"/>
    <w:qFormat/>
    <w:rsid w:val="00993FB7"/>
    <w:pPr>
      <w:spacing w:line="276" w:lineRule="auto"/>
      <w:ind w:left="440"/>
    </w:pPr>
    <w:rPr>
      <w:rFonts w:ascii="Calibri" w:eastAsia="Calibri" w:hAnsi="Calibri"/>
      <w:lang w:eastAsia="en-US"/>
    </w:rPr>
  </w:style>
  <w:style w:type="paragraph" w:customStyle="1" w:styleId="EO-natevanje2">
    <w:name w:val="EO-naštevanje2"/>
    <w:basedOn w:val="EO-tekst-splono"/>
    <w:uiPriority w:val="99"/>
    <w:rsid w:val="00993FB7"/>
    <w:pPr>
      <w:ind w:left="283" w:hanging="283"/>
      <w:jc w:val="left"/>
    </w:pPr>
  </w:style>
  <w:style w:type="character" w:customStyle="1" w:styleId="Heading1Char">
    <w:name w:val="Heading 1 Char"/>
    <w:uiPriority w:val="9"/>
    <w:unhideWhenUsed/>
    <w:rsid w:val="00993FB7"/>
    <w:rPr>
      <w:rFonts w:ascii="Times New Roman" w:eastAsia="Times New Roman" w:hAnsi="Times New Roman" w:cs="Arial"/>
      <w:b/>
      <w:bCs/>
      <w:color w:val="FF0000"/>
      <w:sz w:val="28"/>
    </w:rPr>
  </w:style>
  <w:style w:type="character" w:customStyle="1" w:styleId="Heading3Char">
    <w:name w:val="Heading 3 Char"/>
    <w:uiPriority w:val="9"/>
    <w:unhideWhenUsed/>
    <w:rsid w:val="00993FB7"/>
    <w:rPr>
      <w:rFonts w:ascii="Times New Roman" w:eastAsia="Times New Roman" w:hAnsi="Times New Roman"/>
      <w:b/>
      <w:bCs/>
      <w:sz w:val="24"/>
      <w:szCs w:val="26"/>
      <w:lang w:eastAsia="en-US"/>
    </w:rPr>
  </w:style>
  <w:style w:type="character" w:customStyle="1" w:styleId="BodyTextChar">
    <w:name w:val="Body Text Char"/>
    <w:rsid w:val="00993FB7"/>
    <w:rPr>
      <w:sz w:val="22"/>
      <w:szCs w:val="22"/>
      <w:lang w:eastAsia="en-US"/>
    </w:rPr>
  </w:style>
  <w:style w:type="character" w:customStyle="1" w:styleId="Heading4Char">
    <w:name w:val="Heading 4 Char"/>
    <w:uiPriority w:val="99"/>
    <w:unhideWhenUsed/>
    <w:rsid w:val="00993FB7"/>
    <w:rPr>
      <w:rFonts w:ascii="Times New Roman" w:eastAsia="Times New Roman" w:hAnsi="Times New Roman"/>
      <w:b/>
      <w:bCs/>
      <w:sz w:val="24"/>
      <w:szCs w:val="28"/>
      <w:lang w:eastAsia="en-US"/>
    </w:rPr>
  </w:style>
  <w:style w:type="character" w:styleId="tevilkastrani">
    <w:name w:val="page number"/>
    <w:basedOn w:val="Privzetapisavaodstavka"/>
    <w:uiPriority w:val="99"/>
    <w:rsid w:val="00993FB7"/>
  </w:style>
  <w:style w:type="character" w:customStyle="1" w:styleId="Heading5Char">
    <w:name w:val="Heading 5 Char"/>
    <w:unhideWhenUsed/>
    <w:rsid w:val="00993FB7"/>
    <w:rPr>
      <w:rFonts w:ascii="Times New Roman" w:eastAsia="Times New Roman" w:hAnsi="Times New Roman"/>
      <w:b/>
      <w:bCs/>
      <w:iCs/>
      <w:sz w:val="24"/>
      <w:szCs w:val="26"/>
      <w:lang w:eastAsia="en-US"/>
    </w:rPr>
  </w:style>
  <w:style w:type="paragraph" w:customStyle="1" w:styleId="slog12ptrazmikvrstic15vrstice0">
    <w:name w:val="slog12ptrazmikvrstic15vrstice"/>
    <w:basedOn w:val="Navaden"/>
    <w:uiPriority w:val="99"/>
    <w:semiHidden/>
    <w:unhideWhenUsed/>
    <w:rsid w:val="00993FB7"/>
    <w:pPr>
      <w:spacing w:before="100" w:beforeAutospacing="1" w:after="100" w:afterAutospacing="1" w:line="240" w:lineRule="auto"/>
      <w:jc w:val="both"/>
    </w:pPr>
    <w:rPr>
      <w:rFonts w:ascii="Times New Roman" w:eastAsia="Calibri" w:hAnsi="Times New Roman" w:cs="Arial"/>
      <w:sz w:val="24"/>
      <w:lang w:val="sl-SI" w:eastAsia="sl-SI"/>
    </w:rPr>
  </w:style>
  <w:style w:type="character" w:customStyle="1" w:styleId="FootnoteTextChar">
    <w:name w:val="Footnote Text Char"/>
    <w:aliases w:val="Sprotna opomba-besedilo Char,Char Char Char1,Char Char Char Char Char,Char Char Char Char1,Sprotna opomba - besedilo Znak1 Char,Sprotna opomba - besedilo Znak Znak2 Char,Sprotna opomba - besedilo Znak1 Znak Znak1 Char"/>
    <w:uiPriority w:val="99"/>
    <w:rsid w:val="00993FB7"/>
    <w:rPr>
      <w:lang w:eastAsia="en-US"/>
    </w:rPr>
  </w:style>
  <w:style w:type="paragraph" w:customStyle="1" w:styleId="EO-glavanoga">
    <w:name w:val="EO-glava/noga"/>
    <w:uiPriority w:val="99"/>
    <w:rsid w:val="00993FB7"/>
    <w:rPr>
      <w:rFonts w:ascii="Tahoma" w:hAnsi="Tahoma"/>
      <w:noProof/>
      <w:color w:val="333333"/>
      <w:sz w:val="16"/>
      <w:lang w:eastAsia="en-US"/>
    </w:rPr>
  </w:style>
  <w:style w:type="paragraph" w:customStyle="1" w:styleId="Style">
    <w:name w:val="Style"/>
    <w:uiPriority w:val="99"/>
    <w:semiHidden/>
    <w:unhideWhenUsed/>
    <w:rsid w:val="00993FB7"/>
    <w:pPr>
      <w:widowControl w:val="0"/>
      <w:autoSpaceDE w:val="0"/>
      <w:autoSpaceDN w:val="0"/>
      <w:adjustRightInd w:val="0"/>
    </w:pPr>
    <w:rPr>
      <w:sz w:val="24"/>
      <w:szCs w:val="24"/>
      <w:lang w:val="en-US" w:eastAsia="en-US"/>
    </w:rPr>
  </w:style>
  <w:style w:type="paragraph" w:customStyle="1" w:styleId="EO-natevanje3">
    <w:name w:val="EO-naštevanje3"/>
    <w:basedOn w:val="EO-tekst-splono"/>
    <w:uiPriority w:val="99"/>
    <w:rsid w:val="00993FB7"/>
    <w:pPr>
      <w:spacing w:after="60"/>
      <w:ind w:left="360" w:hanging="360"/>
      <w:jc w:val="left"/>
    </w:pPr>
  </w:style>
  <w:style w:type="character" w:customStyle="1" w:styleId="CommentTextChar">
    <w:name w:val="Comment Text Char"/>
    <w:uiPriority w:val="99"/>
    <w:semiHidden/>
    <w:rsid w:val="00993FB7"/>
    <w:rPr>
      <w:rFonts w:ascii="Tahoma" w:eastAsia="Times New Roman" w:hAnsi="Tahoma"/>
      <w:noProof/>
      <w:lang w:eastAsia="en-US"/>
    </w:rPr>
  </w:style>
  <w:style w:type="paragraph" w:customStyle="1" w:styleId="N">
    <w:name w:val="N"/>
    <w:basedOn w:val="Navaden"/>
    <w:uiPriority w:val="99"/>
    <w:unhideWhenUsed/>
    <w:rsid w:val="00993FB7"/>
    <w:pPr>
      <w:tabs>
        <w:tab w:val="left" w:pos="144"/>
      </w:tabs>
      <w:spacing w:line="240" w:lineRule="auto"/>
      <w:jc w:val="both"/>
    </w:pPr>
    <w:rPr>
      <w:rFonts w:ascii="SL Dutch" w:hAnsi="SL Dutch" w:cs="Arial"/>
      <w:sz w:val="24"/>
      <w:lang w:val="en-GB" w:eastAsia="sl-SI"/>
    </w:rPr>
  </w:style>
  <w:style w:type="character" w:customStyle="1" w:styleId="NZnak">
    <w:name w:val="N Znak"/>
    <w:uiPriority w:val="99"/>
    <w:semiHidden/>
    <w:unhideWhenUsed/>
    <w:rsid w:val="00993FB7"/>
    <w:rPr>
      <w:rFonts w:ascii="SL Dutch" w:eastAsia="Times New Roman" w:hAnsi="SL Dutch"/>
      <w:sz w:val="24"/>
      <w:szCs w:val="24"/>
      <w:lang w:val="en-GB"/>
    </w:rPr>
  </w:style>
  <w:style w:type="character" w:customStyle="1" w:styleId="BalloonTextChar">
    <w:name w:val="Balloon Text Char"/>
    <w:uiPriority w:val="99"/>
    <w:semiHidden/>
    <w:rsid w:val="00993FB7"/>
    <w:rPr>
      <w:rFonts w:ascii="Tahoma" w:hAnsi="Tahoma" w:cs="Tahoma"/>
      <w:sz w:val="16"/>
      <w:szCs w:val="16"/>
      <w:lang w:eastAsia="en-US"/>
    </w:rPr>
  </w:style>
  <w:style w:type="character" w:customStyle="1" w:styleId="Heading2Char">
    <w:name w:val="Heading 2 Char"/>
    <w:uiPriority w:val="9"/>
    <w:unhideWhenUsed/>
    <w:rsid w:val="00993FB7"/>
    <w:rPr>
      <w:rFonts w:ascii="Times New Roman" w:eastAsia="Times New Roman" w:hAnsi="Times New Roman"/>
      <w:b/>
      <w:bCs/>
      <w:iCs/>
      <w:sz w:val="24"/>
      <w:szCs w:val="28"/>
      <w:lang w:eastAsia="en-US"/>
    </w:rPr>
  </w:style>
  <w:style w:type="paragraph" w:customStyle="1" w:styleId="natevanje">
    <w:name w:val="naštevanje"/>
    <w:basedOn w:val="Navaden"/>
    <w:uiPriority w:val="99"/>
    <w:semiHidden/>
    <w:unhideWhenUsed/>
    <w:rsid w:val="00993FB7"/>
    <w:pPr>
      <w:spacing w:after="60" w:line="240" w:lineRule="auto"/>
      <w:jc w:val="both"/>
    </w:pPr>
    <w:rPr>
      <w:rFonts w:ascii="Times New Roman" w:hAnsi="Times New Roman" w:cs="Arial"/>
      <w:bCs/>
      <w:snapToGrid w:val="0"/>
      <w:sz w:val="24"/>
      <w:szCs w:val="20"/>
      <w:lang w:val="sl-SI"/>
    </w:rPr>
  </w:style>
  <w:style w:type="paragraph" w:styleId="Telobesedila-zamik2">
    <w:name w:val="Body Text Indent 2"/>
    <w:basedOn w:val="Navaden"/>
    <w:link w:val="Telobesedila-zamik2Znak"/>
    <w:uiPriority w:val="99"/>
    <w:unhideWhenUsed/>
    <w:rsid w:val="00993FB7"/>
    <w:pPr>
      <w:spacing w:after="120" w:line="480" w:lineRule="auto"/>
      <w:ind w:left="283"/>
      <w:jc w:val="both"/>
    </w:pPr>
    <w:rPr>
      <w:rFonts w:ascii="Verdana" w:eastAsia="Calibri" w:hAnsi="Verdana" w:cs="Arial"/>
      <w:sz w:val="22"/>
      <w:lang w:val="sl-SI"/>
    </w:rPr>
  </w:style>
  <w:style w:type="character" w:customStyle="1" w:styleId="Telobesedila-zamik2Znak">
    <w:name w:val="Telo besedila - zamik 2 Znak"/>
    <w:basedOn w:val="Privzetapisavaodstavka"/>
    <w:link w:val="Telobesedila-zamik2"/>
    <w:uiPriority w:val="99"/>
    <w:rsid w:val="00993FB7"/>
    <w:rPr>
      <w:rFonts w:ascii="Verdana" w:eastAsia="Calibri" w:hAnsi="Verdana" w:cs="Arial"/>
      <w:sz w:val="22"/>
      <w:szCs w:val="24"/>
      <w:lang w:eastAsia="en-US"/>
    </w:rPr>
  </w:style>
  <w:style w:type="character" w:customStyle="1" w:styleId="BodyTextIndent2Char">
    <w:name w:val="Body Text Indent 2 Char"/>
    <w:uiPriority w:val="1"/>
    <w:semiHidden/>
    <w:unhideWhenUsed/>
    <w:rsid w:val="00993FB7"/>
    <w:rPr>
      <w:sz w:val="22"/>
      <w:szCs w:val="22"/>
      <w:lang w:eastAsia="en-US"/>
    </w:rPr>
  </w:style>
  <w:style w:type="paragraph" w:styleId="NaslovTOC">
    <w:name w:val="TOC Heading"/>
    <w:basedOn w:val="Naslov1"/>
    <w:next w:val="Navaden"/>
    <w:uiPriority w:val="39"/>
    <w:unhideWhenUsed/>
    <w:qFormat/>
    <w:rsid w:val="00993FB7"/>
    <w:pPr>
      <w:pageBreakBefore/>
      <w:spacing w:after="0" w:line="240" w:lineRule="auto"/>
      <w:ind w:left="680" w:hanging="680"/>
    </w:pPr>
    <w:rPr>
      <w:rFonts w:ascii="Verdana" w:hAnsi="Verdana" w:cs="Arial"/>
      <w:bCs/>
      <w:kern w:val="0"/>
      <w:szCs w:val="20"/>
    </w:rPr>
  </w:style>
  <w:style w:type="paragraph" w:styleId="Kazalovsebine1">
    <w:name w:val="toc 1"/>
    <w:basedOn w:val="Navaden"/>
    <w:next w:val="Navaden"/>
    <w:autoRedefine/>
    <w:uiPriority w:val="39"/>
    <w:unhideWhenUsed/>
    <w:qFormat/>
    <w:rsid w:val="00993FB7"/>
    <w:pPr>
      <w:spacing w:before="240" w:after="120" w:line="240" w:lineRule="auto"/>
      <w:jc w:val="both"/>
    </w:pPr>
    <w:rPr>
      <w:rFonts w:ascii="Verdana" w:eastAsia="Calibri" w:hAnsi="Verdana" w:cs="Arial"/>
      <w:b/>
      <w:bCs/>
      <w:szCs w:val="20"/>
      <w:lang w:val="sl-SI"/>
    </w:rPr>
  </w:style>
  <w:style w:type="paragraph" w:styleId="Kazalovsebine2">
    <w:name w:val="toc 2"/>
    <w:basedOn w:val="Navaden"/>
    <w:next w:val="Navaden"/>
    <w:autoRedefine/>
    <w:uiPriority w:val="39"/>
    <w:unhideWhenUsed/>
    <w:qFormat/>
    <w:rsid w:val="00993FB7"/>
    <w:pPr>
      <w:tabs>
        <w:tab w:val="right" w:leader="dot" w:pos="9356"/>
      </w:tabs>
      <w:spacing w:before="120" w:line="240" w:lineRule="auto"/>
      <w:ind w:left="220" w:right="565"/>
      <w:jc w:val="both"/>
    </w:pPr>
    <w:rPr>
      <w:rFonts w:ascii="Verdana" w:eastAsia="Calibri" w:hAnsi="Verdana" w:cs="Arial"/>
      <w:i/>
      <w:iCs/>
      <w:szCs w:val="20"/>
      <w:lang w:val="sl-SI"/>
    </w:rPr>
  </w:style>
  <w:style w:type="character" w:customStyle="1" w:styleId="st">
    <w:name w:val="st"/>
    <w:basedOn w:val="Privzetapisavaodstavka"/>
    <w:uiPriority w:val="99"/>
    <w:unhideWhenUsed/>
    <w:rsid w:val="00993FB7"/>
  </w:style>
  <w:style w:type="paragraph" w:styleId="Kazalovsebine4">
    <w:name w:val="toc 4"/>
    <w:basedOn w:val="Navaden"/>
    <w:next w:val="Navaden"/>
    <w:autoRedefine/>
    <w:uiPriority w:val="39"/>
    <w:unhideWhenUsed/>
    <w:rsid w:val="00993FB7"/>
    <w:pPr>
      <w:tabs>
        <w:tab w:val="right" w:leader="dot" w:pos="9356"/>
      </w:tabs>
      <w:spacing w:line="240" w:lineRule="auto"/>
      <w:ind w:left="1418" w:right="849" w:hanging="758"/>
      <w:jc w:val="both"/>
    </w:pPr>
    <w:rPr>
      <w:rFonts w:ascii="Verdana" w:eastAsia="Calibri" w:hAnsi="Verdana" w:cs="Arial"/>
      <w:szCs w:val="20"/>
      <w:lang w:val="sl-SI"/>
    </w:rPr>
  </w:style>
  <w:style w:type="paragraph" w:styleId="Kazalovsebine5">
    <w:name w:val="toc 5"/>
    <w:basedOn w:val="Navaden"/>
    <w:next w:val="Navaden"/>
    <w:autoRedefine/>
    <w:uiPriority w:val="39"/>
    <w:unhideWhenUsed/>
    <w:rsid w:val="00993FB7"/>
    <w:pPr>
      <w:spacing w:line="240" w:lineRule="auto"/>
      <w:ind w:left="880"/>
      <w:jc w:val="both"/>
    </w:pPr>
    <w:rPr>
      <w:rFonts w:ascii="Verdana" w:eastAsia="Calibri" w:hAnsi="Verdana" w:cs="Arial"/>
      <w:szCs w:val="20"/>
      <w:lang w:val="sl-SI"/>
    </w:rPr>
  </w:style>
  <w:style w:type="paragraph" w:customStyle="1" w:styleId="Preglednica">
    <w:name w:val="Preglednica"/>
    <w:basedOn w:val="Napis"/>
    <w:next w:val="Navaden"/>
    <w:uiPriority w:val="99"/>
    <w:semiHidden/>
    <w:unhideWhenUsed/>
    <w:qFormat/>
    <w:rsid w:val="00993FB7"/>
    <w:pPr>
      <w:spacing w:before="240"/>
    </w:pPr>
    <w:rPr>
      <w:rFonts w:ascii="Times New Roman" w:hAnsi="Times New Roman"/>
      <w:i w:val="0"/>
      <w:sz w:val="24"/>
    </w:rPr>
  </w:style>
  <w:style w:type="paragraph" w:styleId="Kazalovsebine6">
    <w:name w:val="toc 6"/>
    <w:basedOn w:val="Navaden"/>
    <w:next w:val="Navaden"/>
    <w:autoRedefine/>
    <w:uiPriority w:val="39"/>
    <w:unhideWhenUsed/>
    <w:rsid w:val="00993FB7"/>
    <w:pPr>
      <w:spacing w:line="240" w:lineRule="auto"/>
      <w:ind w:left="1100"/>
      <w:jc w:val="both"/>
    </w:pPr>
    <w:rPr>
      <w:rFonts w:ascii="Verdana" w:eastAsia="Calibri" w:hAnsi="Verdana" w:cs="Arial"/>
      <w:szCs w:val="20"/>
      <w:lang w:val="sl-SI"/>
    </w:rPr>
  </w:style>
  <w:style w:type="character" w:customStyle="1" w:styleId="CaptionChar">
    <w:name w:val="Caption Char"/>
    <w:aliases w:val="E-PVO-Tabela-Graf-Slika Char,TABELA Char,Slika Char,Napis Znak Char,Napis Znak2 Char,Napis Znak1 Znak Char,E-PVO-Tabela-Graf-Slika Znak Znak Char,TABELA Znak Znak Char,Slika Znak Znak Char,E-PVO-Tabela-Graf-Slika Znak1 Char,Slika Znak1 Char"/>
    <w:uiPriority w:val="99"/>
    <w:rsid w:val="00993FB7"/>
    <w:rPr>
      <w:rFonts w:ascii="Tahoma" w:eastAsia="Times New Roman" w:hAnsi="Tahoma"/>
      <w:bCs/>
      <w:i/>
      <w:noProof/>
      <w:lang w:eastAsia="en-US"/>
    </w:rPr>
  </w:style>
  <w:style w:type="character" w:customStyle="1" w:styleId="PreglednicaChar">
    <w:name w:val="Preglednica Char"/>
    <w:uiPriority w:val="99"/>
    <w:semiHidden/>
    <w:unhideWhenUsed/>
    <w:rsid w:val="00993FB7"/>
    <w:rPr>
      <w:rFonts w:ascii="Tahoma" w:eastAsia="Times New Roman" w:hAnsi="Tahoma"/>
      <w:bCs/>
      <w:i/>
      <w:noProof/>
      <w:lang w:eastAsia="en-US"/>
    </w:rPr>
  </w:style>
  <w:style w:type="paragraph" w:styleId="Kazalovsebine7">
    <w:name w:val="toc 7"/>
    <w:basedOn w:val="Navaden"/>
    <w:next w:val="Navaden"/>
    <w:autoRedefine/>
    <w:uiPriority w:val="39"/>
    <w:unhideWhenUsed/>
    <w:rsid w:val="00993FB7"/>
    <w:pPr>
      <w:spacing w:line="240" w:lineRule="auto"/>
      <w:ind w:left="1320"/>
      <w:jc w:val="both"/>
    </w:pPr>
    <w:rPr>
      <w:rFonts w:ascii="Verdana" w:eastAsia="Calibri" w:hAnsi="Verdana" w:cs="Arial"/>
      <w:szCs w:val="20"/>
      <w:lang w:val="sl-SI"/>
    </w:rPr>
  </w:style>
  <w:style w:type="paragraph" w:styleId="Kazalovsebine8">
    <w:name w:val="toc 8"/>
    <w:basedOn w:val="Navaden"/>
    <w:next w:val="Navaden"/>
    <w:autoRedefine/>
    <w:uiPriority w:val="39"/>
    <w:unhideWhenUsed/>
    <w:rsid w:val="00993FB7"/>
    <w:pPr>
      <w:spacing w:line="240" w:lineRule="auto"/>
      <w:ind w:left="1540"/>
      <w:jc w:val="both"/>
    </w:pPr>
    <w:rPr>
      <w:rFonts w:ascii="Verdana" w:eastAsia="Calibri" w:hAnsi="Verdana" w:cs="Arial"/>
      <w:szCs w:val="20"/>
      <w:lang w:val="sl-SI"/>
    </w:rPr>
  </w:style>
  <w:style w:type="paragraph" w:styleId="Kazalovsebine9">
    <w:name w:val="toc 9"/>
    <w:basedOn w:val="Navaden"/>
    <w:next w:val="Navaden"/>
    <w:autoRedefine/>
    <w:uiPriority w:val="39"/>
    <w:unhideWhenUsed/>
    <w:rsid w:val="00993FB7"/>
    <w:pPr>
      <w:spacing w:line="240" w:lineRule="auto"/>
      <w:ind w:left="1760"/>
      <w:jc w:val="both"/>
    </w:pPr>
    <w:rPr>
      <w:rFonts w:ascii="Verdana" w:eastAsia="Calibri" w:hAnsi="Verdana" w:cs="Arial"/>
      <w:szCs w:val="20"/>
      <w:lang w:val="sl-SI"/>
    </w:rPr>
  </w:style>
  <w:style w:type="paragraph" w:styleId="Kazaloslik">
    <w:name w:val="table of figures"/>
    <w:aliases w:val="Table of Tables"/>
    <w:basedOn w:val="Navaden"/>
    <w:next w:val="Navaden"/>
    <w:uiPriority w:val="99"/>
    <w:unhideWhenUsed/>
    <w:rsid w:val="00993FB7"/>
    <w:pPr>
      <w:spacing w:line="240" w:lineRule="auto"/>
      <w:ind w:left="440" w:hanging="440"/>
      <w:jc w:val="both"/>
    </w:pPr>
    <w:rPr>
      <w:rFonts w:ascii="Verdana" w:eastAsia="Calibri" w:hAnsi="Verdana" w:cs="Arial"/>
      <w:b/>
      <w:bCs/>
      <w:szCs w:val="20"/>
      <w:lang w:val="sl-SI"/>
    </w:rPr>
  </w:style>
  <w:style w:type="paragraph" w:customStyle="1" w:styleId="SlikaN">
    <w:name w:val="SlikaN"/>
    <w:basedOn w:val="Napis"/>
    <w:uiPriority w:val="99"/>
    <w:semiHidden/>
    <w:unhideWhenUsed/>
    <w:qFormat/>
    <w:rsid w:val="00993FB7"/>
    <w:pPr>
      <w:keepLines/>
    </w:pPr>
    <w:rPr>
      <w:rFonts w:ascii="Times New Roman" w:hAnsi="Times New Roman"/>
      <w:b/>
      <w:i w:val="0"/>
      <w:sz w:val="22"/>
      <w:szCs w:val="22"/>
    </w:rPr>
  </w:style>
  <w:style w:type="paragraph" w:customStyle="1" w:styleId="xl25">
    <w:name w:val="xl25"/>
    <w:basedOn w:val="Navaden"/>
    <w:uiPriority w:val="99"/>
    <w:semiHidden/>
    <w:unhideWhenUsed/>
    <w:rsid w:val="00993FB7"/>
    <w:pPr>
      <w:pBdr>
        <w:right w:val="single" w:sz="4" w:space="0" w:color="auto"/>
      </w:pBdr>
      <w:spacing w:before="100" w:beforeAutospacing="1" w:after="100" w:afterAutospacing="1" w:line="240" w:lineRule="auto"/>
      <w:jc w:val="both"/>
    </w:pPr>
    <w:rPr>
      <w:rFonts w:ascii="Times New Roman" w:eastAsia="Arial Unicode MS" w:hAnsi="Times New Roman" w:cs="Arial"/>
      <w:sz w:val="24"/>
      <w:lang w:val="sl-SI" w:eastAsia="sl-SI"/>
    </w:rPr>
  </w:style>
  <w:style w:type="paragraph" w:customStyle="1" w:styleId="CharChar1ZnakZnakZnak">
    <w:name w:val="Char Char1 Znak Znak Znak"/>
    <w:basedOn w:val="Navaden"/>
    <w:next w:val="Navaden"/>
    <w:uiPriority w:val="99"/>
    <w:semiHidden/>
    <w:unhideWhenUsed/>
    <w:rsid w:val="00993FB7"/>
    <w:pPr>
      <w:spacing w:after="160" w:line="240" w:lineRule="exact"/>
      <w:jc w:val="both"/>
    </w:pPr>
    <w:rPr>
      <w:rFonts w:ascii="Tahoma" w:hAnsi="Tahoma" w:cs="Tahoma"/>
      <w:sz w:val="24"/>
    </w:rPr>
  </w:style>
  <w:style w:type="paragraph" w:customStyle="1" w:styleId="CharChar">
    <w:name w:val="Char Char"/>
    <w:basedOn w:val="Navaden"/>
    <w:uiPriority w:val="99"/>
    <w:rsid w:val="00993FB7"/>
    <w:pPr>
      <w:spacing w:line="240" w:lineRule="auto"/>
      <w:jc w:val="both"/>
    </w:pPr>
    <w:rPr>
      <w:rFonts w:ascii="Times New Roman" w:hAnsi="Times New Roman" w:cs="Arial"/>
      <w:sz w:val="24"/>
      <w:lang w:val="pl-PL" w:eastAsia="pl-PL"/>
    </w:rPr>
  </w:style>
  <w:style w:type="paragraph" w:customStyle="1" w:styleId="Telobesedila21">
    <w:name w:val="Telo besedila 21"/>
    <w:basedOn w:val="Navaden"/>
    <w:uiPriority w:val="99"/>
    <w:semiHidden/>
    <w:unhideWhenUsed/>
    <w:rsid w:val="00993FB7"/>
    <w:pPr>
      <w:widowControl w:val="0"/>
      <w:suppressAutoHyphens/>
      <w:spacing w:after="120" w:line="480" w:lineRule="auto"/>
      <w:jc w:val="both"/>
    </w:pPr>
    <w:rPr>
      <w:rFonts w:ascii="Times New Roman" w:hAnsi="Times New Roman" w:cs="Arial"/>
      <w:szCs w:val="20"/>
      <w:lang w:val="sl-SI" w:eastAsia="ar-SA"/>
    </w:rPr>
  </w:style>
  <w:style w:type="paragraph" w:styleId="Telobesedila-zamik3">
    <w:name w:val="Body Text Indent 3"/>
    <w:basedOn w:val="Navaden"/>
    <w:link w:val="Telobesedila-zamik3Znak"/>
    <w:uiPriority w:val="99"/>
    <w:unhideWhenUsed/>
    <w:rsid w:val="00993FB7"/>
    <w:pPr>
      <w:spacing w:after="120" w:line="240" w:lineRule="auto"/>
      <w:ind w:left="283"/>
      <w:jc w:val="both"/>
    </w:pPr>
    <w:rPr>
      <w:rFonts w:ascii="Verdana" w:eastAsia="Calibri" w:hAnsi="Verdana" w:cs="Arial"/>
      <w:sz w:val="16"/>
      <w:szCs w:val="16"/>
      <w:lang w:val="sl-SI"/>
    </w:rPr>
  </w:style>
  <w:style w:type="character" w:customStyle="1" w:styleId="Telobesedila-zamik3Znak">
    <w:name w:val="Telo besedila - zamik 3 Znak"/>
    <w:basedOn w:val="Privzetapisavaodstavka"/>
    <w:link w:val="Telobesedila-zamik3"/>
    <w:uiPriority w:val="99"/>
    <w:rsid w:val="00993FB7"/>
    <w:rPr>
      <w:rFonts w:ascii="Verdana" w:eastAsia="Calibri" w:hAnsi="Verdana" w:cs="Arial"/>
      <w:sz w:val="16"/>
      <w:szCs w:val="16"/>
      <w:lang w:eastAsia="en-US"/>
    </w:rPr>
  </w:style>
  <w:style w:type="character" w:customStyle="1" w:styleId="BodyTextIndent3Char">
    <w:name w:val="Body Text Indent 3 Char"/>
    <w:uiPriority w:val="99"/>
    <w:semiHidden/>
    <w:rsid w:val="00993FB7"/>
    <w:rPr>
      <w:sz w:val="16"/>
      <w:szCs w:val="16"/>
      <w:lang w:eastAsia="en-US"/>
    </w:rPr>
  </w:style>
  <w:style w:type="paragraph" w:customStyle="1" w:styleId="TekstPRO">
    <w:name w:val="Tekst PRO"/>
    <w:basedOn w:val="Navaden"/>
    <w:uiPriority w:val="99"/>
    <w:semiHidden/>
    <w:unhideWhenUsed/>
    <w:rsid w:val="00993FB7"/>
    <w:pPr>
      <w:spacing w:line="240" w:lineRule="auto"/>
      <w:jc w:val="both"/>
    </w:pPr>
    <w:rPr>
      <w:rFonts w:cs="Tahoma"/>
      <w:sz w:val="22"/>
      <w:lang w:val="sl-SI" w:eastAsia="sl-SI"/>
    </w:rPr>
  </w:style>
  <w:style w:type="character" w:customStyle="1" w:styleId="atn">
    <w:name w:val="atn"/>
    <w:basedOn w:val="Privzetapisavaodstavka"/>
    <w:rsid w:val="00993FB7"/>
  </w:style>
  <w:style w:type="paragraph" w:styleId="Golobesedilo">
    <w:name w:val="Plain Text"/>
    <w:basedOn w:val="Navaden"/>
    <w:link w:val="GolobesediloZnak"/>
    <w:uiPriority w:val="99"/>
    <w:unhideWhenUsed/>
    <w:rsid w:val="00993FB7"/>
    <w:pPr>
      <w:spacing w:line="240" w:lineRule="auto"/>
      <w:jc w:val="both"/>
    </w:pPr>
    <w:rPr>
      <w:rFonts w:ascii="Courier New" w:hAnsi="Courier New" w:cs="Arial"/>
      <w:szCs w:val="20"/>
      <w:lang w:val="sl-SI" w:eastAsia="sl-SI"/>
    </w:rPr>
  </w:style>
  <w:style w:type="character" w:customStyle="1" w:styleId="GolobesediloZnak">
    <w:name w:val="Golo besedilo Znak"/>
    <w:basedOn w:val="Privzetapisavaodstavka"/>
    <w:link w:val="Golobesedilo"/>
    <w:uiPriority w:val="99"/>
    <w:rsid w:val="00993FB7"/>
    <w:rPr>
      <w:rFonts w:ascii="Courier New" w:hAnsi="Courier New" w:cs="Arial"/>
    </w:rPr>
  </w:style>
  <w:style w:type="character" w:customStyle="1" w:styleId="A3">
    <w:name w:val="A3"/>
    <w:uiPriority w:val="99"/>
    <w:rsid w:val="00993FB7"/>
    <w:rPr>
      <w:rFonts w:cs="BVLMP L+ Gill Sans Std"/>
      <w:b/>
      <w:bCs/>
      <w:color w:val="000000"/>
      <w:sz w:val="48"/>
      <w:szCs w:val="48"/>
    </w:rPr>
  </w:style>
  <w:style w:type="paragraph" w:styleId="Telobesedila3">
    <w:name w:val="Body Text 3"/>
    <w:basedOn w:val="Navaden"/>
    <w:link w:val="Telobesedila3Znak"/>
    <w:uiPriority w:val="99"/>
    <w:rsid w:val="00993FB7"/>
    <w:pPr>
      <w:spacing w:after="120" w:line="240" w:lineRule="auto"/>
      <w:ind w:left="840" w:right="-240"/>
      <w:jc w:val="both"/>
    </w:pPr>
    <w:rPr>
      <w:rFonts w:ascii="Times New Roman" w:hAnsi="Times New Roman" w:cs="Arial"/>
      <w:sz w:val="16"/>
      <w:szCs w:val="16"/>
      <w:lang w:val="sl-SI" w:eastAsia="sl-SI"/>
    </w:rPr>
  </w:style>
  <w:style w:type="character" w:customStyle="1" w:styleId="Telobesedila3Znak">
    <w:name w:val="Telo besedila 3 Znak"/>
    <w:basedOn w:val="Privzetapisavaodstavka"/>
    <w:link w:val="Telobesedila3"/>
    <w:uiPriority w:val="99"/>
    <w:rsid w:val="00993FB7"/>
    <w:rPr>
      <w:rFonts w:cs="Arial"/>
      <w:sz w:val="16"/>
      <w:szCs w:val="16"/>
    </w:rPr>
  </w:style>
  <w:style w:type="character" w:customStyle="1" w:styleId="navadnicrnitext">
    <w:name w:val="navadni_crni_text"/>
    <w:basedOn w:val="Privzetapisavaodstavka"/>
    <w:uiPriority w:val="99"/>
    <w:semiHidden/>
    <w:unhideWhenUsed/>
    <w:rsid w:val="00993FB7"/>
  </w:style>
  <w:style w:type="paragraph" w:styleId="HTMLnaslov">
    <w:name w:val="HTML Address"/>
    <w:basedOn w:val="Navaden"/>
    <w:link w:val="HTMLnaslovZnak"/>
    <w:uiPriority w:val="99"/>
    <w:unhideWhenUsed/>
    <w:rsid w:val="00993FB7"/>
    <w:pPr>
      <w:spacing w:line="240" w:lineRule="auto"/>
      <w:jc w:val="both"/>
    </w:pPr>
    <w:rPr>
      <w:rFonts w:ascii="Times New Roman" w:hAnsi="Times New Roman" w:cs="Arial"/>
      <w:i/>
      <w:iCs/>
      <w:sz w:val="24"/>
      <w:lang w:val="sl-SI" w:eastAsia="sl-SI"/>
    </w:rPr>
  </w:style>
  <w:style w:type="character" w:customStyle="1" w:styleId="HTMLnaslovZnak">
    <w:name w:val="HTML naslov Znak"/>
    <w:basedOn w:val="Privzetapisavaodstavka"/>
    <w:link w:val="HTMLnaslov"/>
    <w:uiPriority w:val="99"/>
    <w:rsid w:val="00993FB7"/>
    <w:rPr>
      <w:rFonts w:cs="Arial"/>
      <w:i/>
      <w:iCs/>
      <w:sz w:val="24"/>
      <w:szCs w:val="24"/>
    </w:rPr>
  </w:style>
  <w:style w:type="paragraph" w:customStyle="1" w:styleId="CM1">
    <w:name w:val="CM1"/>
    <w:basedOn w:val="Default"/>
    <w:next w:val="Default"/>
    <w:uiPriority w:val="99"/>
    <w:rsid w:val="00993FB7"/>
    <w:rPr>
      <w:rFonts w:ascii="EUAlbertina" w:eastAsia="Calibri" w:hAnsi="EUAlbertina" w:cs="Times New Roman"/>
      <w:color w:val="auto"/>
      <w:lang w:eastAsia="sl-SI"/>
    </w:rPr>
  </w:style>
  <w:style w:type="paragraph" w:customStyle="1" w:styleId="CM3">
    <w:name w:val="CM3"/>
    <w:basedOn w:val="Default"/>
    <w:next w:val="Default"/>
    <w:uiPriority w:val="99"/>
    <w:rsid w:val="00993FB7"/>
    <w:rPr>
      <w:rFonts w:ascii="EUAlbertina" w:eastAsia="Calibri" w:hAnsi="EUAlbertina" w:cs="Times New Roman"/>
      <w:color w:val="auto"/>
      <w:lang w:eastAsia="sl-SI"/>
    </w:rPr>
  </w:style>
  <w:style w:type="paragraph" w:customStyle="1" w:styleId="CM4">
    <w:name w:val="CM4"/>
    <w:basedOn w:val="Default"/>
    <w:next w:val="Default"/>
    <w:uiPriority w:val="99"/>
    <w:rsid w:val="00993FB7"/>
    <w:rPr>
      <w:rFonts w:ascii="EUAlbertina" w:eastAsia="Calibri" w:hAnsi="EUAlbertina" w:cs="Times New Roman"/>
      <w:color w:val="auto"/>
      <w:lang w:eastAsia="sl-SI"/>
    </w:rPr>
  </w:style>
  <w:style w:type="character" w:customStyle="1" w:styleId="indicatorreportsubsectiontitletext">
    <w:name w:val="indicator_report_subsection_title_text"/>
    <w:basedOn w:val="Privzetapisavaodstavka"/>
    <w:uiPriority w:val="99"/>
    <w:unhideWhenUsed/>
    <w:rsid w:val="00993FB7"/>
  </w:style>
  <w:style w:type="paragraph" w:customStyle="1" w:styleId="esegmenth4">
    <w:name w:val="esegment_h4"/>
    <w:basedOn w:val="Navaden"/>
    <w:uiPriority w:val="99"/>
    <w:rsid w:val="00993FB7"/>
    <w:pPr>
      <w:spacing w:before="100" w:beforeAutospacing="1" w:after="100" w:afterAutospacing="1" w:line="240" w:lineRule="auto"/>
      <w:jc w:val="both"/>
    </w:pPr>
    <w:rPr>
      <w:rFonts w:ascii="Times New Roman" w:hAnsi="Times New Roman" w:cs="Arial"/>
      <w:sz w:val="24"/>
      <w:lang w:val="sl-SI" w:eastAsia="sl-SI"/>
    </w:rPr>
  </w:style>
  <w:style w:type="paragraph" w:customStyle="1" w:styleId="ZnakZnak1">
    <w:name w:val="Znak Znak1"/>
    <w:basedOn w:val="Navaden"/>
    <w:uiPriority w:val="99"/>
    <w:unhideWhenUsed/>
    <w:rsid w:val="00993FB7"/>
    <w:pPr>
      <w:spacing w:line="240" w:lineRule="auto"/>
      <w:jc w:val="both"/>
    </w:pPr>
    <w:rPr>
      <w:rFonts w:ascii="Times New Roman" w:hAnsi="Times New Roman" w:cs="Arial"/>
      <w:sz w:val="24"/>
      <w:lang w:val="pl-PL" w:eastAsia="pl-PL"/>
    </w:rPr>
  </w:style>
  <w:style w:type="character" w:customStyle="1" w:styleId="shorttext">
    <w:name w:val="short_text"/>
    <w:basedOn w:val="Privzetapisavaodstavka"/>
    <w:unhideWhenUsed/>
    <w:rsid w:val="00993FB7"/>
  </w:style>
  <w:style w:type="numbering" w:customStyle="1" w:styleId="IPPO">
    <w:name w:val="ŞIPPO"/>
    <w:uiPriority w:val="99"/>
    <w:rsid w:val="00993FB7"/>
    <w:pPr>
      <w:numPr>
        <w:numId w:val="9"/>
      </w:numPr>
    </w:pPr>
  </w:style>
  <w:style w:type="paragraph" w:customStyle="1" w:styleId="Pa6">
    <w:name w:val="Pa6"/>
    <w:basedOn w:val="Default"/>
    <w:next w:val="Default"/>
    <w:uiPriority w:val="99"/>
    <w:rsid w:val="00993FB7"/>
    <w:pPr>
      <w:spacing w:line="241" w:lineRule="atLeast"/>
    </w:pPr>
    <w:rPr>
      <w:rFonts w:ascii="Myriad Pro Light" w:eastAsia="Calibri" w:hAnsi="Myriad Pro Light" w:cs="Times New Roman"/>
      <w:color w:val="auto"/>
      <w:lang w:eastAsia="sl-SI"/>
    </w:rPr>
  </w:style>
  <w:style w:type="character" w:customStyle="1" w:styleId="A2">
    <w:name w:val="A2"/>
    <w:uiPriority w:val="99"/>
    <w:rsid w:val="00993FB7"/>
    <w:rPr>
      <w:rFonts w:cs="Myriad Pro Light"/>
      <w:color w:val="000000"/>
      <w:sz w:val="20"/>
      <w:szCs w:val="20"/>
    </w:rPr>
  </w:style>
  <w:style w:type="character" w:customStyle="1" w:styleId="highlight1">
    <w:name w:val="highlight1"/>
    <w:basedOn w:val="Privzetapisavaodstavka"/>
    <w:rsid w:val="00993FB7"/>
    <w:rPr>
      <w:shd w:val="clear" w:color="auto" w:fill="FFFF88"/>
    </w:rPr>
  </w:style>
  <w:style w:type="paragraph" w:customStyle="1" w:styleId="len1">
    <w:name w:val="len1"/>
    <w:basedOn w:val="Navaden"/>
    <w:rsid w:val="00993FB7"/>
    <w:pPr>
      <w:spacing w:before="480" w:line="240" w:lineRule="auto"/>
      <w:jc w:val="center"/>
    </w:pPr>
    <w:rPr>
      <w:rFonts w:cs="Arial"/>
      <w:b/>
      <w:bCs/>
      <w:sz w:val="22"/>
      <w:szCs w:val="22"/>
      <w:lang w:val="sl-SI" w:eastAsia="sl-SI"/>
    </w:rPr>
  </w:style>
  <w:style w:type="paragraph" w:customStyle="1" w:styleId="lennaslov1">
    <w:name w:val="lennaslov1"/>
    <w:basedOn w:val="Navaden"/>
    <w:rsid w:val="00993FB7"/>
    <w:pPr>
      <w:spacing w:line="240" w:lineRule="auto"/>
      <w:jc w:val="center"/>
    </w:pPr>
    <w:rPr>
      <w:rFonts w:cs="Arial"/>
      <w:b/>
      <w:bCs/>
      <w:sz w:val="22"/>
      <w:szCs w:val="22"/>
      <w:lang w:val="sl-SI" w:eastAsia="sl-SI"/>
    </w:rPr>
  </w:style>
  <w:style w:type="paragraph" w:customStyle="1" w:styleId="ZnakZnak2ZnakZnakZnakZnakZnakZnakZnakZnakZnakZnakZnakZnakZnakZnakZnakZnakZnakZnak">
    <w:name w:val="Znak Znak2 Znak Znak Znak Znak Znak Znak Znak Znak Znak Znak Znak Znak Znak Znak Znak Znak Znak Znak"/>
    <w:basedOn w:val="Navaden"/>
    <w:rsid w:val="00993FB7"/>
    <w:pPr>
      <w:spacing w:line="240" w:lineRule="auto"/>
    </w:pPr>
    <w:rPr>
      <w:rFonts w:ascii="Times New Roman" w:hAnsi="Times New Roman"/>
      <w:sz w:val="24"/>
      <w:lang w:val="pl-PL" w:eastAsia="pl-PL"/>
    </w:rPr>
  </w:style>
  <w:style w:type="paragraph" w:customStyle="1" w:styleId="CharChar1Char">
    <w:name w:val="Char Char1 Char"/>
    <w:basedOn w:val="Navaden"/>
    <w:uiPriority w:val="99"/>
    <w:rsid w:val="00993FB7"/>
    <w:pPr>
      <w:spacing w:line="240" w:lineRule="auto"/>
    </w:pPr>
    <w:rPr>
      <w:rFonts w:ascii="Times New Roman" w:hAnsi="Times New Roman"/>
      <w:sz w:val="24"/>
      <w:lang w:val="pl-PL" w:eastAsia="pl-PL"/>
    </w:rPr>
  </w:style>
  <w:style w:type="paragraph" w:customStyle="1" w:styleId="alineazaodstavkom1">
    <w:name w:val="alineazaodstavkom1"/>
    <w:basedOn w:val="Navaden"/>
    <w:rsid w:val="00993FB7"/>
    <w:pPr>
      <w:spacing w:line="240" w:lineRule="auto"/>
      <w:ind w:left="425" w:hanging="425"/>
      <w:jc w:val="both"/>
    </w:pPr>
    <w:rPr>
      <w:rFonts w:cs="Arial"/>
      <w:sz w:val="22"/>
      <w:szCs w:val="22"/>
      <w:lang w:val="sl-SI" w:eastAsia="sl-SI"/>
    </w:rPr>
  </w:style>
  <w:style w:type="table" w:customStyle="1" w:styleId="Svetlosenenjepoudarek31">
    <w:name w:val="Svetlo senčenje – poudarek 31"/>
    <w:basedOn w:val="Navadnatabela"/>
    <w:next w:val="Svetlosenenjepoudarek3"/>
    <w:uiPriority w:val="60"/>
    <w:rsid w:val="00993FB7"/>
    <w:rPr>
      <w:rFonts w:ascii="Calibri" w:eastAsia="Calibri" w:hAnsi="Calibri"/>
      <w:color w:val="76923C"/>
      <w:sz w:val="22"/>
      <w:szCs w:val="22"/>
      <w:lang w:eastAsia="en-US"/>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Svetlosenenjepoudarek51">
    <w:name w:val="Svetlo senčenje – poudarek 51"/>
    <w:basedOn w:val="Navadnatabela"/>
    <w:next w:val="Svetlosenenjepoudarek5"/>
    <w:uiPriority w:val="60"/>
    <w:rsid w:val="00993FB7"/>
    <w:rPr>
      <w:rFonts w:ascii="Calibri" w:eastAsia="Calibri" w:hAnsi="Calibri"/>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customStyle="1" w:styleId="rkovnatokazatevilnotoko1">
    <w:name w:val="rkovnatokazatevilnotoko1"/>
    <w:basedOn w:val="Navaden"/>
    <w:rsid w:val="00993FB7"/>
    <w:pPr>
      <w:spacing w:line="240" w:lineRule="auto"/>
      <w:ind w:left="782" w:hanging="356"/>
      <w:jc w:val="both"/>
    </w:pPr>
    <w:rPr>
      <w:rFonts w:cs="Arial"/>
      <w:sz w:val="22"/>
      <w:szCs w:val="22"/>
      <w:lang w:val="sl-SI" w:eastAsia="sl-SI"/>
    </w:rPr>
  </w:style>
  <w:style w:type="paragraph" w:customStyle="1" w:styleId="0tekst">
    <w:name w:val="0tekst"/>
    <w:basedOn w:val="Navaden"/>
    <w:rsid w:val="00993FB7"/>
    <w:pPr>
      <w:spacing w:before="30" w:after="8" w:line="240" w:lineRule="auto"/>
      <w:ind w:left="8" w:right="8"/>
    </w:pPr>
    <w:rPr>
      <w:rFonts w:cs="Arial"/>
      <w:color w:val="222222"/>
      <w:sz w:val="9"/>
      <w:szCs w:val="9"/>
      <w:lang w:val="sl-SI" w:eastAsia="sl-SI"/>
    </w:rPr>
  </w:style>
  <w:style w:type="character" w:customStyle="1" w:styleId="highlight">
    <w:name w:val="highlight"/>
    <w:basedOn w:val="Privzetapisavaodstavka"/>
    <w:rsid w:val="00993FB7"/>
  </w:style>
  <w:style w:type="paragraph" w:customStyle="1" w:styleId="Style5">
    <w:name w:val="Style5"/>
    <w:basedOn w:val="Navaden"/>
    <w:uiPriority w:val="99"/>
    <w:rsid w:val="00993FB7"/>
    <w:pPr>
      <w:widowControl w:val="0"/>
      <w:autoSpaceDE w:val="0"/>
      <w:autoSpaceDN w:val="0"/>
      <w:adjustRightInd w:val="0"/>
      <w:spacing w:line="293" w:lineRule="exact"/>
      <w:ind w:hanging="274"/>
    </w:pPr>
    <w:rPr>
      <w:rFonts w:ascii="Calibri" w:hAnsi="Calibri"/>
      <w:sz w:val="24"/>
      <w:lang w:val="sl-SI" w:eastAsia="sl-SI"/>
    </w:rPr>
  </w:style>
  <w:style w:type="paragraph" w:customStyle="1" w:styleId="Style9">
    <w:name w:val="Style9"/>
    <w:basedOn w:val="Navaden"/>
    <w:uiPriority w:val="99"/>
    <w:rsid w:val="00993FB7"/>
    <w:pPr>
      <w:widowControl w:val="0"/>
      <w:autoSpaceDE w:val="0"/>
      <w:autoSpaceDN w:val="0"/>
      <w:adjustRightInd w:val="0"/>
      <w:spacing w:line="295" w:lineRule="exact"/>
    </w:pPr>
    <w:rPr>
      <w:rFonts w:ascii="Calibri" w:hAnsi="Calibri"/>
      <w:sz w:val="24"/>
      <w:lang w:val="sl-SI" w:eastAsia="sl-SI"/>
    </w:rPr>
  </w:style>
  <w:style w:type="paragraph" w:customStyle="1" w:styleId="Style10">
    <w:name w:val="Style10"/>
    <w:basedOn w:val="Navaden"/>
    <w:uiPriority w:val="99"/>
    <w:rsid w:val="00993FB7"/>
    <w:pPr>
      <w:widowControl w:val="0"/>
      <w:autoSpaceDE w:val="0"/>
      <w:autoSpaceDN w:val="0"/>
      <w:adjustRightInd w:val="0"/>
      <w:spacing w:line="288" w:lineRule="exact"/>
      <w:ind w:hanging="413"/>
    </w:pPr>
    <w:rPr>
      <w:rFonts w:ascii="Calibri" w:hAnsi="Calibri"/>
      <w:sz w:val="24"/>
      <w:lang w:val="sl-SI" w:eastAsia="sl-SI"/>
    </w:rPr>
  </w:style>
  <w:style w:type="paragraph" w:customStyle="1" w:styleId="Style11">
    <w:name w:val="Style11"/>
    <w:basedOn w:val="Navaden"/>
    <w:uiPriority w:val="99"/>
    <w:rsid w:val="00993FB7"/>
    <w:pPr>
      <w:widowControl w:val="0"/>
      <w:autoSpaceDE w:val="0"/>
      <w:autoSpaceDN w:val="0"/>
      <w:adjustRightInd w:val="0"/>
      <w:spacing w:line="317" w:lineRule="exact"/>
      <w:jc w:val="both"/>
    </w:pPr>
    <w:rPr>
      <w:rFonts w:ascii="Calibri" w:hAnsi="Calibri"/>
      <w:sz w:val="24"/>
      <w:lang w:val="sl-SI" w:eastAsia="sl-SI"/>
    </w:rPr>
  </w:style>
  <w:style w:type="paragraph" w:customStyle="1" w:styleId="Style13">
    <w:name w:val="Style13"/>
    <w:basedOn w:val="Navaden"/>
    <w:uiPriority w:val="99"/>
    <w:rsid w:val="00993FB7"/>
    <w:pPr>
      <w:widowControl w:val="0"/>
      <w:autoSpaceDE w:val="0"/>
      <w:autoSpaceDN w:val="0"/>
      <w:adjustRightInd w:val="0"/>
      <w:spacing w:line="293" w:lineRule="exact"/>
      <w:ind w:hanging="1416"/>
    </w:pPr>
    <w:rPr>
      <w:rFonts w:ascii="Calibri" w:hAnsi="Calibri"/>
      <w:sz w:val="24"/>
      <w:lang w:val="sl-SI" w:eastAsia="sl-SI"/>
    </w:rPr>
  </w:style>
  <w:style w:type="paragraph" w:customStyle="1" w:styleId="Style15">
    <w:name w:val="Style15"/>
    <w:basedOn w:val="Navaden"/>
    <w:uiPriority w:val="99"/>
    <w:rsid w:val="00993FB7"/>
    <w:pPr>
      <w:widowControl w:val="0"/>
      <w:autoSpaceDE w:val="0"/>
      <w:autoSpaceDN w:val="0"/>
      <w:adjustRightInd w:val="0"/>
      <w:spacing w:line="291" w:lineRule="exact"/>
      <w:ind w:hanging="413"/>
      <w:jc w:val="both"/>
    </w:pPr>
    <w:rPr>
      <w:rFonts w:ascii="Calibri" w:hAnsi="Calibri"/>
      <w:sz w:val="24"/>
      <w:lang w:val="sl-SI" w:eastAsia="sl-SI"/>
    </w:rPr>
  </w:style>
  <w:style w:type="character" w:customStyle="1" w:styleId="FontStyle47">
    <w:name w:val="Font Style47"/>
    <w:basedOn w:val="Privzetapisavaodstavka"/>
    <w:uiPriority w:val="99"/>
    <w:rsid w:val="00993FB7"/>
    <w:rPr>
      <w:rFonts w:ascii="Calibri" w:hAnsi="Calibri" w:cs="Calibri"/>
      <w:b/>
      <w:bCs/>
      <w:sz w:val="24"/>
      <w:szCs w:val="24"/>
    </w:rPr>
  </w:style>
  <w:style w:type="character" w:customStyle="1" w:styleId="FontStyle48">
    <w:name w:val="Font Style48"/>
    <w:basedOn w:val="Privzetapisavaodstavka"/>
    <w:uiPriority w:val="99"/>
    <w:rsid w:val="00993FB7"/>
    <w:rPr>
      <w:rFonts w:ascii="Calibri" w:hAnsi="Calibri" w:cs="Calibri"/>
      <w:sz w:val="24"/>
      <w:szCs w:val="24"/>
    </w:rPr>
  </w:style>
  <w:style w:type="paragraph" w:customStyle="1" w:styleId="Style17">
    <w:name w:val="Style17"/>
    <w:basedOn w:val="Navaden"/>
    <w:uiPriority w:val="99"/>
    <w:rsid w:val="00993FB7"/>
    <w:pPr>
      <w:widowControl w:val="0"/>
      <w:autoSpaceDE w:val="0"/>
      <w:autoSpaceDN w:val="0"/>
      <w:adjustRightInd w:val="0"/>
      <w:spacing w:line="293" w:lineRule="exact"/>
      <w:jc w:val="both"/>
    </w:pPr>
    <w:rPr>
      <w:rFonts w:ascii="Calibri" w:hAnsi="Calibri"/>
      <w:sz w:val="24"/>
      <w:lang w:val="sl-SI" w:eastAsia="sl-SI"/>
    </w:rPr>
  </w:style>
  <w:style w:type="paragraph" w:customStyle="1" w:styleId="Style18">
    <w:name w:val="Style18"/>
    <w:basedOn w:val="Navaden"/>
    <w:uiPriority w:val="99"/>
    <w:rsid w:val="00993FB7"/>
    <w:pPr>
      <w:widowControl w:val="0"/>
      <w:autoSpaceDE w:val="0"/>
      <w:autoSpaceDN w:val="0"/>
      <w:adjustRightInd w:val="0"/>
      <w:spacing w:line="291" w:lineRule="exact"/>
      <w:ind w:hanging="264"/>
      <w:jc w:val="both"/>
    </w:pPr>
    <w:rPr>
      <w:rFonts w:ascii="Calibri" w:hAnsi="Calibri"/>
      <w:sz w:val="24"/>
      <w:lang w:val="sl-SI" w:eastAsia="sl-SI"/>
    </w:rPr>
  </w:style>
  <w:style w:type="paragraph" w:customStyle="1" w:styleId="Style19">
    <w:name w:val="Style19"/>
    <w:basedOn w:val="Navaden"/>
    <w:uiPriority w:val="99"/>
    <w:rsid w:val="00993FB7"/>
    <w:pPr>
      <w:widowControl w:val="0"/>
      <w:autoSpaceDE w:val="0"/>
      <w:autoSpaceDN w:val="0"/>
      <w:adjustRightInd w:val="0"/>
      <w:spacing w:line="293" w:lineRule="exact"/>
      <w:jc w:val="both"/>
    </w:pPr>
    <w:rPr>
      <w:rFonts w:ascii="Calibri" w:hAnsi="Calibri"/>
      <w:sz w:val="24"/>
      <w:lang w:val="sl-SI" w:eastAsia="sl-SI"/>
    </w:rPr>
  </w:style>
  <w:style w:type="paragraph" w:customStyle="1" w:styleId="Style20">
    <w:name w:val="Style20"/>
    <w:basedOn w:val="Navaden"/>
    <w:uiPriority w:val="99"/>
    <w:rsid w:val="00993FB7"/>
    <w:pPr>
      <w:widowControl w:val="0"/>
      <w:autoSpaceDE w:val="0"/>
      <w:autoSpaceDN w:val="0"/>
      <w:adjustRightInd w:val="0"/>
      <w:spacing w:line="240" w:lineRule="auto"/>
    </w:pPr>
    <w:rPr>
      <w:rFonts w:ascii="Calibri" w:hAnsi="Calibri"/>
      <w:sz w:val="24"/>
      <w:lang w:val="sl-SI" w:eastAsia="sl-SI"/>
    </w:rPr>
  </w:style>
  <w:style w:type="paragraph" w:customStyle="1" w:styleId="Style22">
    <w:name w:val="Style22"/>
    <w:basedOn w:val="Navaden"/>
    <w:uiPriority w:val="99"/>
    <w:rsid w:val="00993FB7"/>
    <w:pPr>
      <w:widowControl w:val="0"/>
      <w:autoSpaceDE w:val="0"/>
      <w:autoSpaceDN w:val="0"/>
      <w:adjustRightInd w:val="0"/>
      <w:spacing w:line="293" w:lineRule="exact"/>
      <w:jc w:val="both"/>
    </w:pPr>
    <w:rPr>
      <w:rFonts w:ascii="Calibri" w:hAnsi="Calibri"/>
      <w:sz w:val="24"/>
      <w:lang w:val="sl-SI" w:eastAsia="sl-SI"/>
    </w:rPr>
  </w:style>
  <w:style w:type="character" w:customStyle="1" w:styleId="FontStyle49">
    <w:name w:val="Font Style49"/>
    <w:basedOn w:val="Privzetapisavaodstavka"/>
    <w:uiPriority w:val="99"/>
    <w:rsid w:val="00993FB7"/>
    <w:rPr>
      <w:rFonts w:ascii="Calibri" w:hAnsi="Calibri" w:cs="Calibri"/>
      <w:i/>
      <w:iCs/>
      <w:sz w:val="24"/>
      <w:szCs w:val="24"/>
    </w:rPr>
  </w:style>
  <w:style w:type="character" w:customStyle="1" w:styleId="FontStyle50">
    <w:name w:val="Font Style50"/>
    <w:basedOn w:val="Privzetapisavaodstavka"/>
    <w:uiPriority w:val="99"/>
    <w:rsid w:val="00993FB7"/>
    <w:rPr>
      <w:rFonts w:ascii="Calibri" w:hAnsi="Calibri" w:cs="Calibri"/>
      <w:b/>
      <w:bCs/>
      <w:i/>
      <w:iCs/>
      <w:sz w:val="24"/>
      <w:szCs w:val="24"/>
    </w:rPr>
  </w:style>
  <w:style w:type="character" w:customStyle="1" w:styleId="FontStyle51">
    <w:name w:val="Font Style51"/>
    <w:basedOn w:val="Privzetapisavaodstavka"/>
    <w:uiPriority w:val="99"/>
    <w:rsid w:val="00993FB7"/>
    <w:rPr>
      <w:rFonts w:ascii="Calibri" w:hAnsi="Calibri" w:cs="Calibri"/>
      <w:sz w:val="18"/>
      <w:szCs w:val="18"/>
    </w:rPr>
  </w:style>
  <w:style w:type="paragraph" w:customStyle="1" w:styleId="tevilnatoka0">
    <w:name w:val="tevilnatoka"/>
    <w:basedOn w:val="Navaden"/>
    <w:rsid w:val="00993FB7"/>
    <w:pPr>
      <w:spacing w:before="100" w:beforeAutospacing="1" w:after="100" w:afterAutospacing="1" w:line="240" w:lineRule="auto"/>
    </w:pPr>
    <w:rPr>
      <w:rFonts w:ascii="Times New Roman" w:hAnsi="Times New Roman"/>
      <w:sz w:val="24"/>
      <w:lang w:val="sl-SI" w:eastAsia="sl-SI"/>
    </w:rPr>
  </w:style>
  <w:style w:type="paragraph" w:customStyle="1" w:styleId="Style3">
    <w:name w:val="Style3"/>
    <w:basedOn w:val="Navaden"/>
    <w:uiPriority w:val="99"/>
    <w:rsid w:val="00993FB7"/>
    <w:pPr>
      <w:widowControl w:val="0"/>
      <w:autoSpaceDE w:val="0"/>
      <w:autoSpaceDN w:val="0"/>
      <w:adjustRightInd w:val="0"/>
      <w:spacing w:line="254" w:lineRule="exact"/>
      <w:jc w:val="both"/>
    </w:pPr>
    <w:rPr>
      <w:rFonts w:ascii="Times New Roman" w:hAnsi="Times New Roman"/>
      <w:sz w:val="24"/>
      <w:lang w:val="sl-SI" w:eastAsia="sl-SI"/>
    </w:rPr>
  </w:style>
  <w:style w:type="character" w:customStyle="1" w:styleId="FontStyle16">
    <w:name w:val="Font Style16"/>
    <w:basedOn w:val="Privzetapisavaodstavka"/>
    <w:uiPriority w:val="99"/>
    <w:rsid w:val="00993FB7"/>
    <w:rPr>
      <w:rFonts w:ascii="Times New Roman" w:hAnsi="Times New Roman" w:cs="Times New Roman"/>
      <w:sz w:val="20"/>
      <w:szCs w:val="20"/>
    </w:rPr>
  </w:style>
  <w:style w:type="table" w:customStyle="1" w:styleId="Tabelamrea111">
    <w:name w:val="Tabela – mreža111"/>
    <w:basedOn w:val="Navadnatabela"/>
    <w:next w:val="Tabelamrea"/>
    <w:uiPriority w:val="59"/>
    <w:rsid w:val="00993FB7"/>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mrea31">
    <w:name w:val="Tabela – mreža31"/>
    <w:basedOn w:val="Navadnatabela"/>
    <w:next w:val="Tabelamrea"/>
    <w:uiPriority w:val="59"/>
    <w:rsid w:val="00993FB7"/>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mrea4">
    <w:name w:val="Tabela – mreža4"/>
    <w:basedOn w:val="Navadnatabela"/>
    <w:next w:val="Tabelamrea"/>
    <w:uiPriority w:val="59"/>
    <w:rsid w:val="00993FB7"/>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mrea5">
    <w:name w:val="Tabela – mreža5"/>
    <w:basedOn w:val="Navadnatabela"/>
    <w:next w:val="Tabelamrea"/>
    <w:uiPriority w:val="59"/>
    <w:rsid w:val="00993FB7"/>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mrea6">
    <w:name w:val="Tabela – mreža6"/>
    <w:basedOn w:val="Navadnatabela"/>
    <w:next w:val="Tabelamrea"/>
    <w:uiPriority w:val="59"/>
    <w:rsid w:val="00993FB7"/>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Oznaenseznam">
    <w:name w:val="List Bullet"/>
    <w:basedOn w:val="Navaden"/>
    <w:uiPriority w:val="99"/>
    <w:unhideWhenUsed/>
    <w:rsid w:val="00993FB7"/>
    <w:pPr>
      <w:numPr>
        <w:numId w:val="11"/>
      </w:numPr>
      <w:spacing w:line="240" w:lineRule="auto"/>
      <w:contextualSpacing/>
      <w:jc w:val="both"/>
    </w:pPr>
    <w:rPr>
      <w:rFonts w:ascii="Verdana" w:eastAsia="Calibri" w:hAnsi="Verdana" w:cs="Arial"/>
      <w:sz w:val="22"/>
      <w:lang w:val="sl-SI"/>
    </w:rPr>
  </w:style>
  <w:style w:type="paragraph" w:customStyle="1" w:styleId="align-justify">
    <w:name w:val="align-justify"/>
    <w:basedOn w:val="Navaden"/>
    <w:rsid w:val="00993FB7"/>
    <w:pPr>
      <w:spacing w:before="100" w:beforeAutospacing="1" w:after="100" w:afterAutospacing="1" w:line="240" w:lineRule="auto"/>
    </w:pPr>
    <w:rPr>
      <w:rFonts w:ascii="Times New Roman" w:hAnsi="Times New Roman"/>
      <w:sz w:val="24"/>
      <w:lang w:val="sl-SI" w:eastAsia="sl-SI"/>
    </w:rPr>
  </w:style>
  <w:style w:type="character" w:customStyle="1" w:styleId="titleblue">
    <w:name w:val="titleblue"/>
    <w:basedOn w:val="Privzetapisavaodstavka"/>
    <w:rsid w:val="00993FB7"/>
  </w:style>
  <w:style w:type="character" w:customStyle="1" w:styleId="Naslov2Znak1">
    <w:name w:val="Naslov 2 Znak1"/>
    <w:basedOn w:val="Privzetapisavaodstavka"/>
    <w:uiPriority w:val="9"/>
    <w:semiHidden/>
    <w:rsid w:val="00993FB7"/>
    <w:rPr>
      <w:rFonts w:asciiTheme="majorHAnsi" w:eastAsiaTheme="majorEastAsia" w:hAnsiTheme="majorHAnsi" w:cstheme="majorBidi"/>
      <w:b/>
      <w:bCs/>
      <w:color w:val="DDDDDD" w:themeColor="accent1"/>
      <w:sz w:val="26"/>
      <w:szCs w:val="26"/>
      <w:lang w:eastAsia="en-US"/>
    </w:rPr>
  </w:style>
  <w:style w:type="character" w:customStyle="1" w:styleId="Naslov3Znak1">
    <w:name w:val="Naslov 3 Znak1"/>
    <w:aliases w:val="Pvo-3 Znak1,PVO-3 Znak1"/>
    <w:basedOn w:val="Privzetapisavaodstavka"/>
    <w:uiPriority w:val="9"/>
    <w:semiHidden/>
    <w:rsid w:val="00993FB7"/>
    <w:rPr>
      <w:rFonts w:asciiTheme="majorHAnsi" w:eastAsiaTheme="majorEastAsia" w:hAnsiTheme="majorHAnsi" w:cstheme="majorBidi"/>
      <w:b/>
      <w:bCs/>
      <w:color w:val="DDDDDD" w:themeColor="accent1"/>
      <w:sz w:val="22"/>
      <w:szCs w:val="22"/>
      <w:lang w:eastAsia="en-US"/>
    </w:rPr>
  </w:style>
  <w:style w:type="table" w:styleId="Svetelseznampoudarek3">
    <w:name w:val="Light List Accent 3"/>
    <w:basedOn w:val="Navadnatabela"/>
    <w:uiPriority w:val="61"/>
    <w:rsid w:val="00993FB7"/>
    <w:rPr>
      <w:rFonts w:ascii="Calibri" w:eastAsia="Calibri" w:hAnsi="Calibri"/>
    </w:rPr>
    <w:tblPr>
      <w:tblStyleRowBandSize w:val="1"/>
      <w:tblStyleColBandSize w:val="1"/>
      <w:tblBorders>
        <w:top w:val="single" w:sz="8" w:space="0" w:color="969696" w:themeColor="accent3"/>
        <w:left w:val="single" w:sz="8" w:space="0" w:color="969696" w:themeColor="accent3"/>
        <w:bottom w:val="single" w:sz="8" w:space="0" w:color="969696" w:themeColor="accent3"/>
        <w:right w:val="single" w:sz="8" w:space="0" w:color="969696" w:themeColor="accent3"/>
      </w:tblBorders>
    </w:tblPr>
    <w:tblStylePr w:type="firstRow">
      <w:pPr>
        <w:spacing w:before="0" w:after="0" w:line="240" w:lineRule="auto"/>
      </w:pPr>
      <w:rPr>
        <w:b/>
        <w:bCs/>
        <w:color w:val="FFFFFF" w:themeColor="background1"/>
      </w:rPr>
      <w:tblPr/>
      <w:tcPr>
        <w:shd w:val="clear" w:color="auto" w:fill="969696" w:themeFill="accent3"/>
      </w:tcPr>
    </w:tblStylePr>
    <w:tblStylePr w:type="lastRow">
      <w:pPr>
        <w:spacing w:before="0" w:after="0" w:line="240" w:lineRule="auto"/>
      </w:pPr>
      <w:rPr>
        <w:b/>
        <w:bCs/>
      </w:rPr>
      <w:tblPr/>
      <w:tcPr>
        <w:tcBorders>
          <w:top w:val="double" w:sz="6" w:space="0" w:color="969696" w:themeColor="accent3"/>
          <w:left w:val="single" w:sz="8" w:space="0" w:color="969696" w:themeColor="accent3"/>
          <w:bottom w:val="single" w:sz="8" w:space="0" w:color="969696" w:themeColor="accent3"/>
          <w:right w:val="single" w:sz="8" w:space="0" w:color="969696" w:themeColor="accent3"/>
        </w:tcBorders>
      </w:tcPr>
    </w:tblStylePr>
    <w:tblStylePr w:type="firstCol">
      <w:rPr>
        <w:b/>
        <w:bCs/>
      </w:rPr>
    </w:tblStylePr>
    <w:tblStylePr w:type="lastCol">
      <w:rPr>
        <w:b/>
        <w:bCs/>
      </w:rPr>
    </w:tblStylePr>
    <w:tblStylePr w:type="band1Vert">
      <w:tblPr/>
      <w:tcPr>
        <w:tcBorders>
          <w:top w:val="single" w:sz="8" w:space="0" w:color="969696" w:themeColor="accent3"/>
          <w:left w:val="single" w:sz="8" w:space="0" w:color="969696" w:themeColor="accent3"/>
          <w:bottom w:val="single" w:sz="8" w:space="0" w:color="969696" w:themeColor="accent3"/>
          <w:right w:val="single" w:sz="8" w:space="0" w:color="969696" w:themeColor="accent3"/>
        </w:tcBorders>
      </w:tcPr>
    </w:tblStylePr>
    <w:tblStylePr w:type="band1Horz">
      <w:tblPr/>
      <w:tcPr>
        <w:tcBorders>
          <w:top w:val="single" w:sz="8" w:space="0" w:color="969696" w:themeColor="accent3"/>
          <w:left w:val="single" w:sz="8" w:space="0" w:color="969696" w:themeColor="accent3"/>
          <w:bottom w:val="single" w:sz="8" w:space="0" w:color="969696" w:themeColor="accent3"/>
          <w:right w:val="single" w:sz="8" w:space="0" w:color="969696" w:themeColor="accent3"/>
        </w:tcBorders>
      </w:tcPr>
    </w:tblStylePr>
  </w:style>
  <w:style w:type="table" w:styleId="Svetlosenenjepoudarek3">
    <w:name w:val="Light Shading Accent 3"/>
    <w:basedOn w:val="Navadnatabela"/>
    <w:uiPriority w:val="60"/>
    <w:rsid w:val="00993FB7"/>
    <w:rPr>
      <w:rFonts w:ascii="Calibri" w:eastAsia="Calibri" w:hAnsi="Calibri"/>
      <w:color w:val="707070" w:themeColor="accent3" w:themeShade="BF"/>
    </w:rPr>
    <w:tblPr>
      <w:tblStyleRowBandSize w:val="1"/>
      <w:tblStyleColBandSize w:val="1"/>
      <w:tblBorders>
        <w:top w:val="single" w:sz="8" w:space="0" w:color="969696" w:themeColor="accent3"/>
        <w:bottom w:val="single" w:sz="8" w:space="0" w:color="969696" w:themeColor="accent3"/>
      </w:tblBorders>
    </w:tblPr>
    <w:tblStylePr w:type="firstRow">
      <w:pPr>
        <w:spacing w:before="0" w:after="0" w:line="240" w:lineRule="auto"/>
      </w:pPr>
      <w:rPr>
        <w:b/>
        <w:bCs/>
      </w:rPr>
      <w:tblPr/>
      <w:tcPr>
        <w:tcBorders>
          <w:top w:val="single" w:sz="8" w:space="0" w:color="969696" w:themeColor="accent3"/>
          <w:left w:val="nil"/>
          <w:bottom w:val="single" w:sz="8" w:space="0" w:color="969696" w:themeColor="accent3"/>
          <w:right w:val="nil"/>
          <w:insideH w:val="nil"/>
          <w:insideV w:val="nil"/>
        </w:tcBorders>
      </w:tcPr>
    </w:tblStylePr>
    <w:tblStylePr w:type="lastRow">
      <w:pPr>
        <w:spacing w:before="0" w:after="0" w:line="240" w:lineRule="auto"/>
      </w:pPr>
      <w:rPr>
        <w:b/>
        <w:bCs/>
      </w:rPr>
      <w:tblPr/>
      <w:tcPr>
        <w:tcBorders>
          <w:top w:val="single" w:sz="8" w:space="0" w:color="969696" w:themeColor="accent3"/>
          <w:left w:val="nil"/>
          <w:bottom w:val="single" w:sz="8" w:space="0" w:color="969696"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E5E5" w:themeFill="accent3" w:themeFillTint="3F"/>
      </w:tcPr>
    </w:tblStylePr>
    <w:tblStylePr w:type="band1Horz">
      <w:tblPr/>
      <w:tcPr>
        <w:tcBorders>
          <w:left w:val="nil"/>
          <w:right w:val="nil"/>
          <w:insideH w:val="nil"/>
          <w:insideV w:val="nil"/>
        </w:tcBorders>
        <w:shd w:val="clear" w:color="auto" w:fill="E5E5E5" w:themeFill="accent3" w:themeFillTint="3F"/>
      </w:tcPr>
    </w:tblStylePr>
  </w:style>
  <w:style w:type="table" w:styleId="Svetlosenenjepoudarek5">
    <w:name w:val="Light Shading Accent 5"/>
    <w:basedOn w:val="Navadnatabela"/>
    <w:uiPriority w:val="60"/>
    <w:rsid w:val="00993FB7"/>
    <w:rPr>
      <w:rFonts w:ascii="Calibri" w:eastAsia="Calibri" w:hAnsi="Calibri"/>
      <w:color w:val="474747" w:themeColor="accent5" w:themeShade="BF"/>
    </w:rPr>
    <w:tblPr>
      <w:tblStyleRowBandSize w:val="1"/>
      <w:tblStyleColBandSize w:val="1"/>
      <w:tblBorders>
        <w:top w:val="single" w:sz="8" w:space="0" w:color="5F5F5F" w:themeColor="accent5"/>
        <w:bottom w:val="single" w:sz="8" w:space="0" w:color="5F5F5F" w:themeColor="accent5"/>
      </w:tblBorders>
    </w:tblPr>
    <w:tblStylePr w:type="firstRow">
      <w:pPr>
        <w:spacing w:before="0" w:after="0" w:line="240" w:lineRule="auto"/>
      </w:pPr>
      <w:rPr>
        <w:b/>
        <w:bCs/>
      </w:rPr>
      <w:tblPr/>
      <w:tcPr>
        <w:tcBorders>
          <w:top w:val="single" w:sz="8" w:space="0" w:color="5F5F5F" w:themeColor="accent5"/>
          <w:left w:val="nil"/>
          <w:bottom w:val="single" w:sz="8" w:space="0" w:color="5F5F5F" w:themeColor="accent5"/>
          <w:right w:val="nil"/>
          <w:insideH w:val="nil"/>
          <w:insideV w:val="nil"/>
        </w:tcBorders>
      </w:tcPr>
    </w:tblStylePr>
    <w:tblStylePr w:type="lastRow">
      <w:pPr>
        <w:spacing w:before="0" w:after="0" w:line="240" w:lineRule="auto"/>
      </w:pPr>
      <w:rPr>
        <w:b/>
        <w:bCs/>
      </w:rPr>
      <w:tblPr/>
      <w:tcPr>
        <w:tcBorders>
          <w:top w:val="single" w:sz="8" w:space="0" w:color="5F5F5F" w:themeColor="accent5"/>
          <w:left w:val="nil"/>
          <w:bottom w:val="single" w:sz="8" w:space="0" w:color="5F5F5F"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7D7" w:themeFill="accent5" w:themeFillTint="3F"/>
      </w:tcPr>
    </w:tblStylePr>
    <w:tblStylePr w:type="band1Horz">
      <w:tblPr/>
      <w:tcPr>
        <w:tcBorders>
          <w:left w:val="nil"/>
          <w:right w:val="nil"/>
          <w:insideH w:val="nil"/>
          <w:insideV w:val="nil"/>
        </w:tcBorders>
        <w:shd w:val="clear" w:color="auto" w:fill="D7D7D7" w:themeFill="accent5" w:themeFillTint="3F"/>
      </w:tcPr>
    </w:tblStylePr>
  </w:style>
  <w:style w:type="table" w:customStyle="1" w:styleId="Tabelamrea7">
    <w:name w:val="Tabela – mreža7"/>
    <w:basedOn w:val="Navadnatabela"/>
    <w:next w:val="Tabelamrea"/>
    <w:uiPriority w:val="59"/>
    <w:rsid w:val="00993FB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8">
    <w:name w:val="Tabela – mreža8"/>
    <w:basedOn w:val="Navadnatabela"/>
    <w:next w:val="Tabelamrea"/>
    <w:uiPriority w:val="59"/>
    <w:rsid w:val="00993FB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rezseznama4">
    <w:name w:val="Brez seznama4"/>
    <w:next w:val="Brezseznama"/>
    <w:uiPriority w:val="99"/>
    <w:semiHidden/>
    <w:unhideWhenUsed/>
    <w:rsid w:val="00993FB7"/>
  </w:style>
  <w:style w:type="paragraph" w:customStyle="1" w:styleId="news-single-imgcaption">
    <w:name w:val="news-single-imgcaption"/>
    <w:basedOn w:val="Navaden"/>
    <w:rsid w:val="00993FB7"/>
    <w:pPr>
      <w:spacing w:line="240" w:lineRule="auto"/>
      <w:jc w:val="both"/>
    </w:pPr>
    <w:rPr>
      <w:rFonts w:ascii="Verdana" w:hAnsi="Verdana"/>
      <w:color w:val="989797"/>
      <w:sz w:val="15"/>
      <w:szCs w:val="15"/>
      <w:lang w:val="sl-SI" w:eastAsia="sl-SI"/>
    </w:rPr>
  </w:style>
  <w:style w:type="paragraph" w:customStyle="1" w:styleId="head2title">
    <w:name w:val="head2_title"/>
    <w:basedOn w:val="Navaden"/>
    <w:rsid w:val="00993FB7"/>
    <w:pPr>
      <w:spacing w:line="240" w:lineRule="auto"/>
      <w:jc w:val="both"/>
    </w:pPr>
    <w:rPr>
      <w:rFonts w:ascii="Verdana" w:hAnsi="Verdana"/>
      <w:color w:val="989797"/>
      <w:sz w:val="18"/>
      <w:szCs w:val="18"/>
      <w:lang w:val="sl-SI" w:eastAsia="sl-SI"/>
    </w:rPr>
  </w:style>
  <w:style w:type="table" w:customStyle="1" w:styleId="Tabelamrea9">
    <w:name w:val="Tabela – mreža9"/>
    <w:basedOn w:val="Navadnatabela"/>
    <w:next w:val="Tabelamrea"/>
    <w:uiPriority w:val="59"/>
    <w:rsid w:val="00993FB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rodtext2">
    <w:name w:val="brodtext2"/>
    <w:basedOn w:val="Privzetapisavaodstavka"/>
    <w:rsid w:val="00993FB7"/>
    <w:rPr>
      <w:rFonts w:ascii="Verdana" w:hAnsi="Verdana" w:hint="default"/>
      <w:b w:val="0"/>
      <w:bCs w:val="0"/>
      <w:i w:val="0"/>
      <w:iCs w:val="0"/>
      <w:color w:val="000000"/>
      <w:sz w:val="24"/>
      <w:szCs w:val="24"/>
    </w:rPr>
  </w:style>
  <w:style w:type="character" w:customStyle="1" w:styleId="textregular">
    <w:name w:val="textregular"/>
    <w:basedOn w:val="Privzetapisavaodstavka"/>
    <w:rsid w:val="00993FB7"/>
  </w:style>
  <w:style w:type="numbering" w:customStyle="1" w:styleId="Brezseznama5">
    <w:name w:val="Brez seznama5"/>
    <w:next w:val="Brezseznama"/>
    <w:uiPriority w:val="99"/>
    <w:semiHidden/>
    <w:unhideWhenUsed/>
    <w:rsid w:val="00993FB7"/>
  </w:style>
  <w:style w:type="paragraph" w:styleId="Konnaopomba-besedilo">
    <w:name w:val="endnote text"/>
    <w:basedOn w:val="Navaden"/>
    <w:link w:val="Konnaopomba-besediloZnak"/>
    <w:uiPriority w:val="99"/>
    <w:unhideWhenUsed/>
    <w:rsid w:val="00993FB7"/>
    <w:pPr>
      <w:spacing w:line="240" w:lineRule="auto"/>
    </w:pPr>
    <w:rPr>
      <w:rFonts w:ascii="Times New Roman" w:hAnsi="Times New Roman"/>
      <w:szCs w:val="20"/>
      <w:lang w:val="sl-SI" w:eastAsia="sl-SI"/>
    </w:rPr>
  </w:style>
  <w:style w:type="character" w:customStyle="1" w:styleId="Konnaopomba-besediloZnak">
    <w:name w:val="Končna opomba - besedilo Znak"/>
    <w:basedOn w:val="Privzetapisavaodstavka"/>
    <w:link w:val="Konnaopomba-besedilo"/>
    <w:uiPriority w:val="99"/>
    <w:rsid w:val="00993FB7"/>
  </w:style>
  <w:style w:type="character" w:styleId="Konnaopomba-sklic">
    <w:name w:val="endnote reference"/>
    <w:basedOn w:val="Privzetapisavaodstavka"/>
    <w:unhideWhenUsed/>
    <w:rsid w:val="00993FB7"/>
    <w:rPr>
      <w:vertAlign w:val="superscript"/>
    </w:rPr>
  </w:style>
  <w:style w:type="character" w:customStyle="1" w:styleId="Sprotnaopomba-besediloZnak1">
    <w:name w:val="Sprotna opomba - besedilo Znak1"/>
    <w:aliases w:val="Footnote Znak1,Footnote text Znak1,Testo nota a piè di pagina_Rientro Znak1,stile 1 Znak1,Footnote1 Znak1,Footnote2 Znak1,Footnote3 Znak1,Footnote4 Znak1,Footnote5 Znak1,Footnote6 Znak1,Footnote7 Znak1,Footnote8 Znak1"/>
    <w:basedOn w:val="Privzetapisavaodstavka"/>
    <w:uiPriority w:val="99"/>
    <w:semiHidden/>
    <w:rsid w:val="00993FB7"/>
    <w:rPr>
      <w:rFonts w:ascii="Times New Roman" w:eastAsia="Times New Roman" w:hAnsi="Times New Roman" w:cs="Times New Roman"/>
      <w:sz w:val="20"/>
      <w:szCs w:val="20"/>
      <w:lang w:eastAsia="sl-SI"/>
    </w:rPr>
  </w:style>
  <w:style w:type="paragraph" w:customStyle="1" w:styleId="StyleBodyTextLinespacingMultiple105li">
    <w:name w:val="Style Body Text + Line spacing:  Multiple 105 li"/>
    <w:basedOn w:val="Telobesedila"/>
    <w:uiPriority w:val="99"/>
    <w:rsid w:val="00993FB7"/>
    <w:pPr>
      <w:jc w:val="both"/>
    </w:pPr>
    <w:rPr>
      <w:rFonts w:ascii="Palatino Linotype" w:eastAsia="Times New Roman" w:hAnsi="Palatino Linotype"/>
      <w:szCs w:val="20"/>
    </w:rPr>
  </w:style>
  <w:style w:type="character" w:customStyle="1" w:styleId="naslov1Znak0">
    <w:name w:val="naslov 1 Znak"/>
    <w:basedOn w:val="Privzetapisavaodstavka"/>
    <w:link w:val="naslov10"/>
    <w:locked/>
    <w:rsid w:val="00993FB7"/>
    <w:rPr>
      <w:b/>
      <w:bCs/>
      <w:kern w:val="32"/>
      <w:sz w:val="28"/>
      <w:u w:val="single"/>
      <w:lang w:val="en-GB"/>
    </w:rPr>
  </w:style>
  <w:style w:type="paragraph" w:customStyle="1" w:styleId="naslov10">
    <w:name w:val="naslov 1"/>
    <w:basedOn w:val="Navaden"/>
    <w:link w:val="naslov1Znak0"/>
    <w:qFormat/>
    <w:rsid w:val="00993FB7"/>
    <w:pPr>
      <w:keepNext/>
      <w:spacing w:line="240" w:lineRule="auto"/>
      <w:jc w:val="both"/>
      <w:outlineLvl w:val="0"/>
    </w:pPr>
    <w:rPr>
      <w:rFonts w:ascii="Times New Roman" w:hAnsi="Times New Roman"/>
      <w:b/>
      <w:bCs/>
      <w:kern w:val="32"/>
      <w:sz w:val="28"/>
      <w:szCs w:val="20"/>
      <w:u w:val="single"/>
      <w:lang w:val="en-GB" w:eastAsia="sl-SI"/>
    </w:rPr>
  </w:style>
  <w:style w:type="character" w:customStyle="1" w:styleId="publish-date-new">
    <w:name w:val="publish-date-new"/>
    <w:basedOn w:val="Privzetapisavaodstavka"/>
    <w:rsid w:val="00993FB7"/>
  </w:style>
  <w:style w:type="character" w:customStyle="1" w:styleId="noindex">
    <w:name w:val="noindex"/>
    <w:basedOn w:val="Privzetapisavaodstavka"/>
    <w:rsid w:val="00993FB7"/>
  </w:style>
  <w:style w:type="paragraph" w:customStyle="1" w:styleId="vrstapredpisa">
    <w:name w:val="vrstapredpisa"/>
    <w:basedOn w:val="Navaden"/>
    <w:rsid w:val="00993FB7"/>
    <w:pPr>
      <w:spacing w:before="100" w:beforeAutospacing="1" w:after="100" w:afterAutospacing="1" w:line="240" w:lineRule="auto"/>
    </w:pPr>
    <w:rPr>
      <w:rFonts w:ascii="Times New Roman" w:hAnsi="Times New Roman"/>
      <w:sz w:val="24"/>
      <w:lang w:val="sl-SI" w:eastAsia="sl-SI"/>
    </w:rPr>
  </w:style>
  <w:style w:type="paragraph" w:customStyle="1" w:styleId="naslovpredpisa">
    <w:name w:val="naslovpredpisa"/>
    <w:basedOn w:val="Navaden"/>
    <w:rsid w:val="00993FB7"/>
    <w:pPr>
      <w:spacing w:before="100" w:beforeAutospacing="1" w:after="100" w:afterAutospacing="1" w:line="240" w:lineRule="auto"/>
    </w:pPr>
    <w:rPr>
      <w:rFonts w:ascii="Times New Roman" w:hAnsi="Times New Roman"/>
      <w:sz w:val="24"/>
      <w:lang w:val="sl-SI" w:eastAsia="sl-SI"/>
    </w:rPr>
  </w:style>
  <w:style w:type="paragraph" w:customStyle="1" w:styleId="npb">
    <w:name w:val="npb"/>
    <w:basedOn w:val="Navaden"/>
    <w:rsid w:val="00993FB7"/>
    <w:pPr>
      <w:spacing w:before="100" w:beforeAutospacing="1" w:after="100" w:afterAutospacing="1" w:line="240" w:lineRule="auto"/>
    </w:pPr>
    <w:rPr>
      <w:rFonts w:ascii="Times New Roman" w:hAnsi="Times New Roman"/>
      <w:sz w:val="24"/>
      <w:lang w:val="sl-SI" w:eastAsia="sl-SI"/>
    </w:rPr>
  </w:style>
  <w:style w:type="paragraph" w:customStyle="1" w:styleId="len">
    <w:name w:val="len"/>
    <w:basedOn w:val="Navaden"/>
    <w:rsid w:val="00993FB7"/>
    <w:pPr>
      <w:spacing w:before="100" w:beforeAutospacing="1" w:after="100" w:afterAutospacing="1" w:line="240" w:lineRule="auto"/>
    </w:pPr>
    <w:rPr>
      <w:rFonts w:ascii="Times New Roman" w:hAnsi="Times New Roman"/>
      <w:sz w:val="24"/>
      <w:lang w:val="sl-SI" w:eastAsia="sl-SI"/>
    </w:rPr>
  </w:style>
  <w:style w:type="paragraph" w:customStyle="1" w:styleId="lennaslov">
    <w:name w:val="lennaslov"/>
    <w:basedOn w:val="Navaden"/>
    <w:rsid w:val="00993FB7"/>
    <w:pPr>
      <w:spacing w:before="100" w:beforeAutospacing="1" w:after="100" w:afterAutospacing="1" w:line="240" w:lineRule="auto"/>
    </w:pPr>
    <w:rPr>
      <w:rFonts w:ascii="Times New Roman" w:hAnsi="Times New Roman"/>
      <w:sz w:val="24"/>
      <w:lang w:val="sl-SI" w:eastAsia="sl-SI"/>
    </w:rPr>
  </w:style>
  <w:style w:type="paragraph" w:customStyle="1" w:styleId="odstavek">
    <w:name w:val="odstavek"/>
    <w:basedOn w:val="Navaden"/>
    <w:rsid w:val="00993FB7"/>
    <w:pPr>
      <w:spacing w:before="100" w:beforeAutospacing="1" w:after="100" w:afterAutospacing="1" w:line="240" w:lineRule="auto"/>
    </w:pPr>
    <w:rPr>
      <w:rFonts w:ascii="Times New Roman" w:hAnsi="Times New Roman"/>
      <w:sz w:val="24"/>
      <w:lang w:val="sl-SI" w:eastAsia="sl-SI"/>
    </w:rPr>
  </w:style>
  <w:style w:type="table" w:customStyle="1" w:styleId="Tabelamrea10">
    <w:name w:val="Tabela – mreža10"/>
    <w:basedOn w:val="Navadnatabela"/>
    <w:next w:val="Tabelamrea"/>
    <w:uiPriority w:val="59"/>
    <w:rsid w:val="00993FB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dstavekseznamaZnak">
    <w:name w:val="Odstavek seznama Znak"/>
    <w:link w:val="Odstavekseznama"/>
    <w:uiPriority w:val="99"/>
    <w:locked/>
    <w:rsid w:val="00993FB7"/>
    <w:rPr>
      <w:rFonts w:ascii="Arial" w:hAnsi="Arial"/>
      <w:szCs w:val="24"/>
      <w:lang w:val="en-US" w:eastAsia="en-US"/>
    </w:rPr>
  </w:style>
  <w:style w:type="paragraph" w:customStyle="1" w:styleId="navaden0">
    <w:name w:val="navaden"/>
    <w:basedOn w:val="Navaden"/>
    <w:link w:val="navadenZnak"/>
    <w:rsid w:val="00993FB7"/>
    <w:pPr>
      <w:spacing w:before="120" w:line="240" w:lineRule="auto"/>
      <w:jc w:val="both"/>
    </w:pPr>
    <w:rPr>
      <w:sz w:val="22"/>
      <w:szCs w:val="20"/>
      <w:lang w:eastAsia="sl-SI"/>
    </w:rPr>
  </w:style>
  <w:style w:type="character" w:customStyle="1" w:styleId="navadenZnak">
    <w:name w:val="navaden Znak"/>
    <w:link w:val="navaden0"/>
    <w:locked/>
    <w:rsid w:val="00993FB7"/>
    <w:rPr>
      <w:rFonts w:ascii="Arial" w:hAnsi="Arial"/>
      <w:sz w:val="22"/>
      <w:lang w:val="en-US"/>
    </w:rPr>
  </w:style>
  <w:style w:type="paragraph" w:customStyle="1" w:styleId="Neotevilenodstavek">
    <w:name w:val="Neoštevilčen odstavek"/>
    <w:basedOn w:val="Navaden"/>
    <w:link w:val="NeotevilenodstavekZnak"/>
    <w:qFormat/>
    <w:rsid w:val="00993FB7"/>
    <w:pPr>
      <w:overflowPunct w:val="0"/>
      <w:autoSpaceDE w:val="0"/>
      <w:autoSpaceDN w:val="0"/>
      <w:adjustRightInd w:val="0"/>
      <w:spacing w:before="60" w:after="60" w:line="200" w:lineRule="exact"/>
      <w:jc w:val="both"/>
      <w:textAlignment w:val="baseline"/>
    </w:pPr>
    <w:rPr>
      <w:szCs w:val="20"/>
      <w:lang w:eastAsia="sl-SI"/>
    </w:rPr>
  </w:style>
  <w:style w:type="character" w:customStyle="1" w:styleId="NeotevilenodstavekZnak">
    <w:name w:val="Neoštevilčen odstavek Znak"/>
    <w:link w:val="Neotevilenodstavek"/>
    <w:locked/>
    <w:rsid w:val="00993FB7"/>
    <w:rPr>
      <w:rFonts w:ascii="Arial" w:hAnsi="Arial"/>
      <w:lang w:val="en-US"/>
    </w:rPr>
  </w:style>
  <w:style w:type="character" w:customStyle="1" w:styleId="Hiperpovezava1">
    <w:name w:val="Hiperpovezava1"/>
    <w:basedOn w:val="Privzetapisavaodstavka"/>
    <w:uiPriority w:val="99"/>
    <w:unhideWhenUsed/>
    <w:rsid w:val="00993FB7"/>
    <w:rPr>
      <w:color w:val="0000FF"/>
      <w:u w:val="single"/>
    </w:rPr>
  </w:style>
  <w:style w:type="paragraph" w:customStyle="1" w:styleId="Brezrazmikov1">
    <w:name w:val="Brez razmikov1"/>
    <w:uiPriority w:val="99"/>
    <w:qFormat/>
    <w:rsid w:val="00993FB7"/>
    <w:rPr>
      <w:rFonts w:ascii="Tahoma" w:eastAsia="Calibri" w:hAnsi="Tahoma"/>
      <w:sz w:val="22"/>
      <w:szCs w:val="22"/>
      <w:lang w:eastAsia="en-US"/>
    </w:rPr>
  </w:style>
  <w:style w:type="table" w:customStyle="1" w:styleId="TableNormal1">
    <w:name w:val="Table Normal1"/>
    <w:uiPriority w:val="2"/>
    <w:semiHidden/>
    <w:unhideWhenUsed/>
    <w:qFormat/>
    <w:rsid w:val="00993FB7"/>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avaden"/>
    <w:uiPriority w:val="1"/>
    <w:qFormat/>
    <w:rsid w:val="00993FB7"/>
    <w:pPr>
      <w:widowControl w:val="0"/>
      <w:spacing w:line="240" w:lineRule="auto"/>
    </w:pPr>
    <w:rPr>
      <w:rFonts w:asciiTheme="minorHAnsi" w:eastAsiaTheme="minorHAnsi" w:hAnsiTheme="minorHAnsi" w:cstheme="minorBidi"/>
      <w:sz w:val="22"/>
      <w:szCs w:val="22"/>
    </w:rPr>
  </w:style>
  <w:style w:type="character" w:customStyle="1" w:styleId="SledenaHiperpovezava1">
    <w:name w:val="SledenaHiperpovezava1"/>
    <w:basedOn w:val="Privzetapisavaodstavka"/>
    <w:uiPriority w:val="99"/>
    <w:semiHidden/>
    <w:unhideWhenUsed/>
    <w:rsid w:val="00993FB7"/>
    <w:rPr>
      <w:color w:val="800080"/>
      <w:u w:val="single"/>
    </w:rPr>
  </w:style>
  <w:style w:type="character" w:customStyle="1" w:styleId="PripombabesediloZnak2">
    <w:name w:val="Pripomba – besedilo Znak2"/>
    <w:basedOn w:val="Privzetapisavaodstavka"/>
    <w:semiHidden/>
    <w:rsid w:val="00993FB7"/>
    <w:rPr>
      <w:sz w:val="20"/>
      <w:szCs w:val="20"/>
    </w:rPr>
  </w:style>
  <w:style w:type="paragraph" w:customStyle="1" w:styleId="OP-X1">
    <w:name w:val="OP-X.1"/>
    <w:basedOn w:val="Naslov2"/>
    <w:link w:val="OP-X1Znak"/>
    <w:qFormat/>
    <w:rsid w:val="00993FB7"/>
    <w:pPr>
      <w:spacing w:line="240" w:lineRule="auto"/>
    </w:pPr>
    <w:rPr>
      <w:rFonts w:ascii="Arial" w:eastAsiaTheme="majorEastAsia" w:hAnsi="Arial" w:cstheme="majorBidi"/>
      <w:color w:val="DDDDDD" w:themeColor="accent1"/>
      <w:u w:val="single"/>
      <w:lang w:eastAsia="en-US"/>
    </w:rPr>
  </w:style>
  <w:style w:type="paragraph" w:customStyle="1" w:styleId="OP-X11">
    <w:name w:val="OP-X.1.1"/>
    <w:basedOn w:val="OP-X1"/>
    <w:link w:val="OP-X11Znak"/>
    <w:qFormat/>
    <w:rsid w:val="00993FB7"/>
  </w:style>
  <w:style w:type="character" w:customStyle="1" w:styleId="OP-X1Znak">
    <w:name w:val="OP-X.1 Znak"/>
    <w:basedOn w:val="Naslov2Znak"/>
    <w:link w:val="OP-X1"/>
    <w:rsid w:val="00993FB7"/>
    <w:rPr>
      <w:rFonts w:ascii="Arial" w:eastAsiaTheme="majorEastAsia" w:hAnsi="Arial" w:cstheme="majorBidi"/>
      <w:b/>
      <w:bCs/>
      <w:color w:val="DDDDDD" w:themeColor="accent1"/>
      <w:sz w:val="26"/>
      <w:szCs w:val="26"/>
      <w:u w:val="single"/>
      <w:lang w:val="en-US" w:eastAsia="en-US"/>
    </w:rPr>
  </w:style>
  <w:style w:type="paragraph" w:customStyle="1" w:styleId="OP-X111">
    <w:name w:val="OP-X.1.1.1"/>
    <w:basedOn w:val="OP-X11"/>
    <w:link w:val="OP-X111Znak"/>
    <w:qFormat/>
    <w:rsid w:val="00993FB7"/>
  </w:style>
  <w:style w:type="character" w:customStyle="1" w:styleId="OP-X11Znak">
    <w:name w:val="OP-X.1.1 Znak"/>
    <w:basedOn w:val="OP-X1Znak"/>
    <w:link w:val="OP-X11"/>
    <w:rsid w:val="00993FB7"/>
    <w:rPr>
      <w:rFonts w:ascii="Arial" w:eastAsiaTheme="majorEastAsia" w:hAnsi="Arial" w:cstheme="majorBidi"/>
      <w:b/>
      <w:bCs/>
      <w:color w:val="DDDDDD" w:themeColor="accent1"/>
      <w:sz w:val="26"/>
      <w:szCs w:val="26"/>
      <w:u w:val="single"/>
      <w:lang w:val="en-US" w:eastAsia="en-US"/>
    </w:rPr>
  </w:style>
  <w:style w:type="character" w:customStyle="1" w:styleId="OP-X111Znak">
    <w:name w:val="OP-X.1.1.1 Znak"/>
    <w:basedOn w:val="OP-X11Znak"/>
    <w:link w:val="OP-X111"/>
    <w:rsid w:val="00993FB7"/>
    <w:rPr>
      <w:rFonts w:ascii="Arial" w:eastAsiaTheme="majorEastAsia" w:hAnsi="Arial" w:cstheme="majorBidi"/>
      <w:b/>
      <w:bCs/>
      <w:color w:val="DDDDDD" w:themeColor="accent1"/>
      <w:sz w:val="26"/>
      <w:szCs w:val="26"/>
      <w:u w:val="single"/>
      <w:lang w:val="en-US" w:eastAsia="en-US"/>
    </w:rPr>
  </w:style>
  <w:style w:type="character" w:customStyle="1" w:styleId="indicatoryearlabel">
    <w:name w:val="indicator_year_label"/>
    <w:basedOn w:val="Privzetapisavaodstavka"/>
    <w:rsid w:val="00993FB7"/>
  </w:style>
  <w:style w:type="character" w:customStyle="1" w:styleId="selectedyear">
    <w:name w:val="selected_year"/>
    <w:basedOn w:val="Privzetapisavaodstavka"/>
    <w:rsid w:val="00993FB7"/>
  </w:style>
  <w:style w:type="character" w:customStyle="1" w:styleId="indicatorreporthighlighttitle">
    <w:name w:val="indicator_report_highlight_title"/>
    <w:basedOn w:val="Privzetapisavaodstavka"/>
    <w:rsid w:val="00993FB7"/>
  </w:style>
  <w:style w:type="character" w:customStyle="1" w:styleId="indicatorreportsubsectiontitle">
    <w:name w:val="indicator_report_subsection_title"/>
    <w:basedOn w:val="Privzetapisavaodstavka"/>
    <w:rsid w:val="00993FB7"/>
  </w:style>
  <w:style w:type="character" w:customStyle="1" w:styleId="graphtablelink">
    <w:name w:val="graph_table_link"/>
    <w:basedOn w:val="Privzetapisavaodstavka"/>
    <w:rsid w:val="00993FB7"/>
  </w:style>
  <w:style w:type="character" w:customStyle="1" w:styleId="grafattachmentstitle">
    <w:name w:val="graf_attachments_title"/>
    <w:basedOn w:val="Privzetapisavaodstavka"/>
    <w:rsid w:val="00993FB7"/>
  </w:style>
  <w:style w:type="paragraph" w:customStyle="1" w:styleId="CM23">
    <w:name w:val="CM23"/>
    <w:basedOn w:val="Default"/>
    <w:next w:val="Default"/>
    <w:uiPriority w:val="99"/>
    <w:rsid w:val="00993FB7"/>
    <w:pPr>
      <w:widowControl w:val="0"/>
      <w:spacing w:after="270"/>
    </w:pPr>
    <w:rPr>
      <w:rFonts w:ascii="Arial" w:eastAsiaTheme="minorEastAsia" w:hAnsi="Arial" w:cs="Arial"/>
      <w:color w:val="auto"/>
      <w:lang w:eastAsia="sl-SI"/>
    </w:rPr>
  </w:style>
  <w:style w:type="paragraph" w:customStyle="1" w:styleId="CM25">
    <w:name w:val="CM25"/>
    <w:basedOn w:val="Default"/>
    <w:next w:val="Default"/>
    <w:uiPriority w:val="99"/>
    <w:rsid w:val="00993FB7"/>
    <w:pPr>
      <w:widowControl w:val="0"/>
      <w:spacing w:after="520"/>
    </w:pPr>
    <w:rPr>
      <w:rFonts w:ascii="Arial" w:eastAsiaTheme="minorEastAsia" w:hAnsi="Arial" w:cs="Arial"/>
      <w:color w:val="auto"/>
      <w:lang w:eastAsia="sl-SI"/>
    </w:rPr>
  </w:style>
  <w:style w:type="paragraph" w:customStyle="1" w:styleId="CM6">
    <w:name w:val="CM6"/>
    <w:basedOn w:val="Default"/>
    <w:next w:val="Default"/>
    <w:uiPriority w:val="99"/>
    <w:rsid w:val="00993FB7"/>
    <w:pPr>
      <w:widowControl w:val="0"/>
      <w:spacing w:line="280" w:lineRule="atLeast"/>
    </w:pPr>
    <w:rPr>
      <w:rFonts w:ascii="Arial" w:eastAsiaTheme="minorEastAsia" w:hAnsi="Arial" w:cs="Arial"/>
      <w:color w:val="auto"/>
      <w:lang w:eastAsia="sl-SI"/>
    </w:rPr>
  </w:style>
  <w:style w:type="paragraph" w:customStyle="1" w:styleId="CM7">
    <w:name w:val="CM7"/>
    <w:basedOn w:val="Default"/>
    <w:next w:val="Default"/>
    <w:uiPriority w:val="99"/>
    <w:rsid w:val="00993FB7"/>
    <w:pPr>
      <w:widowControl w:val="0"/>
      <w:spacing w:line="288" w:lineRule="atLeast"/>
    </w:pPr>
    <w:rPr>
      <w:rFonts w:ascii="Arial" w:eastAsiaTheme="minorEastAsia" w:hAnsi="Arial" w:cs="Arial"/>
      <w:color w:val="auto"/>
      <w:lang w:eastAsia="sl-SI"/>
    </w:rPr>
  </w:style>
  <w:style w:type="paragraph" w:customStyle="1" w:styleId="CM9">
    <w:name w:val="CM9"/>
    <w:basedOn w:val="Default"/>
    <w:next w:val="Default"/>
    <w:uiPriority w:val="99"/>
    <w:rsid w:val="00993FB7"/>
    <w:pPr>
      <w:widowControl w:val="0"/>
      <w:spacing w:line="276" w:lineRule="atLeast"/>
    </w:pPr>
    <w:rPr>
      <w:rFonts w:ascii="Arial" w:eastAsiaTheme="minorEastAsia" w:hAnsi="Arial" w:cs="Arial"/>
      <w:color w:val="auto"/>
      <w:lang w:eastAsia="sl-SI"/>
    </w:rPr>
  </w:style>
  <w:style w:type="paragraph" w:customStyle="1" w:styleId="CM27">
    <w:name w:val="CM27"/>
    <w:basedOn w:val="Default"/>
    <w:next w:val="Default"/>
    <w:uiPriority w:val="99"/>
    <w:rsid w:val="00993FB7"/>
    <w:pPr>
      <w:widowControl w:val="0"/>
      <w:spacing w:after="640"/>
    </w:pPr>
    <w:rPr>
      <w:rFonts w:ascii="Arial" w:eastAsiaTheme="minorEastAsia" w:hAnsi="Arial" w:cs="Arial"/>
      <w:color w:val="auto"/>
      <w:lang w:eastAsia="sl-SI"/>
    </w:rPr>
  </w:style>
  <w:style w:type="paragraph" w:customStyle="1" w:styleId="CM10">
    <w:name w:val="CM10"/>
    <w:basedOn w:val="Default"/>
    <w:next w:val="Default"/>
    <w:uiPriority w:val="99"/>
    <w:rsid w:val="00993FB7"/>
    <w:pPr>
      <w:widowControl w:val="0"/>
      <w:spacing w:line="276" w:lineRule="atLeast"/>
    </w:pPr>
    <w:rPr>
      <w:rFonts w:ascii="Arial" w:eastAsiaTheme="minorEastAsia" w:hAnsi="Arial" w:cs="Arial"/>
      <w:color w:val="auto"/>
      <w:lang w:eastAsia="sl-SI"/>
    </w:rPr>
  </w:style>
  <w:style w:type="paragraph" w:customStyle="1" w:styleId="CM20">
    <w:name w:val="CM20"/>
    <w:basedOn w:val="Default"/>
    <w:next w:val="Default"/>
    <w:uiPriority w:val="99"/>
    <w:rsid w:val="00993FB7"/>
    <w:pPr>
      <w:widowControl w:val="0"/>
      <w:spacing w:after="498"/>
    </w:pPr>
    <w:rPr>
      <w:rFonts w:ascii="Trajan Pro" w:eastAsiaTheme="minorEastAsia" w:hAnsi="Trajan Pro" w:cs="Times New Roman"/>
      <w:color w:val="auto"/>
      <w:lang w:eastAsia="sl-SI"/>
    </w:rPr>
  </w:style>
  <w:style w:type="paragraph" w:customStyle="1" w:styleId="Natevanjeotevileno">
    <w:name w:val="Naštevanje oštevilčeno"/>
    <w:basedOn w:val="Navaden"/>
    <w:uiPriority w:val="99"/>
    <w:rsid w:val="00993FB7"/>
    <w:pPr>
      <w:numPr>
        <w:numId w:val="40"/>
      </w:numPr>
      <w:tabs>
        <w:tab w:val="clear" w:pos="567"/>
      </w:tabs>
      <w:spacing w:line="240" w:lineRule="auto"/>
      <w:ind w:left="1440" w:hanging="360"/>
      <w:jc w:val="both"/>
    </w:pPr>
    <w:rPr>
      <w:rFonts w:ascii="Calibri" w:hAnsi="Calibri"/>
      <w:sz w:val="22"/>
      <w:szCs w:val="22"/>
      <w:lang w:val="sl-SI" w:eastAsia="ja-JP"/>
    </w:rPr>
  </w:style>
  <w:style w:type="character" w:customStyle="1" w:styleId="NavadenspletZnak">
    <w:name w:val="Navaden (splet) Znak"/>
    <w:aliases w:val="Normal (Tabele) Znak"/>
    <w:link w:val="Navadensplet"/>
    <w:uiPriority w:val="99"/>
    <w:rsid w:val="00993FB7"/>
    <w:rPr>
      <w:sz w:val="24"/>
      <w:szCs w:val="24"/>
    </w:rPr>
  </w:style>
  <w:style w:type="paragraph" w:customStyle="1" w:styleId="Imepreglednicealislike">
    <w:name w:val="Ime preglednice ali slike"/>
    <w:basedOn w:val="Napis"/>
    <w:link w:val="ImepreglednicealislikeCharChar"/>
    <w:rsid w:val="00993FB7"/>
    <w:pPr>
      <w:keepNext w:val="0"/>
      <w:tabs>
        <w:tab w:val="clear" w:pos="851"/>
        <w:tab w:val="clear" w:pos="1134"/>
      </w:tabs>
      <w:spacing w:before="120"/>
      <w:ind w:left="0" w:firstLine="0"/>
      <w:jc w:val="both"/>
    </w:pPr>
    <w:rPr>
      <w:rFonts w:cs="Times New Roman"/>
      <w:b/>
      <w:bCs w:val="0"/>
      <w:i w:val="0"/>
      <w:noProof w:val="0"/>
      <w:lang w:eastAsia="sl-SI"/>
    </w:rPr>
  </w:style>
  <w:style w:type="character" w:customStyle="1" w:styleId="ImepreglednicealislikeCharChar">
    <w:name w:val="Ime preglednice ali slike Char Char"/>
    <w:basedOn w:val="Privzetapisavaodstavka"/>
    <w:link w:val="Imepreglednicealislike"/>
    <w:rsid w:val="00993FB7"/>
    <w:rPr>
      <w:rFonts w:ascii="Tahoma" w:hAnsi="Tahoma"/>
      <w:b/>
    </w:rPr>
  </w:style>
  <w:style w:type="paragraph" w:customStyle="1" w:styleId="Napis1">
    <w:name w:val="Napis1"/>
    <w:basedOn w:val="Navaden"/>
    <w:next w:val="Navaden"/>
    <w:rsid w:val="00993FB7"/>
    <w:pPr>
      <w:suppressAutoHyphens/>
      <w:spacing w:line="240" w:lineRule="auto"/>
      <w:jc w:val="both"/>
    </w:pPr>
    <w:rPr>
      <w:rFonts w:ascii="Tahoma" w:hAnsi="Tahoma"/>
      <w:b/>
      <w:bCs/>
      <w:szCs w:val="20"/>
      <w:lang w:val="sl-SI" w:eastAsia="ar-SA"/>
    </w:rPr>
  </w:style>
  <w:style w:type="paragraph" w:customStyle="1" w:styleId="Odstavekseznama1">
    <w:name w:val="Odstavek seznama1"/>
    <w:basedOn w:val="Navaden"/>
    <w:qFormat/>
    <w:rsid w:val="00993FB7"/>
    <w:pPr>
      <w:suppressAutoHyphens/>
      <w:spacing w:after="200" w:line="276" w:lineRule="auto"/>
      <w:ind w:left="720"/>
    </w:pPr>
    <w:rPr>
      <w:rFonts w:ascii="Calibri" w:hAnsi="Calibri" w:cs="Arial"/>
      <w:sz w:val="22"/>
      <w:szCs w:val="22"/>
      <w:lang w:eastAsia="ar-SA"/>
    </w:rPr>
  </w:style>
  <w:style w:type="paragraph" w:styleId="HTML-oblikovano">
    <w:name w:val="HTML Preformatted"/>
    <w:basedOn w:val="Navaden"/>
    <w:link w:val="HTML-oblikovanoZnak"/>
    <w:uiPriority w:val="99"/>
    <w:unhideWhenUsed/>
    <w:rsid w:val="00993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hAnsi="Courier New"/>
      <w:szCs w:val="20"/>
      <w:lang w:val="sl-SI" w:eastAsia="ja-JP"/>
    </w:rPr>
  </w:style>
  <w:style w:type="character" w:customStyle="1" w:styleId="HTML-oblikovanoZnak">
    <w:name w:val="HTML-oblikovano Znak"/>
    <w:basedOn w:val="Privzetapisavaodstavka"/>
    <w:link w:val="HTML-oblikovano"/>
    <w:uiPriority w:val="99"/>
    <w:rsid w:val="00993FB7"/>
    <w:rPr>
      <w:rFonts w:ascii="Courier New" w:hAnsi="Courier New"/>
      <w:lang w:eastAsia="ja-JP"/>
    </w:rPr>
  </w:style>
  <w:style w:type="paragraph" w:customStyle="1" w:styleId="Alinejazarkovnotoko">
    <w:name w:val="Alineja za črkovno točko"/>
    <w:basedOn w:val="Alineazatevilnotoko"/>
    <w:link w:val="AlinejazarkovnotokoZnak"/>
    <w:qFormat/>
    <w:rsid w:val="00993FB7"/>
    <w:pPr>
      <w:keepNext/>
      <w:keepLines/>
      <w:numPr>
        <w:numId w:val="0"/>
      </w:numPr>
      <w:tabs>
        <w:tab w:val="clear" w:pos="540"/>
        <w:tab w:val="clear" w:pos="900"/>
      </w:tabs>
      <w:spacing w:before="480" w:line="276" w:lineRule="auto"/>
      <w:jc w:val="left"/>
    </w:pPr>
    <w:rPr>
      <w:rFonts w:asciiTheme="majorHAnsi" w:eastAsiaTheme="majorEastAsia" w:hAnsiTheme="majorHAnsi" w:cstheme="majorBidi"/>
      <w:b/>
      <w:bCs/>
      <w:color w:val="A5A5A5" w:themeColor="accent1" w:themeShade="BF"/>
      <w:sz w:val="28"/>
      <w:szCs w:val="28"/>
      <w:lang w:eastAsia="sl-SI"/>
    </w:rPr>
  </w:style>
  <w:style w:type="paragraph" w:customStyle="1" w:styleId="Vrstapredpisa0">
    <w:name w:val="Vrsta predpisa"/>
    <w:basedOn w:val="Navaden"/>
    <w:link w:val="VrstapredpisaZnak"/>
    <w:qFormat/>
    <w:rsid w:val="00993FB7"/>
    <w:pPr>
      <w:suppressAutoHyphens/>
      <w:overflowPunct w:val="0"/>
      <w:autoSpaceDE w:val="0"/>
      <w:autoSpaceDN w:val="0"/>
      <w:adjustRightInd w:val="0"/>
      <w:spacing w:before="480" w:line="240" w:lineRule="auto"/>
      <w:jc w:val="center"/>
      <w:textAlignment w:val="baseline"/>
    </w:pPr>
    <w:rPr>
      <w:b/>
      <w:bCs/>
      <w:color w:val="000000"/>
      <w:spacing w:val="40"/>
      <w:sz w:val="22"/>
      <w:szCs w:val="22"/>
      <w:lang w:val="sl-SI"/>
    </w:rPr>
  </w:style>
  <w:style w:type="paragraph" w:customStyle="1" w:styleId="Naslovpredpisa0">
    <w:name w:val="Naslov_predpisa"/>
    <w:basedOn w:val="Navaden"/>
    <w:link w:val="NaslovpredpisaZnak"/>
    <w:qFormat/>
    <w:rsid w:val="00993FB7"/>
    <w:pPr>
      <w:suppressAutoHyphens/>
      <w:overflowPunct w:val="0"/>
      <w:autoSpaceDE w:val="0"/>
      <w:autoSpaceDN w:val="0"/>
      <w:adjustRightInd w:val="0"/>
      <w:spacing w:line="240" w:lineRule="auto"/>
      <w:jc w:val="center"/>
      <w:textAlignment w:val="baseline"/>
    </w:pPr>
    <w:rPr>
      <w:b/>
      <w:sz w:val="22"/>
      <w:szCs w:val="22"/>
      <w:lang w:val="sl-SI"/>
    </w:rPr>
  </w:style>
  <w:style w:type="character" w:customStyle="1" w:styleId="VrstapredpisaZnak">
    <w:name w:val="Vrsta predpisa Znak"/>
    <w:link w:val="Vrstapredpisa0"/>
    <w:rsid w:val="00993FB7"/>
    <w:rPr>
      <w:rFonts w:ascii="Arial" w:hAnsi="Arial"/>
      <w:b/>
      <w:bCs/>
      <w:color w:val="000000"/>
      <w:spacing w:val="40"/>
      <w:sz w:val="22"/>
      <w:szCs w:val="22"/>
      <w:lang w:eastAsia="en-US"/>
    </w:rPr>
  </w:style>
  <w:style w:type="paragraph" w:customStyle="1" w:styleId="Poglavje">
    <w:name w:val="Poglavje"/>
    <w:basedOn w:val="Navaden"/>
    <w:qFormat/>
    <w:rsid w:val="00993FB7"/>
    <w:pPr>
      <w:suppressAutoHyphens/>
      <w:overflowPunct w:val="0"/>
      <w:autoSpaceDE w:val="0"/>
      <w:autoSpaceDN w:val="0"/>
      <w:adjustRightInd w:val="0"/>
      <w:spacing w:before="480" w:line="240" w:lineRule="auto"/>
      <w:jc w:val="center"/>
      <w:textAlignment w:val="baseline"/>
    </w:pPr>
    <w:rPr>
      <w:rFonts w:cs="Arial"/>
      <w:szCs w:val="22"/>
      <w:lang w:val="sl-SI" w:eastAsia="sl-SI"/>
    </w:rPr>
  </w:style>
  <w:style w:type="character" w:customStyle="1" w:styleId="NaslovpredpisaZnak">
    <w:name w:val="Naslov_predpisa Znak"/>
    <w:link w:val="Naslovpredpisa0"/>
    <w:rsid w:val="00993FB7"/>
    <w:rPr>
      <w:rFonts w:ascii="Arial" w:hAnsi="Arial"/>
      <w:b/>
      <w:sz w:val="22"/>
      <w:szCs w:val="22"/>
      <w:lang w:eastAsia="en-US"/>
    </w:rPr>
  </w:style>
  <w:style w:type="paragraph" w:customStyle="1" w:styleId="nuvbrez">
    <w:name w:val="nuv brez"/>
    <w:basedOn w:val="Navaden"/>
    <w:uiPriority w:val="99"/>
    <w:qFormat/>
    <w:rsid w:val="00993FB7"/>
    <w:pPr>
      <w:spacing w:line="264" w:lineRule="auto"/>
      <w:jc w:val="both"/>
    </w:pPr>
    <w:rPr>
      <w:rFonts w:cs="Arial"/>
      <w:b/>
      <w:sz w:val="24"/>
      <w:szCs w:val="22"/>
      <w:lang w:val="sl-SI" w:eastAsia="ja-JP"/>
    </w:rPr>
  </w:style>
  <w:style w:type="numbering" w:customStyle="1" w:styleId="NoList1">
    <w:name w:val="No List1"/>
    <w:next w:val="Brezseznama"/>
    <w:uiPriority w:val="99"/>
    <w:semiHidden/>
    <w:unhideWhenUsed/>
    <w:rsid w:val="00993FB7"/>
  </w:style>
  <w:style w:type="paragraph" w:customStyle="1" w:styleId="Odstavek0">
    <w:name w:val="Odstavek"/>
    <w:basedOn w:val="Navaden"/>
    <w:link w:val="OdstavekZnak"/>
    <w:uiPriority w:val="99"/>
    <w:qFormat/>
    <w:rsid w:val="00993FB7"/>
    <w:pPr>
      <w:overflowPunct w:val="0"/>
      <w:autoSpaceDE w:val="0"/>
      <w:autoSpaceDN w:val="0"/>
      <w:adjustRightInd w:val="0"/>
      <w:spacing w:before="240" w:line="240" w:lineRule="auto"/>
      <w:ind w:firstLine="1021"/>
      <w:jc w:val="both"/>
      <w:textAlignment w:val="baseline"/>
    </w:pPr>
    <w:rPr>
      <w:sz w:val="22"/>
      <w:szCs w:val="22"/>
      <w:lang w:val="sl-SI"/>
    </w:rPr>
  </w:style>
  <w:style w:type="paragraph" w:customStyle="1" w:styleId="Pravnapodlaga">
    <w:name w:val="Pravna podlaga"/>
    <w:basedOn w:val="Odstavek0"/>
    <w:link w:val="PravnapodlagaZnak"/>
    <w:qFormat/>
    <w:rsid w:val="00993FB7"/>
    <w:pPr>
      <w:spacing w:before="480"/>
    </w:pPr>
  </w:style>
  <w:style w:type="character" w:customStyle="1" w:styleId="OdstavekZnak">
    <w:name w:val="Odstavek Znak"/>
    <w:link w:val="Odstavek0"/>
    <w:uiPriority w:val="99"/>
    <w:rsid w:val="00993FB7"/>
    <w:rPr>
      <w:rFonts w:ascii="Arial" w:hAnsi="Arial"/>
      <w:sz w:val="22"/>
      <w:szCs w:val="22"/>
      <w:lang w:eastAsia="en-US"/>
    </w:rPr>
  </w:style>
  <w:style w:type="character" w:customStyle="1" w:styleId="AlinejazarkovnotokoZnak">
    <w:name w:val="Alineja za črkovno točko Znak"/>
    <w:link w:val="Alinejazarkovnotoko"/>
    <w:rsid w:val="00993FB7"/>
    <w:rPr>
      <w:rFonts w:asciiTheme="majorHAnsi" w:eastAsiaTheme="majorEastAsia" w:hAnsiTheme="majorHAnsi" w:cstheme="majorBidi"/>
      <w:b/>
      <w:bCs/>
      <w:color w:val="A5A5A5" w:themeColor="accent1" w:themeShade="BF"/>
      <w:sz w:val="28"/>
      <w:szCs w:val="28"/>
    </w:rPr>
  </w:style>
  <w:style w:type="paragraph" w:customStyle="1" w:styleId="Pa0">
    <w:name w:val="Pa0"/>
    <w:basedOn w:val="Navaden"/>
    <w:next w:val="Navaden"/>
    <w:uiPriority w:val="99"/>
    <w:rsid w:val="00993FB7"/>
    <w:pPr>
      <w:autoSpaceDE w:val="0"/>
      <w:autoSpaceDN w:val="0"/>
      <w:adjustRightInd w:val="0"/>
      <w:spacing w:line="201" w:lineRule="atLeast"/>
    </w:pPr>
    <w:rPr>
      <w:rFonts w:eastAsia="Calibri" w:cs="Arial"/>
      <w:sz w:val="24"/>
      <w:lang w:val="sl-SI"/>
    </w:rPr>
  </w:style>
  <w:style w:type="paragraph" w:customStyle="1" w:styleId="atekst">
    <w:name w:val="a_tekst"/>
    <w:rsid w:val="00993FB7"/>
    <w:pPr>
      <w:overflowPunct w:val="0"/>
      <w:autoSpaceDE w:val="0"/>
      <w:autoSpaceDN w:val="0"/>
      <w:adjustRightInd w:val="0"/>
      <w:spacing w:line="200" w:lineRule="exact"/>
      <w:ind w:firstLine="397"/>
      <w:jc w:val="both"/>
      <w:textAlignment w:val="baseline"/>
    </w:pPr>
    <w:rPr>
      <w:rFonts w:ascii="Arial" w:hAnsi="Arial" w:cs="Arial"/>
      <w:sz w:val="17"/>
      <w:szCs w:val="17"/>
    </w:rPr>
  </w:style>
  <w:style w:type="paragraph" w:customStyle="1" w:styleId="aodloktekst">
    <w:name w:val="a_odloktekst"/>
    <w:basedOn w:val="atekst"/>
    <w:next w:val="atekst"/>
    <w:rsid w:val="00993FB7"/>
    <w:pPr>
      <w:suppressAutoHyphens/>
      <w:spacing w:before="60" w:line="220" w:lineRule="exact"/>
      <w:ind w:firstLine="0"/>
      <w:jc w:val="center"/>
    </w:pPr>
    <w:rPr>
      <w:b/>
      <w:bCs/>
      <w:color w:val="0000FF"/>
      <w:sz w:val="20"/>
      <w:szCs w:val="20"/>
    </w:rPr>
  </w:style>
  <w:style w:type="paragraph" w:customStyle="1" w:styleId="aodlok">
    <w:name w:val="a_odlok"/>
    <w:basedOn w:val="atekst"/>
    <w:next w:val="aodloktekst"/>
    <w:rsid w:val="00993FB7"/>
    <w:pPr>
      <w:suppressAutoHyphens/>
      <w:spacing w:before="240" w:line="220" w:lineRule="exact"/>
      <w:ind w:firstLine="0"/>
      <w:jc w:val="center"/>
    </w:pPr>
    <w:rPr>
      <w:b/>
      <w:bCs/>
      <w:color w:val="0000FF"/>
      <w:sz w:val="20"/>
      <w:szCs w:val="20"/>
    </w:rPr>
  </w:style>
  <w:style w:type="paragraph" w:customStyle="1" w:styleId="anaslovsv">
    <w:name w:val="a_naslovsv"/>
    <w:basedOn w:val="atekst"/>
    <w:next w:val="atekst"/>
    <w:rsid w:val="00993FB7"/>
    <w:pPr>
      <w:suppressAutoHyphens/>
      <w:spacing w:before="240"/>
      <w:ind w:firstLine="0"/>
      <w:jc w:val="center"/>
      <w:outlineLvl w:val="3"/>
    </w:pPr>
  </w:style>
  <w:style w:type="paragraph" w:customStyle="1" w:styleId="anaslovpk">
    <w:name w:val="a_naslovpk"/>
    <w:basedOn w:val="atekst"/>
    <w:next w:val="atekst"/>
    <w:rsid w:val="00993FB7"/>
    <w:pPr>
      <w:suppressAutoHyphens/>
      <w:spacing w:before="180"/>
      <w:ind w:firstLine="0"/>
      <w:jc w:val="center"/>
      <w:outlineLvl w:val="3"/>
    </w:pPr>
  </w:style>
  <w:style w:type="paragraph" w:customStyle="1" w:styleId="Oddelek">
    <w:name w:val="Oddelek"/>
    <w:basedOn w:val="Navaden"/>
    <w:link w:val="OddelekZnak1"/>
    <w:qFormat/>
    <w:rsid w:val="00993FB7"/>
    <w:pPr>
      <w:tabs>
        <w:tab w:val="left" w:pos="540"/>
        <w:tab w:val="left" w:pos="900"/>
      </w:tabs>
      <w:overflowPunct w:val="0"/>
      <w:autoSpaceDE w:val="0"/>
      <w:autoSpaceDN w:val="0"/>
      <w:adjustRightInd w:val="0"/>
      <w:spacing w:before="480" w:line="240" w:lineRule="auto"/>
      <w:jc w:val="center"/>
      <w:textAlignment w:val="baseline"/>
    </w:pPr>
    <w:rPr>
      <w:sz w:val="22"/>
      <w:szCs w:val="22"/>
      <w:lang w:val="sl-SI"/>
    </w:rPr>
  </w:style>
  <w:style w:type="paragraph" w:customStyle="1" w:styleId="Odsek">
    <w:name w:val="Odsek"/>
    <w:basedOn w:val="Navaden"/>
    <w:link w:val="OdsekZnak"/>
    <w:qFormat/>
    <w:rsid w:val="00993FB7"/>
    <w:pPr>
      <w:tabs>
        <w:tab w:val="left" w:pos="567"/>
        <w:tab w:val="left" w:pos="993"/>
      </w:tabs>
      <w:overflowPunct w:val="0"/>
      <w:autoSpaceDE w:val="0"/>
      <w:autoSpaceDN w:val="0"/>
      <w:adjustRightInd w:val="0"/>
      <w:spacing w:before="480" w:line="240" w:lineRule="atLeast"/>
      <w:jc w:val="center"/>
      <w:textAlignment w:val="baseline"/>
    </w:pPr>
    <w:rPr>
      <w:sz w:val="22"/>
      <w:szCs w:val="22"/>
      <w:lang w:val="sl-SI"/>
    </w:rPr>
  </w:style>
  <w:style w:type="paragraph" w:customStyle="1" w:styleId="Del">
    <w:name w:val="Del"/>
    <w:basedOn w:val="Poglavje"/>
    <w:link w:val="DelZnak"/>
    <w:qFormat/>
    <w:rsid w:val="00993FB7"/>
    <w:rPr>
      <w:rFonts w:cs="Times New Roman"/>
      <w:sz w:val="22"/>
    </w:rPr>
  </w:style>
  <w:style w:type="character" w:customStyle="1" w:styleId="OddelekZnak1">
    <w:name w:val="Oddelek Znak1"/>
    <w:link w:val="Oddelek"/>
    <w:rsid w:val="00993FB7"/>
    <w:rPr>
      <w:rFonts w:ascii="Arial" w:hAnsi="Arial"/>
      <w:sz w:val="22"/>
      <w:szCs w:val="22"/>
      <w:lang w:eastAsia="en-US"/>
    </w:rPr>
  </w:style>
  <w:style w:type="character" w:customStyle="1" w:styleId="OdsekZnak">
    <w:name w:val="Odsek Znak"/>
    <w:link w:val="Odsek"/>
    <w:rsid w:val="00993FB7"/>
    <w:rPr>
      <w:rFonts w:ascii="Arial" w:hAnsi="Arial"/>
      <w:sz w:val="22"/>
      <w:szCs w:val="22"/>
      <w:lang w:eastAsia="en-US"/>
    </w:rPr>
  </w:style>
  <w:style w:type="paragraph" w:customStyle="1" w:styleId="Naslovnadlenom">
    <w:name w:val="Naslov nad členom"/>
    <w:basedOn w:val="Navaden"/>
    <w:link w:val="NaslovnadlenomZnak"/>
    <w:qFormat/>
    <w:rsid w:val="00993FB7"/>
    <w:pPr>
      <w:tabs>
        <w:tab w:val="left" w:pos="540"/>
        <w:tab w:val="left" w:pos="900"/>
      </w:tabs>
      <w:overflowPunct w:val="0"/>
      <w:autoSpaceDE w:val="0"/>
      <w:autoSpaceDN w:val="0"/>
      <w:adjustRightInd w:val="0"/>
      <w:spacing w:before="480" w:line="240" w:lineRule="auto"/>
      <w:jc w:val="center"/>
      <w:textAlignment w:val="baseline"/>
    </w:pPr>
    <w:rPr>
      <w:b/>
      <w:sz w:val="22"/>
      <w:szCs w:val="22"/>
      <w:lang w:val="sl-SI"/>
    </w:rPr>
  </w:style>
  <w:style w:type="character" w:customStyle="1" w:styleId="DelZnak">
    <w:name w:val="Del Znak"/>
    <w:link w:val="Del"/>
    <w:rsid w:val="00993FB7"/>
    <w:rPr>
      <w:rFonts w:ascii="Arial" w:hAnsi="Arial"/>
      <w:sz w:val="22"/>
      <w:szCs w:val="22"/>
    </w:rPr>
  </w:style>
  <w:style w:type="character" w:customStyle="1" w:styleId="NaslovnadlenomZnak">
    <w:name w:val="Naslov nad členom Znak"/>
    <w:link w:val="Naslovnadlenom"/>
    <w:rsid w:val="00993FB7"/>
    <w:rPr>
      <w:rFonts w:ascii="Arial" w:hAnsi="Arial"/>
      <w:b/>
      <w:sz w:val="22"/>
      <w:szCs w:val="22"/>
      <w:lang w:eastAsia="en-US"/>
    </w:rPr>
  </w:style>
  <w:style w:type="paragraph" w:customStyle="1" w:styleId="aclen">
    <w:name w:val="a_clen"/>
    <w:basedOn w:val="atekst"/>
    <w:next w:val="atekst"/>
    <w:rsid w:val="00993FB7"/>
    <w:pPr>
      <w:suppressAutoHyphens/>
      <w:spacing w:before="120" w:after="60"/>
      <w:ind w:firstLine="0"/>
      <w:jc w:val="center"/>
      <w:outlineLvl w:val="4"/>
    </w:pPr>
  </w:style>
  <w:style w:type="paragraph" w:customStyle="1" w:styleId="aclenpodnaslov">
    <w:name w:val="a_clenpodnaslov"/>
    <w:basedOn w:val="aclen"/>
    <w:next w:val="atekst"/>
    <w:rsid w:val="00993FB7"/>
    <w:pPr>
      <w:spacing w:before="0"/>
      <w:outlineLvl w:val="9"/>
    </w:pPr>
  </w:style>
  <w:style w:type="paragraph" w:customStyle="1" w:styleId="apodpis">
    <w:name w:val="a_podpis"/>
    <w:basedOn w:val="atekst"/>
    <w:rsid w:val="00993FB7"/>
    <w:pPr>
      <w:suppressAutoHyphens/>
      <w:ind w:left="1134" w:firstLine="0"/>
      <w:jc w:val="center"/>
    </w:pPr>
  </w:style>
  <w:style w:type="paragraph" w:customStyle="1" w:styleId="Nazivpodpisnika">
    <w:name w:val="Naziv podpisnika"/>
    <w:basedOn w:val="Navaden"/>
    <w:link w:val="NazivpodpisnikaZnak"/>
    <w:rsid w:val="00993FB7"/>
    <w:pPr>
      <w:tabs>
        <w:tab w:val="left" w:pos="6521"/>
      </w:tabs>
      <w:overflowPunct w:val="0"/>
      <w:autoSpaceDE w:val="0"/>
      <w:autoSpaceDN w:val="0"/>
      <w:adjustRightInd w:val="0"/>
      <w:spacing w:line="240" w:lineRule="auto"/>
      <w:ind w:left="5670"/>
      <w:jc w:val="both"/>
      <w:textAlignment w:val="baseline"/>
    </w:pPr>
    <w:rPr>
      <w:sz w:val="22"/>
      <w:szCs w:val="22"/>
      <w:lang w:val="sl-SI"/>
    </w:rPr>
  </w:style>
  <w:style w:type="paragraph" w:customStyle="1" w:styleId="atekstdat">
    <w:name w:val="a_tekst_dat"/>
    <w:basedOn w:val="atekst"/>
    <w:uiPriority w:val="99"/>
    <w:rsid w:val="00993FB7"/>
    <w:rPr>
      <w:b/>
      <w:color w:val="FF0000"/>
    </w:rPr>
  </w:style>
  <w:style w:type="character" w:customStyle="1" w:styleId="NazivpodpisnikaZnak">
    <w:name w:val="Naziv podpisnika Znak"/>
    <w:link w:val="Nazivpodpisnika"/>
    <w:rsid w:val="00993FB7"/>
    <w:rPr>
      <w:rFonts w:ascii="Arial" w:hAnsi="Arial"/>
      <w:sz w:val="22"/>
      <w:szCs w:val="22"/>
      <w:lang w:eastAsia="en-US"/>
    </w:rPr>
  </w:style>
  <w:style w:type="paragraph" w:customStyle="1" w:styleId="rkovnatokazaodstavkom">
    <w:name w:val="Črkovna točka_za odstavkom"/>
    <w:basedOn w:val="Navaden"/>
    <w:link w:val="rkovnatokazaodstavkomZnak"/>
    <w:qFormat/>
    <w:rsid w:val="00993FB7"/>
    <w:pPr>
      <w:numPr>
        <w:numId w:val="41"/>
      </w:numPr>
      <w:overflowPunct w:val="0"/>
      <w:autoSpaceDE w:val="0"/>
      <w:autoSpaceDN w:val="0"/>
      <w:adjustRightInd w:val="0"/>
      <w:spacing w:line="240" w:lineRule="auto"/>
      <w:ind w:left="284" w:hanging="284"/>
      <w:jc w:val="both"/>
      <w:textAlignment w:val="baseline"/>
    </w:pPr>
    <w:rPr>
      <w:sz w:val="22"/>
      <w:szCs w:val="22"/>
      <w:lang w:val="sl-SI"/>
    </w:rPr>
  </w:style>
  <w:style w:type="paragraph" w:customStyle="1" w:styleId="Alineazatevilnotoko">
    <w:name w:val="Alinea za številčno točko"/>
    <w:basedOn w:val="Alineazaodstavkom"/>
    <w:link w:val="AlineazatevilnotokoZnak"/>
    <w:qFormat/>
    <w:rsid w:val="00993FB7"/>
    <w:pPr>
      <w:ind w:left="567" w:hanging="170"/>
    </w:pPr>
  </w:style>
  <w:style w:type="character" w:customStyle="1" w:styleId="rkovnatokazaodstavkomZnak">
    <w:name w:val="Črkovna točka_za odstavkom Znak"/>
    <w:link w:val="rkovnatokazaodstavkom"/>
    <w:rsid w:val="00993FB7"/>
    <w:rPr>
      <w:rFonts w:ascii="Arial" w:hAnsi="Arial"/>
      <w:sz w:val="22"/>
      <w:szCs w:val="22"/>
      <w:lang w:eastAsia="en-US"/>
    </w:rPr>
  </w:style>
  <w:style w:type="paragraph" w:customStyle="1" w:styleId="tevilnatoka">
    <w:name w:val="Številčna točka"/>
    <w:basedOn w:val="Navaden"/>
    <w:link w:val="tevilnatokaZnak"/>
    <w:qFormat/>
    <w:rsid w:val="00993FB7"/>
    <w:pPr>
      <w:numPr>
        <w:numId w:val="44"/>
      </w:numPr>
      <w:tabs>
        <w:tab w:val="left" w:pos="540"/>
        <w:tab w:val="left" w:pos="900"/>
      </w:tabs>
      <w:spacing w:line="240" w:lineRule="auto"/>
      <w:jc w:val="both"/>
    </w:pPr>
    <w:rPr>
      <w:sz w:val="22"/>
      <w:szCs w:val="22"/>
      <w:lang w:val="sl-SI"/>
    </w:rPr>
  </w:style>
  <w:style w:type="character" w:customStyle="1" w:styleId="AlineazatevilnotokoZnak">
    <w:name w:val="Alinea za številčno točko Znak"/>
    <w:link w:val="Alineazatevilnotoko"/>
    <w:rsid w:val="00993FB7"/>
    <w:rPr>
      <w:rFonts w:ascii="Arial" w:hAnsi="Arial"/>
      <w:sz w:val="22"/>
      <w:szCs w:val="22"/>
      <w:lang w:eastAsia="en-US"/>
    </w:rPr>
  </w:style>
  <w:style w:type="paragraph" w:customStyle="1" w:styleId="rkovnatokazatevilnotoko">
    <w:name w:val="Črkovna točka za številčno točko"/>
    <w:basedOn w:val="tevilnatoka"/>
    <w:link w:val="rkovnatokazatevilnotokoZnak"/>
    <w:qFormat/>
    <w:rsid w:val="00993FB7"/>
    <w:pPr>
      <w:numPr>
        <w:numId w:val="46"/>
      </w:numPr>
      <w:ind w:left="907" w:hanging="510"/>
    </w:pPr>
  </w:style>
  <w:style w:type="character" w:customStyle="1" w:styleId="tevilnatokaZnak">
    <w:name w:val="Številčna točka Znak"/>
    <w:link w:val="tevilnatoka"/>
    <w:rsid w:val="00993FB7"/>
    <w:rPr>
      <w:rFonts w:ascii="Arial" w:hAnsi="Arial"/>
      <w:sz w:val="22"/>
      <w:szCs w:val="22"/>
      <w:lang w:eastAsia="en-US"/>
    </w:rPr>
  </w:style>
  <w:style w:type="paragraph" w:customStyle="1" w:styleId="Alineazaodstavkom">
    <w:name w:val="Alinea za odstavkom"/>
    <w:basedOn w:val="Navaden"/>
    <w:link w:val="AlineazaodstavkomZnak"/>
    <w:qFormat/>
    <w:rsid w:val="00993FB7"/>
    <w:pPr>
      <w:numPr>
        <w:numId w:val="45"/>
      </w:numPr>
      <w:tabs>
        <w:tab w:val="left" w:pos="540"/>
        <w:tab w:val="left" w:pos="900"/>
      </w:tabs>
      <w:spacing w:line="240" w:lineRule="auto"/>
      <w:jc w:val="both"/>
    </w:pPr>
    <w:rPr>
      <w:sz w:val="22"/>
      <w:szCs w:val="22"/>
      <w:lang w:val="sl-SI"/>
    </w:rPr>
  </w:style>
  <w:style w:type="character" w:customStyle="1" w:styleId="rkovnatokazatevilnotokoZnak">
    <w:name w:val="Črkovna točka za številčno točko Znak"/>
    <w:link w:val="rkovnatokazatevilnotoko"/>
    <w:rsid w:val="00993FB7"/>
    <w:rPr>
      <w:rFonts w:ascii="Arial" w:hAnsi="Arial"/>
      <w:sz w:val="22"/>
      <w:szCs w:val="22"/>
      <w:lang w:eastAsia="en-US"/>
    </w:rPr>
  </w:style>
  <w:style w:type="paragraph" w:customStyle="1" w:styleId="tevilkanakoncupredpisa">
    <w:name w:val="Številka na koncu predpisa"/>
    <w:basedOn w:val="Datumsprejetja"/>
    <w:link w:val="tevilkanakoncupredpisaZnak"/>
    <w:qFormat/>
    <w:rsid w:val="00993FB7"/>
    <w:pPr>
      <w:spacing w:before="480"/>
    </w:pPr>
  </w:style>
  <w:style w:type="character" w:customStyle="1" w:styleId="AlineazaodstavkomZnak">
    <w:name w:val="Alinea za odstavkom Znak"/>
    <w:link w:val="Alineazaodstavkom"/>
    <w:rsid w:val="00993FB7"/>
    <w:rPr>
      <w:rFonts w:ascii="Arial" w:hAnsi="Arial"/>
      <w:sz w:val="22"/>
      <w:szCs w:val="22"/>
      <w:lang w:eastAsia="en-US"/>
    </w:rPr>
  </w:style>
  <w:style w:type="paragraph" w:customStyle="1" w:styleId="Datumsprejetja">
    <w:name w:val="Datum sprejetja"/>
    <w:basedOn w:val="Navaden"/>
    <w:link w:val="DatumsprejetjaZnak"/>
    <w:qFormat/>
    <w:rsid w:val="00993FB7"/>
    <w:pPr>
      <w:tabs>
        <w:tab w:val="left" w:pos="567"/>
        <w:tab w:val="left" w:pos="900"/>
        <w:tab w:val="left" w:pos="1440"/>
        <w:tab w:val="left" w:pos="1872"/>
        <w:tab w:val="left" w:pos="2880"/>
        <w:tab w:val="left" w:pos="5760"/>
      </w:tabs>
      <w:overflowPunct w:val="0"/>
      <w:autoSpaceDE w:val="0"/>
      <w:autoSpaceDN w:val="0"/>
      <w:adjustRightInd w:val="0"/>
      <w:spacing w:line="240" w:lineRule="auto"/>
      <w:jc w:val="both"/>
      <w:textAlignment w:val="baseline"/>
    </w:pPr>
    <w:rPr>
      <w:snapToGrid w:val="0"/>
      <w:color w:val="000000"/>
      <w:sz w:val="22"/>
      <w:szCs w:val="22"/>
      <w:lang w:val="sl-SI"/>
    </w:rPr>
  </w:style>
  <w:style w:type="character" w:customStyle="1" w:styleId="tevilkanakoncupredpisaZnak">
    <w:name w:val="Številka na koncu predpisa Znak"/>
    <w:link w:val="tevilkanakoncupredpisa"/>
    <w:rsid w:val="00993FB7"/>
    <w:rPr>
      <w:rFonts w:ascii="Arial" w:hAnsi="Arial"/>
      <w:snapToGrid w:val="0"/>
      <w:color w:val="000000"/>
      <w:sz w:val="22"/>
      <w:szCs w:val="22"/>
      <w:lang w:eastAsia="en-US"/>
    </w:rPr>
  </w:style>
  <w:style w:type="paragraph" w:customStyle="1" w:styleId="Podpisnik">
    <w:name w:val="Podpisnik"/>
    <w:basedOn w:val="Navaden"/>
    <w:link w:val="PodpisnikZnak"/>
    <w:qFormat/>
    <w:rsid w:val="00993FB7"/>
    <w:pPr>
      <w:tabs>
        <w:tab w:val="left" w:pos="6521"/>
      </w:tabs>
      <w:overflowPunct w:val="0"/>
      <w:autoSpaceDE w:val="0"/>
      <w:autoSpaceDN w:val="0"/>
      <w:adjustRightInd w:val="0"/>
      <w:spacing w:line="240" w:lineRule="auto"/>
      <w:ind w:left="5670"/>
      <w:jc w:val="both"/>
      <w:textAlignment w:val="baseline"/>
    </w:pPr>
    <w:rPr>
      <w:sz w:val="22"/>
      <w:szCs w:val="22"/>
      <w:lang w:val="sl-SI"/>
    </w:rPr>
  </w:style>
  <w:style w:type="character" w:customStyle="1" w:styleId="DatumsprejetjaZnak">
    <w:name w:val="Datum sprejetja Znak"/>
    <w:link w:val="Datumsprejetja"/>
    <w:rsid w:val="00993FB7"/>
    <w:rPr>
      <w:rFonts w:ascii="Arial" w:hAnsi="Arial"/>
      <w:snapToGrid w:val="0"/>
      <w:color w:val="000000"/>
      <w:sz w:val="22"/>
      <w:szCs w:val="22"/>
      <w:lang w:eastAsia="en-US"/>
    </w:rPr>
  </w:style>
  <w:style w:type="character" w:customStyle="1" w:styleId="PodpisnikZnak">
    <w:name w:val="Podpisnik Znak"/>
    <w:link w:val="Podpisnik"/>
    <w:rsid w:val="00993FB7"/>
    <w:rPr>
      <w:rFonts w:ascii="Arial" w:hAnsi="Arial"/>
      <w:sz w:val="22"/>
      <w:szCs w:val="22"/>
      <w:lang w:eastAsia="en-US"/>
    </w:rPr>
  </w:style>
  <w:style w:type="paragraph" w:customStyle="1" w:styleId="lennaslov0">
    <w:name w:val="Člen_naslov"/>
    <w:basedOn w:val="Navaden"/>
    <w:uiPriority w:val="99"/>
    <w:qFormat/>
    <w:rsid w:val="00993FB7"/>
    <w:pPr>
      <w:suppressAutoHyphens/>
      <w:overflowPunct w:val="0"/>
      <w:autoSpaceDE w:val="0"/>
      <w:autoSpaceDN w:val="0"/>
      <w:adjustRightInd w:val="0"/>
      <w:spacing w:line="240" w:lineRule="auto"/>
      <w:jc w:val="center"/>
      <w:textAlignment w:val="baseline"/>
    </w:pPr>
    <w:rPr>
      <w:b/>
      <w:szCs w:val="22"/>
      <w:lang w:val="sl-SI"/>
    </w:rPr>
  </w:style>
  <w:style w:type="character" w:customStyle="1" w:styleId="PravnapodlagaZnak">
    <w:name w:val="Pravna podlaga Znak"/>
    <w:link w:val="Pravnapodlaga"/>
    <w:rsid w:val="00993FB7"/>
    <w:rPr>
      <w:rFonts w:ascii="Arial" w:hAnsi="Arial"/>
      <w:sz w:val="22"/>
      <w:szCs w:val="22"/>
      <w:lang w:eastAsia="en-US"/>
    </w:rPr>
  </w:style>
  <w:style w:type="paragraph" w:customStyle="1" w:styleId="Pododdelek">
    <w:name w:val="Pododdelek"/>
    <w:basedOn w:val="Navaden"/>
    <w:link w:val="PododdelekZnak"/>
    <w:qFormat/>
    <w:rsid w:val="00993FB7"/>
    <w:pPr>
      <w:tabs>
        <w:tab w:val="left" w:pos="540"/>
        <w:tab w:val="left" w:pos="900"/>
      </w:tabs>
      <w:overflowPunct w:val="0"/>
      <w:autoSpaceDE w:val="0"/>
      <w:autoSpaceDN w:val="0"/>
      <w:adjustRightInd w:val="0"/>
      <w:spacing w:before="480" w:line="240" w:lineRule="auto"/>
      <w:jc w:val="center"/>
      <w:textAlignment w:val="baseline"/>
    </w:pPr>
    <w:rPr>
      <w:sz w:val="22"/>
      <w:szCs w:val="22"/>
      <w:lang w:val="sl-SI"/>
    </w:rPr>
  </w:style>
  <w:style w:type="character" w:customStyle="1" w:styleId="PododdelekZnak">
    <w:name w:val="Pododdelek Znak"/>
    <w:link w:val="Pododdelek"/>
    <w:rsid w:val="00993FB7"/>
    <w:rPr>
      <w:rFonts w:ascii="Arial" w:hAnsi="Arial"/>
      <w:sz w:val="22"/>
      <w:szCs w:val="22"/>
      <w:lang w:eastAsia="en-US"/>
    </w:rPr>
  </w:style>
  <w:style w:type="paragraph" w:customStyle="1" w:styleId="EVA">
    <w:name w:val="EVA"/>
    <w:basedOn w:val="Navaden"/>
    <w:link w:val="EVAZnak"/>
    <w:qFormat/>
    <w:rsid w:val="00993FB7"/>
    <w:pPr>
      <w:tabs>
        <w:tab w:val="left" w:pos="567"/>
        <w:tab w:val="left" w:pos="900"/>
      </w:tabs>
      <w:overflowPunct w:val="0"/>
      <w:autoSpaceDE w:val="0"/>
      <w:autoSpaceDN w:val="0"/>
      <w:adjustRightInd w:val="0"/>
      <w:spacing w:line="240" w:lineRule="auto"/>
      <w:jc w:val="both"/>
      <w:textAlignment w:val="baseline"/>
    </w:pPr>
    <w:rPr>
      <w:color w:val="000000"/>
      <w:sz w:val="22"/>
      <w:szCs w:val="22"/>
      <w:lang w:val="sl-SI"/>
    </w:rPr>
  </w:style>
  <w:style w:type="character" w:customStyle="1" w:styleId="EVAZnak">
    <w:name w:val="EVA Znak"/>
    <w:link w:val="EVA"/>
    <w:rsid w:val="00993FB7"/>
    <w:rPr>
      <w:rFonts w:ascii="Arial" w:hAnsi="Arial"/>
      <w:color w:val="000000"/>
      <w:sz w:val="22"/>
      <w:szCs w:val="22"/>
      <w:lang w:eastAsia="en-US"/>
    </w:rPr>
  </w:style>
  <w:style w:type="paragraph" w:customStyle="1" w:styleId="Imeorgana">
    <w:name w:val="Ime organa"/>
    <w:basedOn w:val="Navaden"/>
    <w:link w:val="ImeorganaZnak"/>
    <w:qFormat/>
    <w:rsid w:val="00993FB7"/>
    <w:pPr>
      <w:tabs>
        <w:tab w:val="left" w:pos="6521"/>
      </w:tabs>
      <w:overflowPunct w:val="0"/>
      <w:autoSpaceDE w:val="0"/>
      <w:autoSpaceDN w:val="0"/>
      <w:adjustRightInd w:val="0"/>
      <w:spacing w:before="480" w:line="240" w:lineRule="auto"/>
      <w:ind w:left="5670"/>
      <w:textAlignment w:val="baseline"/>
    </w:pPr>
    <w:rPr>
      <w:sz w:val="22"/>
      <w:szCs w:val="22"/>
      <w:lang w:val="sl-SI"/>
    </w:rPr>
  </w:style>
  <w:style w:type="paragraph" w:customStyle="1" w:styleId="Alineja">
    <w:name w:val="Alineja"/>
    <w:basedOn w:val="Navaden"/>
    <w:link w:val="AlinejaZnak"/>
    <w:qFormat/>
    <w:rsid w:val="00993FB7"/>
    <w:pPr>
      <w:numPr>
        <w:numId w:val="42"/>
      </w:numPr>
      <w:overflowPunct w:val="0"/>
      <w:autoSpaceDE w:val="0"/>
      <w:autoSpaceDN w:val="0"/>
      <w:adjustRightInd w:val="0"/>
      <w:spacing w:line="200" w:lineRule="exact"/>
      <w:jc w:val="both"/>
      <w:textAlignment w:val="baseline"/>
    </w:pPr>
    <w:rPr>
      <w:sz w:val="17"/>
      <w:szCs w:val="17"/>
      <w:lang w:val="sl-SI"/>
    </w:rPr>
  </w:style>
  <w:style w:type="character" w:customStyle="1" w:styleId="AlinejaZnak">
    <w:name w:val="Alineja Znak"/>
    <w:link w:val="Alineja"/>
    <w:rsid w:val="00993FB7"/>
    <w:rPr>
      <w:rFonts w:ascii="Arial" w:hAnsi="Arial"/>
      <w:sz w:val="17"/>
      <w:szCs w:val="17"/>
      <w:lang w:eastAsia="en-US"/>
    </w:rPr>
  </w:style>
  <w:style w:type="paragraph" w:customStyle="1" w:styleId="Opozorilo">
    <w:name w:val="Opozorilo"/>
    <w:basedOn w:val="Navaden"/>
    <w:link w:val="OpozoriloZnak"/>
    <w:qFormat/>
    <w:rsid w:val="00993FB7"/>
    <w:pPr>
      <w:overflowPunct w:val="0"/>
      <w:autoSpaceDE w:val="0"/>
      <w:autoSpaceDN w:val="0"/>
      <w:adjustRightInd w:val="0"/>
      <w:spacing w:before="240" w:after="360" w:line="200" w:lineRule="exact"/>
      <w:jc w:val="both"/>
      <w:textAlignment w:val="baseline"/>
    </w:pPr>
    <w:rPr>
      <w:color w:val="808080"/>
      <w:sz w:val="17"/>
      <w:szCs w:val="17"/>
      <w:lang w:val="sl-SI"/>
    </w:rPr>
  </w:style>
  <w:style w:type="character" w:customStyle="1" w:styleId="OpozoriloZnak">
    <w:name w:val="Opozorilo Znak"/>
    <w:link w:val="Opozorilo"/>
    <w:rsid w:val="00993FB7"/>
    <w:rPr>
      <w:rFonts w:ascii="Arial" w:hAnsi="Arial"/>
      <w:color w:val="808080"/>
      <w:sz w:val="17"/>
      <w:szCs w:val="17"/>
      <w:lang w:eastAsia="en-US"/>
    </w:rPr>
  </w:style>
  <w:style w:type="paragraph" w:customStyle="1" w:styleId="len0">
    <w:name w:val="Člen"/>
    <w:basedOn w:val="Navaden"/>
    <w:link w:val="lenZnak"/>
    <w:qFormat/>
    <w:rsid w:val="00993FB7"/>
    <w:pPr>
      <w:suppressAutoHyphens/>
      <w:overflowPunct w:val="0"/>
      <w:autoSpaceDE w:val="0"/>
      <w:autoSpaceDN w:val="0"/>
      <w:adjustRightInd w:val="0"/>
      <w:spacing w:before="480" w:line="240" w:lineRule="auto"/>
      <w:jc w:val="center"/>
      <w:textAlignment w:val="baseline"/>
    </w:pPr>
    <w:rPr>
      <w:b/>
      <w:sz w:val="22"/>
      <w:szCs w:val="22"/>
      <w:lang w:val="sl-SI"/>
    </w:rPr>
  </w:style>
  <w:style w:type="paragraph" w:customStyle="1" w:styleId="Priloga">
    <w:name w:val="Priloga"/>
    <w:basedOn w:val="Navaden"/>
    <w:link w:val="PrilogaZnak"/>
    <w:qFormat/>
    <w:rsid w:val="00993FB7"/>
    <w:pPr>
      <w:overflowPunct w:val="0"/>
      <w:autoSpaceDE w:val="0"/>
      <w:autoSpaceDN w:val="0"/>
      <w:adjustRightInd w:val="0"/>
      <w:spacing w:before="380" w:after="60" w:line="200" w:lineRule="exact"/>
      <w:jc w:val="both"/>
      <w:textAlignment w:val="baseline"/>
    </w:pPr>
    <w:rPr>
      <w:b/>
      <w:sz w:val="17"/>
      <w:szCs w:val="17"/>
      <w:lang w:val="sl-SI"/>
    </w:rPr>
  </w:style>
  <w:style w:type="character" w:customStyle="1" w:styleId="lenZnak">
    <w:name w:val="Člen Znak"/>
    <w:link w:val="len0"/>
    <w:rsid w:val="00993FB7"/>
    <w:rPr>
      <w:rFonts w:ascii="Arial" w:hAnsi="Arial"/>
      <w:b/>
      <w:sz w:val="22"/>
      <w:szCs w:val="22"/>
      <w:lang w:eastAsia="en-US"/>
    </w:rPr>
  </w:style>
  <w:style w:type="character" w:customStyle="1" w:styleId="PrilogaZnak">
    <w:name w:val="Priloga Znak"/>
    <w:link w:val="Priloga"/>
    <w:rsid w:val="00993FB7"/>
    <w:rPr>
      <w:rFonts w:ascii="Arial" w:hAnsi="Arial"/>
      <w:b/>
      <w:sz w:val="17"/>
      <w:szCs w:val="17"/>
      <w:lang w:eastAsia="en-US"/>
    </w:rPr>
  </w:style>
  <w:style w:type="paragraph" w:customStyle="1" w:styleId="rta">
    <w:name w:val="Črta"/>
    <w:basedOn w:val="Navaden"/>
    <w:link w:val="rtaZnak"/>
    <w:qFormat/>
    <w:rsid w:val="00993FB7"/>
    <w:pPr>
      <w:overflowPunct w:val="0"/>
      <w:autoSpaceDE w:val="0"/>
      <w:autoSpaceDN w:val="0"/>
      <w:adjustRightInd w:val="0"/>
      <w:spacing w:before="360" w:line="240" w:lineRule="auto"/>
      <w:jc w:val="center"/>
      <w:textAlignment w:val="baseline"/>
    </w:pPr>
    <w:rPr>
      <w:sz w:val="22"/>
      <w:szCs w:val="22"/>
      <w:lang w:val="sl-SI"/>
    </w:rPr>
  </w:style>
  <w:style w:type="paragraph" w:customStyle="1" w:styleId="NPB0">
    <w:name w:val="NPB"/>
    <w:basedOn w:val="Vrstapredpisa0"/>
    <w:qFormat/>
    <w:rsid w:val="00993FB7"/>
    <w:rPr>
      <w:spacing w:val="0"/>
    </w:rPr>
  </w:style>
  <w:style w:type="character" w:customStyle="1" w:styleId="rtaZnak">
    <w:name w:val="Črta Znak"/>
    <w:link w:val="rta"/>
    <w:rsid w:val="00993FB7"/>
    <w:rPr>
      <w:rFonts w:ascii="Arial" w:hAnsi="Arial"/>
      <w:sz w:val="22"/>
      <w:szCs w:val="22"/>
      <w:lang w:eastAsia="en-US"/>
    </w:rPr>
  </w:style>
  <w:style w:type="paragraph" w:customStyle="1" w:styleId="Zamaknjenadolobaprvinivo">
    <w:name w:val="Zamaknjena določba_prvi nivo"/>
    <w:basedOn w:val="Alineazaodstavkom"/>
    <w:link w:val="ZamaknjenadolobaprvinivoZnak"/>
    <w:qFormat/>
    <w:rsid w:val="00993FB7"/>
    <w:pPr>
      <w:numPr>
        <w:numId w:val="0"/>
      </w:numPr>
    </w:pPr>
  </w:style>
  <w:style w:type="paragraph" w:customStyle="1" w:styleId="Zamaknjenadolobadruginivo">
    <w:name w:val="Zamaknjena določba_drugi nivo"/>
    <w:basedOn w:val="rkovnatokazatevilnotoko"/>
    <w:link w:val="ZamaknjenadolobadruginivoZnak"/>
    <w:qFormat/>
    <w:rsid w:val="00993FB7"/>
    <w:pPr>
      <w:numPr>
        <w:numId w:val="0"/>
      </w:numPr>
      <w:ind w:left="397"/>
    </w:pPr>
  </w:style>
  <w:style w:type="character" w:customStyle="1" w:styleId="ZamaknjenadolobaprvinivoZnak">
    <w:name w:val="Zamaknjena določba_prvi nivo Znak"/>
    <w:link w:val="Zamaknjenadolobaprvinivo"/>
    <w:rsid w:val="00993FB7"/>
    <w:rPr>
      <w:rFonts w:ascii="Arial" w:hAnsi="Arial"/>
      <w:sz w:val="22"/>
      <w:szCs w:val="22"/>
      <w:lang w:eastAsia="en-US"/>
    </w:rPr>
  </w:style>
  <w:style w:type="character" w:customStyle="1" w:styleId="ZamaknjenadolobadruginivoZnak">
    <w:name w:val="Zamaknjena določba_drugi nivo Znak"/>
    <w:link w:val="Zamaknjenadolobadruginivo"/>
    <w:rsid w:val="00993FB7"/>
    <w:rPr>
      <w:rFonts w:ascii="Arial" w:hAnsi="Arial"/>
      <w:sz w:val="22"/>
      <w:szCs w:val="22"/>
      <w:lang w:eastAsia="en-US"/>
    </w:rPr>
  </w:style>
  <w:style w:type="paragraph" w:customStyle="1" w:styleId="Alineazapodtoko">
    <w:name w:val="Alinea za podtočko"/>
    <w:basedOn w:val="Alineazaodstavkom"/>
    <w:link w:val="AlineazapodtokoZnak"/>
    <w:qFormat/>
    <w:rsid w:val="00993FB7"/>
    <w:pPr>
      <w:ind w:left="1134" w:hanging="227"/>
    </w:pPr>
  </w:style>
  <w:style w:type="paragraph" w:customStyle="1" w:styleId="Zamakanjenadolobatretjinivo">
    <w:name w:val="Zamakanjena določba_tretji nivo"/>
    <w:basedOn w:val="Zamaknjenadolobadruginivo"/>
    <w:link w:val="ZamakanjenadolobatretjinivoZnak"/>
    <w:qFormat/>
    <w:rsid w:val="00993FB7"/>
    <w:pPr>
      <w:ind w:left="907"/>
    </w:pPr>
  </w:style>
  <w:style w:type="character" w:customStyle="1" w:styleId="AlineazapodtokoZnak">
    <w:name w:val="Alinea za podtočko Znak"/>
    <w:link w:val="Alineazapodtoko"/>
    <w:rsid w:val="00993FB7"/>
    <w:rPr>
      <w:rFonts w:ascii="Arial" w:hAnsi="Arial"/>
      <w:sz w:val="22"/>
      <w:szCs w:val="22"/>
      <w:lang w:eastAsia="en-US"/>
    </w:rPr>
  </w:style>
  <w:style w:type="numbering" w:customStyle="1" w:styleId="Alinejazaodstavkom">
    <w:name w:val="Alineja za odstavkom"/>
    <w:uiPriority w:val="99"/>
    <w:rsid w:val="00993FB7"/>
    <w:pPr>
      <w:numPr>
        <w:numId w:val="37"/>
      </w:numPr>
    </w:pPr>
  </w:style>
  <w:style w:type="character" w:customStyle="1" w:styleId="ZamakanjenadolobatretjinivoZnak">
    <w:name w:val="Zamakanjena določba_tretji nivo Znak"/>
    <w:link w:val="Zamakanjenadolobatretjinivo"/>
    <w:rsid w:val="00993FB7"/>
    <w:rPr>
      <w:rFonts w:ascii="Arial" w:hAnsi="Arial"/>
      <w:sz w:val="22"/>
      <w:szCs w:val="22"/>
      <w:lang w:eastAsia="en-US"/>
    </w:rPr>
  </w:style>
  <w:style w:type="character" w:customStyle="1" w:styleId="ImeorganaZnak">
    <w:name w:val="Ime organa Znak"/>
    <w:link w:val="Imeorgana"/>
    <w:rsid w:val="00993FB7"/>
    <w:rPr>
      <w:rFonts w:ascii="Arial" w:hAnsi="Arial"/>
      <w:sz w:val="22"/>
      <w:szCs w:val="22"/>
      <w:lang w:eastAsia="en-US"/>
    </w:rPr>
  </w:style>
  <w:style w:type="character" w:customStyle="1" w:styleId="hps">
    <w:name w:val="hps"/>
    <w:rsid w:val="00993FB7"/>
  </w:style>
  <w:style w:type="character" w:customStyle="1" w:styleId="ImepregledniceZnak">
    <w:name w:val="Ime preglednice Znak"/>
    <w:aliases w:val="slike Znak"/>
    <w:link w:val="Imepreglednice"/>
    <w:uiPriority w:val="99"/>
    <w:locked/>
    <w:rsid w:val="00993FB7"/>
  </w:style>
  <w:style w:type="paragraph" w:customStyle="1" w:styleId="Imepreglednice">
    <w:name w:val="Ime preglednice"/>
    <w:aliases w:val="slike"/>
    <w:basedOn w:val="Navaden"/>
    <w:link w:val="ImepregledniceZnak"/>
    <w:uiPriority w:val="99"/>
    <w:rsid w:val="00993FB7"/>
    <w:pPr>
      <w:spacing w:line="240" w:lineRule="auto"/>
      <w:jc w:val="both"/>
    </w:pPr>
    <w:rPr>
      <w:rFonts w:ascii="Times New Roman" w:hAnsi="Times New Roman"/>
      <w:szCs w:val="20"/>
      <w:lang w:val="sl-SI" w:eastAsia="sl-SI"/>
    </w:rPr>
  </w:style>
  <w:style w:type="character" w:customStyle="1" w:styleId="Preglednicalevo">
    <w:name w:val="Preglednica levo"/>
    <w:rsid w:val="00993FB7"/>
    <w:rPr>
      <w:rFonts w:ascii="Tahoma" w:hAnsi="Tahoma" w:cs="Tahoma" w:hint="default"/>
      <w:sz w:val="20"/>
      <w:szCs w:val="20"/>
    </w:rPr>
  </w:style>
  <w:style w:type="character" w:customStyle="1" w:styleId="Preglednicalevoglava">
    <w:name w:val="Preglednica levo glava"/>
    <w:rsid w:val="00993FB7"/>
    <w:rPr>
      <w:rFonts w:ascii="Tahoma" w:hAnsi="Tahoma" w:cs="Tahoma" w:hint="default"/>
      <w:b/>
      <w:bCs/>
      <w:sz w:val="20"/>
      <w:szCs w:val="20"/>
    </w:rPr>
  </w:style>
  <w:style w:type="character" w:customStyle="1" w:styleId="Naslov1Znak1">
    <w:name w:val="Naslov 1 Znak1"/>
    <w:aliases w:val="NASLOV Znak1,PVO-1 Znak1"/>
    <w:uiPriority w:val="9"/>
    <w:locked/>
    <w:rsid w:val="00993FB7"/>
    <w:rPr>
      <w:rFonts w:ascii="Cambria" w:eastAsia="Times New Roman" w:hAnsi="Cambria" w:cs="Times New Roman" w:hint="default"/>
      <w:b/>
      <w:bCs/>
      <w:i/>
      <w:iCs/>
      <w:color w:val="4F81BD"/>
    </w:rPr>
  </w:style>
  <w:style w:type="paragraph" w:styleId="Stvarnokazalo1">
    <w:name w:val="index 1"/>
    <w:basedOn w:val="Navaden"/>
    <w:next w:val="Navaden"/>
    <w:autoRedefine/>
    <w:uiPriority w:val="99"/>
    <w:unhideWhenUsed/>
    <w:rsid w:val="00993FB7"/>
    <w:pPr>
      <w:spacing w:line="240" w:lineRule="auto"/>
      <w:ind w:left="240" w:hanging="240"/>
      <w:jc w:val="both"/>
    </w:pPr>
    <w:rPr>
      <w:rFonts w:ascii="Times New Roman" w:hAnsi="Times New Roman"/>
      <w:sz w:val="24"/>
      <w:szCs w:val="20"/>
    </w:rPr>
  </w:style>
  <w:style w:type="paragraph" w:styleId="Stvarnokazalo2">
    <w:name w:val="index 2"/>
    <w:basedOn w:val="Navaden"/>
    <w:next w:val="Navaden"/>
    <w:autoRedefine/>
    <w:uiPriority w:val="99"/>
    <w:unhideWhenUsed/>
    <w:rsid w:val="00993FB7"/>
    <w:pPr>
      <w:spacing w:line="240" w:lineRule="auto"/>
      <w:ind w:left="480" w:hanging="240"/>
      <w:jc w:val="both"/>
    </w:pPr>
    <w:rPr>
      <w:rFonts w:ascii="Times New Roman" w:hAnsi="Times New Roman"/>
      <w:sz w:val="24"/>
      <w:szCs w:val="20"/>
    </w:rPr>
  </w:style>
  <w:style w:type="paragraph" w:styleId="Stvarnokazalo3">
    <w:name w:val="index 3"/>
    <w:basedOn w:val="Navaden"/>
    <w:next w:val="Navaden"/>
    <w:autoRedefine/>
    <w:uiPriority w:val="99"/>
    <w:unhideWhenUsed/>
    <w:rsid w:val="00993FB7"/>
    <w:pPr>
      <w:spacing w:line="240" w:lineRule="auto"/>
      <w:ind w:left="720" w:hanging="240"/>
      <w:jc w:val="both"/>
    </w:pPr>
    <w:rPr>
      <w:rFonts w:ascii="Times New Roman" w:hAnsi="Times New Roman"/>
      <w:sz w:val="24"/>
      <w:szCs w:val="20"/>
    </w:rPr>
  </w:style>
  <w:style w:type="paragraph" w:styleId="Stvarnokazalo4">
    <w:name w:val="index 4"/>
    <w:basedOn w:val="Navaden"/>
    <w:next w:val="Navaden"/>
    <w:autoRedefine/>
    <w:uiPriority w:val="99"/>
    <w:unhideWhenUsed/>
    <w:rsid w:val="00993FB7"/>
    <w:pPr>
      <w:spacing w:line="240" w:lineRule="auto"/>
      <w:ind w:left="960" w:hanging="240"/>
      <w:jc w:val="both"/>
    </w:pPr>
    <w:rPr>
      <w:rFonts w:ascii="Times New Roman" w:hAnsi="Times New Roman"/>
      <w:sz w:val="24"/>
      <w:szCs w:val="20"/>
    </w:rPr>
  </w:style>
  <w:style w:type="paragraph" w:styleId="Stvarnokazalo5">
    <w:name w:val="index 5"/>
    <w:basedOn w:val="Navaden"/>
    <w:next w:val="Navaden"/>
    <w:autoRedefine/>
    <w:uiPriority w:val="99"/>
    <w:unhideWhenUsed/>
    <w:rsid w:val="00993FB7"/>
    <w:pPr>
      <w:spacing w:line="240" w:lineRule="auto"/>
      <w:ind w:left="1200" w:hanging="240"/>
      <w:jc w:val="both"/>
    </w:pPr>
    <w:rPr>
      <w:rFonts w:ascii="Times New Roman" w:hAnsi="Times New Roman"/>
      <w:sz w:val="24"/>
      <w:szCs w:val="20"/>
    </w:rPr>
  </w:style>
  <w:style w:type="paragraph" w:styleId="Stvarnokazalo6">
    <w:name w:val="index 6"/>
    <w:basedOn w:val="Navaden"/>
    <w:next w:val="Navaden"/>
    <w:autoRedefine/>
    <w:uiPriority w:val="99"/>
    <w:unhideWhenUsed/>
    <w:rsid w:val="00993FB7"/>
    <w:pPr>
      <w:spacing w:line="240" w:lineRule="auto"/>
      <w:ind w:left="1440" w:hanging="240"/>
      <w:jc w:val="both"/>
    </w:pPr>
    <w:rPr>
      <w:rFonts w:ascii="Times New Roman" w:hAnsi="Times New Roman"/>
      <w:sz w:val="24"/>
      <w:szCs w:val="20"/>
    </w:rPr>
  </w:style>
  <w:style w:type="paragraph" w:styleId="Stvarnokazalo7">
    <w:name w:val="index 7"/>
    <w:basedOn w:val="Navaden"/>
    <w:next w:val="Navaden"/>
    <w:autoRedefine/>
    <w:uiPriority w:val="99"/>
    <w:unhideWhenUsed/>
    <w:rsid w:val="00993FB7"/>
    <w:pPr>
      <w:spacing w:line="240" w:lineRule="auto"/>
      <w:ind w:left="1680" w:hanging="240"/>
      <w:jc w:val="both"/>
    </w:pPr>
    <w:rPr>
      <w:rFonts w:ascii="Times New Roman" w:hAnsi="Times New Roman"/>
      <w:sz w:val="24"/>
      <w:szCs w:val="20"/>
    </w:rPr>
  </w:style>
  <w:style w:type="paragraph" w:styleId="Stvarnokazalo8">
    <w:name w:val="index 8"/>
    <w:basedOn w:val="Navaden"/>
    <w:next w:val="Navaden"/>
    <w:autoRedefine/>
    <w:uiPriority w:val="99"/>
    <w:unhideWhenUsed/>
    <w:rsid w:val="00993FB7"/>
    <w:pPr>
      <w:spacing w:line="240" w:lineRule="auto"/>
      <w:ind w:left="1920" w:hanging="240"/>
      <w:jc w:val="both"/>
    </w:pPr>
    <w:rPr>
      <w:rFonts w:ascii="Times New Roman" w:hAnsi="Times New Roman"/>
      <w:sz w:val="24"/>
      <w:szCs w:val="20"/>
    </w:rPr>
  </w:style>
  <w:style w:type="paragraph" w:styleId="Stvarnokazalo9">
    <w:name w:val="index 9"/>
    <w:basedOn w:val="Navaden"/>
    <w:next w:val="Navaden"/>
    <w:autoRedefine/>
    <w:uiPriority w:val="99"/>
    <w:unhideWhenUsed/>
    <w:rsid w:val="00993FB7"/>
    <w:pPr>
      <w:spacing w:line="240" w:lineRule="auto"/>
      <w:ind w:left="2160" w:hanging="240"/>
      <w:jc w:val="both"/>
    </w:pPr>
    <w:rPr>
      <w:rFonts w:ascii="Times New Roman" w:hAnsi="Times New Roman"/>
      <w:sz w:val="24"/>
      <w:szCs w:val="20"/>
    </w:rPr>
  </w:style>
  <w:style w:type="character" w:customStyle="1" w:styleId="NogaZnak1">
    <w:name w:val="Noga Znak1"/>
    <w:aliases w:val="Footer1 Znak1"/>
    <w:semiHidden/>
    <w:rsid w:val="00993FB7"/>
    <w:rPr>
      <w:rFonts w:ascii="Calibri" w:eastAsia="Times New Roman" w:hAnsi="Calibri" w:cs="Times New Roman"/>
      <w:sz w:val="22"/>
      <w:szCs w:val="22"/>
      <w:lang w:eastAsia="ja-JP"/>
    </w:rPr>
  </w:style>
  <w:style w:type="paragraph" w:styleId="Stvarnokazalo-naslov">
    <w:name w:val="index heading"/>
    <w:basedOn w:val="Navaden"/>
    <w:next w:val="Stvarnokazalo1"/>
    <w:uiPriority w:val="99"/>
    <w:unhideWhenUsed/>
    <w:rsid w:val="00993FB7"/>
    <w:pPr>
      <w:widowControl w:val="0"/>
      <w:tabs>
        <w:tab w:val="left" w:pos="1021"/>
        <w:tab w:val="left" w:pos="1418"/>
        <w:tab w:val="left" w:pos="1786"/>
        <w:tab w:val="left" w:pos="2381"/>
        <w:tab w:val="left" w:pos="2948"/>
        <w:tab w:val="left" w:pos="3572"/>
        <w:tab w:val="left" w:pos="4139"/>
        <w:tab w:val="left" w:pos="4763"/>
        <w:tab w:val="left" w:pos="5387"/>
        <w:tab w:val="left" w:pos="5954"/>
        <w:tab w:val="left" w:pos="6577"/>
        <w:tab w:val="left" w:pos="7144"/>
      </w:tabs>
      <w:spacing w:line="240" w:lineRule="auto"/>
      <w:ind w:firstLine="284"/>
      <w:jc w:val="both"/>
    </w:pPr>
    <w:rPr>
      <w:rFonts w:ascii="Times New Roman" w:hAnsi="Times New Roman"/>
      <w:sz w:val="24"/>
      <w:szCs w:val="20"/>
    </w:rPr>
  </w:style>
  <w:style w:type="paragraph" w:styleId="Seznam">
    <w:name w:val="List"/>
    <w:basedOn w:val="Navaden"/>
    <w:uiPriority w:val="99"/>
    <w:unhideWhenUsed/>
    <w:rsid w:val="00993FB7"/>
    <w:pPr>
      <w:spacing w:line="240" w:lineRule="auto"/>
      <w:ind w:left="283" w:hanging="283"/>
    </w:pPr>
    <w:rPr>
      <w:rFonts w:ascii="Verdana" w:hAnsi="Verdana"/>
      <w:b/>
      <w:szCs w:val="22"/>
      <w:lang w:val="en-GB"/>
    </w:rPr>
  </w:style>
  <w:style w:type="paragraph" w:styleId="Otevilenseznam">
    <w:name w:val="List Number"/>
    <w:basedOn w:val="Navaden"/>
    <w:uiPriority w:val="99"/>
    <w:unhideWhenUsed/>
    <w:rsid w:val="00993FB7"/>
    <w:pPr>
      <w:numPr>
        <w:numId w:val="47"/>
      </w:numPr>
      <w:tabs>
        <w:tab w:val="clear" w:pos="360"/>
      </w:tabs>
      <w:spacing w:line="240" w:lineRule="auto"/>
      <w:ind w:left="1440"/>
      <w:jc w:val="both"/>
    </w:pPr>
    <w:rPr>
      <w:rFonts w:ascii="Times New Roman" w:hAnsi="Times New Roman"/>
      <w:sz w:val="24"/>
      <w:szCs w:val="20"/>
      <w:lang w:val="sl-SI"/>
    </w:rPr>
  </w:style>
  <w:style w:type="character" w:customStyle="1" w:styleId="Seznam3Znak">
    <w:name w:val="Seznam 3 Znak"/>
    <w:link w:val="Seznam3"/>
    <w:locked/>
    <w:rsid w:val="00993FB7"/>
    <w:rPr>
      <w:rFonts w:ascii="Times New Roman (WE)" w:hAnsi="Times New Roman (WE)"/>
      <w:sz w:val="24"/>
      <w:lang w:val="en-US"/>
    </w:rPr>
  </w:style>
  <w:style w:type="paragraph" w:styleId="Seznam3">
    <w:name w:val="List 3"/>
    <w:basedOn w:val="Navaden"/>
    <w:link w:val="Seznam3Znak"/>
    <w:unhideWhenUsed/>
    <w:rsid w:val="00993FB7"/>
    <w:pPr>
      <w:spacing w:line="240" w:lineRule="auto"/>
      <w:ind w:left="849" w:hanging="283"/>
      <w:jc w:val="both"/>
    </w:pPr>
    <w:rPr>
      <w:rFonts w:ascii="Times New Roman (WE)" w:hAnsi="Times New Roman (WE)"/>
      <w:sz w:val="24"/>
      <w:szCs w:val="20"/>
      <w:lang w:eastAsia="sl-SI"/>
    </w:rPr>
  </w:style>
  <w:style w:type="paragraph" w:styleId="Otevilenseznam2">
    <w:name w:val="List Number 2"/>
    <w:basedOn w:val="Navaden"/>
    <w:uiPriority w:val="99"/>
    <w:unhideWhenUsed/>
    <w:rsid w:val="00993FB7"/>
    <w:pPr>
      <w:numPr>
        <w:numId w:val="48"/>
      </w:numPr>
      <w:tabs>
        <w:tab w:val="clear" w:pos="643"/>
      </w:tabs>
      <w:spacing w:line="240" w:lineRule="auto"/>
      <w:ind w:left="720"/>
      <w:jc w:val="both"/>
    </w:pPr>
    <w:rPr>
      <w:rFonts w:ascii="Times New Roman" w:hAnsi="Times New Roman"/>
      <w:sz w:val="24"/>
      <w:szCs w:val="20"/>
      <w:lang w:val="sl-SI"/>
    </w:rPr>
  </w:style>
  <w:style w:type="paragraph" w:styleId="Naslov">
    <w:name w:val="Title"/>
    <w:basedOn w:val="Navaden"/>
    <w:next w:val="Navaden"/>
    <w:link w:val="NaslovZnak"/>
    <w:qFormat/>
    <w:rsid w:val="00993FB7"/>
    <w:pPr>
      <w:pBdr>
        <w:bottom w:val="single" w:sz="8" w:space="4" w:color="4F81BD"/>
      </w:pBdr>
      <w:spacing w:after="300" w:line="240" w:lineRule="auto"/>
      <w:contextualSpacing/>
    </w:pPr>
    <w:rPr>
      <w:rFonts w:ascii="Cambria" w:hAnsi="Cambria"/>
      <w:color w:val="17365D"/>
      <w:spacing w:val="5"/>
      <w:kern w:val="28"/>
      <w:sz w:val="52"/>
      <w:szCs w:val="52"/>
      <w:lang w:val="sl-SI" w:eastAsia="ja-JP"/>
    </w:rPr>
  </w:style>
  <w:style w:type="character" w:customStyle="1" w:styleId="NaslovZnak">
    <w:name w:val="Naslov Znak"/>
    <w:basedOn w:val="Privzetapisavaodstavka"/>
    <w:link w:val="Naslov"/>
    <w:rsid w:val="00993FB7"/>
    <w:rPr>
      <w:rFonts w:ascii="Cambria" w:hAnsi="Cambria"/>
      <w:color w:val="17365D"/>
      <w:spacing w:val="5"/>
      <w:kern w:val="28"/>
      <w:sz w:val="52"/>
      <w:szCs w:val="52"/>
      <w:lang w:eastAsia="ja-JP"/>
    </w:rPr>
  </w:style>
  <w:style w:type="paragraph" w:styleId="Telobesedila-zamik">
    <w:name w:val="Body Text Indent"/>
    <w:basedOn w:val="Navaden"/>
    <w:link w:val="Telobesedila-zamikZnak"/>
    <w:uiPriority w:val="99"/>
    <w:unhideWhenUsed/>
    <w:rsid w:val="00993FB7"/>
    <w:pPr>
      <w:spacing w:after="120" w:line="240" w:lineRule="auto"/>
      <w:ind w:left="283"/>
    </w:pPr>
    <w:rPr>
      <w:rFonts w:ascii="Calibri" w:hAnsi="Calibri"/>
      <w:sz w:val="22"/>
      <w:szCs w:val="22"/>
      <w:lang w:val="sl-SI" w:eastAsia="ja-JP"/>
    </w:rPr>
  </w:style>
  <w:style w:type="character" w:customStyle="1" w:styleId="Telobesedila-zamikZnak">
    <w:name w:val="Telo besedila - zamik Znak"/>
    <w:basedOn w:val="Privzetapisavaodstavka"/>
    <w:link w:val="Telobesedila-zamik"/>
    <w:uiPriority w:val="99"/>
    <w:rsid w:val="00993FB7"/>
    <w:rPr>
      <w:rFonts w:ascii="Calibri" w:hAnsi="Calibri"/>
      <w:sz w:val="22"/>
      <w:szCs w:val="22"/>
      <w:lang w:eastAsia="ja-JP"/>
    </w:rPr>
  </w:style>
  <w:style w:type="paragraph" w:styleId="Podnaslov">
    <w:name w:val="Subtitle"/>
    <w:aliases w:val="4 nuv"/>
    <w:basedOn w:val="Navaden"/>
    <w:next w:val="Navaden"/>
    <w:link w:val="PodnaslovZnak"/>
    <w:uiPriority w:val="11"/>
    <w:qFormat/>
    <w:rsid w:val="00993FB7"/>
    <w:pPr>
      <w:spacing w:line="240" w:lineRule="auto"/>
    </w:pPr>
    <w:rPr>
      <w:b/>
      <w:iCs/>
      <w:spacing w:val="15"/>
      <w:sz w:val="24"/>
      <w:lang w:val="sl-SI" w:eastAsia="ja-JP"/>
    </w:rPr>
  </w:style>
  <w:style w:type="character" w:customStyle="1" w:styleId="PodnaslovZnak">
    <w:name w:val="Podnaslov Znak"/>
    <w:aliases w:val="4 nuv Znak"/>
    <w:basedOn w:val="Privzetapisavaodstavka"/>
    <w:link w:val="Podnaslov"/>
    <w:uiPriority w:val="11"/>
    <w:rsid w:val="00993FB7"/>
    <w:rPr>
      <w:rFonts w:ascii="Arial" w:hAnsi="Arial"/>
      <w:b/>
      <w:iCs/>
      <w:spacing w:val="15"/>
      <w:sz w:val="24"/>
      <w:szCs w:val="24"/>
      <w:lang w:eastAsia="ja-JP"/>
    </w:rPr>
  </w:style>
  <w:style w:type="paragraph" w:styleId="Blokbesedila">
    <w:name w:val="Block Text"/>
    <w:basedOn w:val="Navaden"/>
    <w:uiPriority w:val="99"/>
    <w:unhideWhenUsed/>
    <w:rsid w:val="00993FB7"/>
    <w:pPr>
      <w:spacing w:after="60" w:line="240" w:lineRule="auto"/>
      <w:ind w:left="113" w:right="113" w:firstLine="284"/>
      <w:jc w:val="both"/>
    </w:pPr>
    <w:rPr>
      <w:rFonts w:ascii="Times New Roman" w:hAnsi="Times New Roman"/>
      <w:color w:val="0000FF"/>
      <w:sz w:val="18"/>
      <w:szCs w:val="20"/>
      <w:lang w:val="en-GB"/>
    </w:rPr>
  </w:style>
  <w:style w:type="paragraph" w:styleId="Citat">
    <w:name w:val="Quote"/>
    <w:basedOn w:val="Navaden"/>
    <w:next w:val="Navaden"/>
    <w:link w:val="CitatZnak"/>
    <w:uiPriority w:val="29"/>
    <w:qFormat/>
    <w:rsid w:val="00993FB7"/>
    <w:pPr>
      <w:spacing w:line="240" w:lineRule="auto"/>
    </w:pPr>
    <w:rPr>
      <w:rFonts w:ascii="Calibri" w:hAnsi="Calibri"/>
      <w:i/>
      <w:iCs/>
      <w:color w:val="000000"/>
      <w:sz w:val="22"/>
      <w:szCs w:val="22"/>
      <w:lang w:val="sl-SI" w:eastAsia="ja-JP"/>
    </w:rPr>
  </w:style>
  <w:style w:type="character" w:customStyle="1" w:styleId="CitatZnak">
    <w:name w:val="Citat Znak"/>
    <w:basedOn w:val="Privzetapisavaodstavka"/>
    <w:link w:val="Citat"/>
    <w:uiPriority w:val="29"/>
    <w:rsid w:val="00993FB7"/>
    <w:rPr>
      <w:rFonts w:ascii="Calibri" w:hAnsi="Calibri"/>
      <w:i/>
      <w:iCs/>
      <w:color w:val="000000"/>
      <w:sz w:val="22"/>
      <w:szCs w:val="22"/>
      <w:lang w:eastAsia="ja-JP"/>
    </w:rPr>
  </w:style>
  <w:style w:type="character" w:customStyle="1" w:styleId="IntenzivencitatZnak">
    <w:name w:val="Intenziven citat Znak"/>
    <w:aliases w:val="Seznam Prilog Znak"/>
    <w:link w:val="Intenzivencitat"/>
    <w:uiPriority w:val="30"/>
    <w:locked/>
    <w:rsid w:val="00993FB7"/>
    <w:rPr>
      <w:b/>
      <w:bCs/>
      <w:i/>
      <w:iCs/>
      <w:color w:val="4F81BD"/>
    </w:rPr>
  </w:style>
  <w:style w:type="paragraph" w:styleId="Intenzivencitat">
    <w:name w:val="Intense Quote"/>
    <w:aliases w:val="Seznam Prilog"/>
    <w:basedOn w:val="Navaden"/>
    <w:next w:val="Navaden"/>
    <w:link w:val="IntenzivencitatZnak"/>
    <w:uiPriority w:val="30"/>
    <w:qFormat/>
    <w:rsid w:val="00993FB7"/>
    <w:pPr>
      <w:pBdr>
        <w:bottom w:val="single" w:sz="4" w:space="4" w:color="4F81BD"/>
      </w:pBdr>
      <w:spacing w:before="200" w:after="280" w:line="240" w:lineRule="auto"/>
      <w:ind w:left="936" w:right="936"/>
    </w:pPr>
    <w:rPr>
      <w:rFonts w:ascii="Times New Roman" w:hAnsi="Times New Roman"/>
      <w:b/>
      <w:bCs/>
      <w:i/>
      <w:iCs/>
      <w:color w:val="4F81BD"/>
      <w:szCs w:val="20"/>
      <w:lang w:val="sl-SI" w:eastAsia="sl-SI"/>
    </w:rPr>
  </w:style>
  <w:style w:type="character" w:customStyle="1" w:styleId="IntenzivencitatZnak1">
    <w:name w:val="Intenziven citat Znak1"/>
    <w:aliases w:val="Seznam Prilog Znak1"/>
    <w:basedOn w:val="Privzetapisavaodstavka"/>
    <w:uiPriority w:val="30"/>
    <w:rsid w:val="00993FB7"/>
    <w:rPr>
      <w:rFonts w:ascii="Arial" w:hAnsi="Arial"/>
      <w:b/>
      <w:bCs/>
      <w:i/>
      <w:iCs/>
      <w:color w:val="DDDDDD" w:themeColor="accent1"/>
      <w:szCs w:val="24"/>
      <w:lang w:val="en-US" w:eastAsia="en-US"/>
    </w:rPr>
  </w:style>
  <w:style w:type="paragraph" w:customStyle="1" w:styleId="lennovele">
    <w:name w:val="Člen_novele"/>
    <w:basedOn w:val="len0"/>
    <w:link w:val="lennoveleZnak"/>
    <w:qFormat/>
    <w:rsid w:val="00993FB7"/>
  </w:style>
  <w:style w:type="paragraph" w:customStyle="1" w:styleId="ZnakZnak2CharCharZnakZnak">
    <w:name w:val="Znak Znak2 Char Char Znak Znak"/>
    <w:basedOn w:val="Navaden"/>
    <w:uiPriority w:val="99"/>
    <w:rsid w:val="00993FB7"/>
    <w:pPr>
      <w:spacing w:line="240" w:lineRule="auto"/>
    </w:pPr>
    <w:rPr>
      <w:rFonts w:ascii="Times New Roman" w:hAnsi="Times New Roman"/>
      <w:noProof/>
      <w:sz w:val="24"/>
      <w:szCs w:val="22"/>
      <w:lang w:val="pl-PL" w:eastAsia="pl-PL"/>
    </w:rPr>
  </w:style>
  <w:style w:type="paragraph" w:customStyle="1" w:styleId="ZnakZnakZnakZnakZnak1">
    <w:name w:val="Znak Znak Znak Znak Znak1"/>
    <w:basedOn w:val="Navaden"/>
    <w:uiPriority w:val="99"/>
    <w:rsid w:val="00993FB7"/>
    <w:pPr>
      <w:spacing w:line="240" w:lineRule="auto"/>
    </w:pPr>
    <w:rPr>
      <w:rFonts w:ascii="Times New Roman" w:hAnsi="Times New Roman"/>
      <w:sz w:val="24"/>
      <w:szCs w:val="22"/>
      <w:lang w:val="pl-PL" w:eastAsia="pl-PL"/>
    </w:rPr>
  </w:style>
  <w:style w:type="paragraph" w:customStyle="1" w:styleId="Navadensplet1">
    <w:name w:val="Navaden (splet)1"/>
    <w:basedOn w:val="Navaden"/>
    <w:uiPriority w:val="99"/>
    <w:rsid w:val="00993FB7"/>
    <w:pPr>
      <w:spacing w:before="100" w:beforeAutospacing="1" w:after="240" w:line="240" w:lineRule="auto"/>
    </w:pPr>
    <w:rPr>
      <w:rFonts w:ascii="Times New Roman" w:hAnsi="Times New Roman"/>
      <w:sz w:val="24"/>
      <w:szCs w:val="22"/>
      <w:lang w:val="sl-SI" w:eastAsia="ja-JP"/>
    </w:rPr>
  </w:style>
  <w:style w:type="paragraph" w:customStyle="1" w:styleId="MOPbesedilo">
    <w:name w:val="MOP_besedilo"/>
    <w:basedOn w:val="Navadensplet1"/>
    <w:uiPriority w:val="99"/>
    <w:rsid w:val="00993FB7"/>
    <w:pPr>
      <w:jc w:val="both"/>
    </w:pPr>
    <w:rPr>
      <w:rFonts w:ascii="Arial" w:eastAsia="TimesNewRoman" w:hAnsi="Arial" w:cs="Arial"/>
      <w:sz w:val="20"/>
      <w:szCs w:val="20"/>
    </w:rPr>
  </w:style>
  <w:style w:type="numbering" w:customStyle="1" w:styleId="Alinejazaodstavkom1">
    <w:name w:val="Alineja za odstavkom1"/>
    <w:uiPriority w:val="99"/>
    <w:rsid w:val="00993FB7"/>
    <w:pPr>
      <w:numPr>
        <w:numId w:val="43"/>
      </w:numPr>
    </w:pPr>
  </w:style>
  <w:style w:type="character" w:customStyle="1" w:styleId="FootnoteTextChar1">
    <w:name w:val="Footnote Text Char1"/>
    <w:uiPriority w:val="99"/>
    <w:semiHidden/>
    <w:rsid w:val="00993FB7"/>
    <w:rPr>
      <w:rFonts w:ascii="Arial" w:eastAsia="Times New Roman" w:hAnsi="Arial"/>
    </w:rPr>
  </w:style>
  <w:style w:type="table" w:customStyle="1" w:styleId="TableGrid1">
    <w:name w:val="Table Grid1"/>
    <w:basedOn w:val="Navadnatabela"/>
    <w:next w:val="Tabelamrea"/>
    <w:uiPriority w:val="99"/>
    <w:rsid w:val="00993FB7"/>
    <w:rPr>
      <w:rFonts w:ascii="Calibri" w:hAnsi="Calibri"/>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7">
    <w:name w:val="Pa7"/>
    <w:basedOn w:val="Navaden"/>
    <w:next w:val="Navaden"/>
    <w:uiPriority w:val="99"/>
    <w:rsid w:val="00993FB7"/>
    <w:pPr>
      <w:autoSpaceDE w:val="0"/>
      <w:autoSpaceDN w:val="0"/>
      <w:adjustRightInd w:val="0"/>
      <w:spacing w:line="221" w:lineRule="atLeast"/>
    </w:pPr>
    <w:rPr>
      <w:rFonts w:ascii="Verdana" w:hAnsi="Verdana"/>
      <w:szCs w:val="22"/>
      <w:lang w:val="sl-SI" w:eastAsia="ja-JP"/>
    </w:rPr>
  </w:style>
  <w:style w:type="paragraph" w:customStyle="1" w:styleId="1Heading">
    <w:name w:val="1 Heading"/>
    <w:uiPriority w:val="99"/>
    <w:rsid w:val="00993FB7"/>
    <w:pPr>
      <w:tabs>
        <w:tab w:val="num" w:pos="432"/>
      </w:tabs>
      <w:spacing w:before="240" w:after="60" w:line="360" w:lineRule="auto"/>
      <w:ind w:left="432" w:hanging="432"/>
    </w:pPr>
    <w:rPr>
      <w:rFonts w:ascii="Tahoma" w:hAnsi="Tahoma"/>
      <w:sz w:val="28"/>
      <w:szCs w:val="24"/>
    </w:rPr>
  </w:style>
  <w:style w:type="paragraph" w:customStyle="1" w:styleId="Standard1">
    <w:name w:val="Standard1"/>
    <w:uiPriority w:val="99"/>
    <w:rsid w:val="00993FB7"/>
    <w:rPr>
      <w:rFonts w:ascii="Calibri" w:eastAsia="ヒラギノ角ゴ Pro W3" w:hAnsi="Calibri"/>
      <w:color w:val="000000"/>
      <w:sz w:val="24"/>
      <w:szCs w:val="22"/>
      <w:lang w:eastAsia="zh-CN"/>
    </w:rPr>
  </w:style>
  <w:style w:type="paragraph" w:customStyle="1" w:styleId="Podnaslov1">
    <w:name w:val="Podnaslov1"/>
    <w:basedOn w:val="Navaden"/>
    <w:next w:val="Navaden"/>
    <w:autoRedefine/>
    <w:uiPriority w:val="99"/>
    <w:rsid w:val="00993FB7"/>
    <w:pPr>
      <w:numPr>
        <w:ilvl w:val="1"/>
        <w:numId w:val="49"/>
      </w:numPr>
      <w:spacing w:before="240" w:after="60" w:line="240" w:lineRule="auto"/>
      <w:ind w:left="998" w:hanging="431"/>
      <w:jc w:val="both"/>
    </w:pPr>
    <w:rPr>
      <w:rFonts w:ascii="Calibri" w:hAnsi="Calibri"/>
      <w:bCs/>
      <w:sz w:val="24"/>
      <w:szCs w:val="28"/>
      <w:lang w:val="sl-SI"/>
    </w:rPr>
  </w:style>
  <w:style w:type="paragraph" w:customStyle="1" w:styleId="font0">
    <w:name w:val="font0"/>
    <w:basedOn w:val="Navaden"/>
    <w:uiPriority w:val="99"/>
    <w:rsid w:val="00993FB7"/>
    <w:pPr>
      <w:spacing w:before="100" w:beforeAutospacing="1" w:after="100" w:afterAutospacing="1" w:line="240" w:lineRule="auto"/>
    </w:pPr>
    <w:rPr>
      <w:rFonts w:ascii="Calibri" w:hAnsi="Calibri"/>
      <w:color w:val="000000"/>
      <w:szCs w:val="22"/>
      <w:lang w:val="sl-SI" w:eastAsia="ja-JP"/>
    </w:rPr>
  </w:style>
  <w:style w:type="paragraph" w:customStyle="1" w:styleId="font5">
    <w:name w:val="font5"/>
    <w:basedOn w:val="Navaden"/>
    <w:rsid w:val="00993FB7"/>
    <w:pPr>
      <w:spacing w:before="100" w:beforeAutospacing="1" w:after="100" w:afterAutospacing="1" w:line="240" w:lineRule="auto"/>
    </w:pPr>
    <w:rPr>
      <w:rFonts w:ascii="Calibri" w:hAnsi="Calibri"/>
      <w:color w:val="000000"/>
      <w:szCs w:val="22"/>
      <w:lang w:val="sl-SI" w:eastAsia="ja-JP"/>
    </w:rPr>
  </w:style>
  <w:style w:type="paragraph" w:customStyle="1" w:styleId="xl65">
    <w:name w:val="xl65"/>
    <w:basedOn w:val="Navaden"/>
    <w:rsid w:val="00993FB7"/>
    <w:pPr>
      <w:shd w:val="clear" w:color="auto" w:fill="C6EFCE"/>
      <w:spacing w:before="100" w:beforeAutospacing="1" w:after="100" w:afterAutospacing="1" w:line="240" w:lineRule="auto"/>
    </w:pPr>
    <w:rPr>
      <w:rFonts w:ascii="Times New Roman" w:hAnsi="Times New Roman"/>
      <w:color w:val="006100"/>
      <w:sz w:val="24"/>
      <w:szCs w:val="22"/>
      <w:lang w:val="sl-SI" w:eastAsia="ja-JP"/>
    </w:rPr>
  </w:style>
  <w:style w:type="paragraph" w:customStyle="1" w:styleId="xl67">
    <w:name w:val="xl67"/>
    <w:basedOn w:val="Navaden"/>
    <w:rsid w:val="00993FB7"/>
    <w:pPr>
      <w:shd w:val="clear" w:color="auto" w:fill="C6EFCE"/>
      <w:spacing w:before="100" w:beforeAutospacing="1" w:after="100" w:afterAutospacing="1" w:line="240" w:lineRule="auto"/>
    </w:pPr>
    <w:rPr>
      <w:rFonts w:ascii="Times New Roman" w:hAnsi="Times New Roman"/>
      <w:color w:val="006100"/>
      <w:sz w:val="24"/>
      <w:szCs w:val="22"/>
      <w:lang w:val="sl-SI" w:eastAsia="ja-JP"/>
    </w:rPr>
  </w:style>
  <w:style w:type="paragraph" w:customStyle="1" w:styleId="xl68">
    <w:name w:val="xl68"/>
    <w:basedOn w:val="Navaden"/>
    <w:rsid w:val="00993FB7"/>
    <w:pPr>
      <w:shd w:val="clear" w:color="auto" w:fill="C8E4EA"/>
      <w:spacing w:before="100" w:beforeAutospacing="1" w:after="100" w:afterAutospacing="1" w:line="240" w:lineRule="auto"/>
    </w:pPr>
    <w:rPr>
      <w:rFonts w:ascii="Times New Roman" w:hAnsi="Times New Roman"/>
      <w:sz w:val="24"/>
      <w:szCs w:val="22"/>
      <w:lang w:val="sl-SI" w:eastAsia="ja-JP"/>
    </w:rPr>
  </w:style>
  <w:style w:type="paragraph" w:customStyle="1" w:styleId="xl69">
    <w:name w:val="xl69"/>
    <w:basedOn w:val="Navaden"/>
    <w:rsid w:val="00993FB7"/>
    <w:pPr>
      <w:shd w:val="clear" w:color="auto" w:fill="C8E4EA"/>
      <w:spacing w:before="100" w:beforeAutospacing="1" w:after="100" w:afterAutospacing="1" w:line="240" w:lineRule="auto"/>
    </w:pPr>
    <w:rPr>
      <w:rFonts w:ascii="Times New Roman" w:hAnsi="Times New Roman"/>
      <w:sz w:val="24"/>
      <w:szCs w:val="22"/>
      <w:lang w:val="sl-SI" w:eastAsia="ja-JP"/>
    </w:rPr>
  </w:style>
  <w:style w:type="paragraph" w:customStyle="1" w:styleId="xl66">
    <w:name w:val="xl66"/>
    <w:basedOn w:val="Navaden"/>
    <w:rsid w:val="00993FB7"/>
    <w:pPr>
      <w:shd w:val="clear" w:color="auto" w:fill="D4D3DF"/>
      <w:spacing w:before="100" w:beforeAutospacing="1" w:after="100" w:afterAutospacing="1" w:line="240" w:lineRule="auto"/>
    </w:pPr>
    <w:rPr>
      <w:rFonts w:ascii="Times New Roman" w:hAnsi="Times New Roman"/>
      <w:sz w:val="24"/>
      <w:szCs w:val="22"/>
      <w:lang w:val="sl-SI" w:eastAsia="ja-JP"/>
    </w:rPr>
  </w:style>
  <w:style w:type="paragraph" w:customStyle="1" w:styleId="xl70">
    <w:name w:val="xl70"/>
    <w:basedOn w:val="Navaden"/>
    <w:rsid w:val="00993FB7"/>
    <w:pPr>
      <w:shd w:val="clear" w:color="auto" w:fill="C8E4EA"/>
      <w:spacing w:before="100" w:beforeAutospacing="1" w:after="100" w:afterAutospacing="1" w:line="240" w:lineRule="auto"/>
    </w:pPr>
    <w:rPr>
      <w:rFonts w:ascii="Times New Roman" w:hAnsi="Times New Roman"/>
      <w:sz w:val="24"/>
      <w:szCs w:val="22"/>
      <w:lang w:val="sl-SI" w:eastAsia="ja-JP"/>
    </w:rPr>
  </w:style>
  <w:style w:type="paragraph" w:customStyle="1" w:styleId="mrppsi">
    <w:name w:val="mrppsi"/>
    <w:basedOn w:val="Navaden"/>
    <w:uiPriority w:val="99"/>
    <w:rsid w:val="00993FB7"/>
    <w:pPr>
      <w:spacing w:before="100" w:beforeAutospacing="1" w:after="100" w:afterAutospacing="1" w:line="240" w:lineRule="auto"/>
    </w:pPr>
    <w:rPr>
      <w:rFonts w:ascii="Times New Roman" w:hAnsi="Times New Roman"/>
      <w:sz w:val="24"/>
      <w:szCs w:val="22"/>
      <w:lang w:val="sl-SI" w:eastAsia="ja-JP"/>
    </w:rPr>
  </w:style>
  <w:style w:type="paragraph" w:customStyle="1" w:styleId="xl63">
    <w:name w:val="xl63"/>
    <w:basedOn w:val="Navaden"/>
    <w:rsid w:val="00993FB7"/>
    <w:pPr>
      <w:spacing w:before="100" w:beforeAutospacing="1" w:after="100" w:afterAutospacing="1" w:line="240" w:lineRule="auto"/>
      <w:jc w:val="right"/>
    </w:pPr>
    <w:rPr>
      <w:rFonts w:ascii="Times New Roman" w:hAnsi="Times New Roman"/>
      <w:b/>
      <w:bCs/>
      <w:sz w:val="28"/>
      <w:szCs w:val="28"/>
      <w:lang w:val="sl-SI" w:eastAsia="ja-JP"/>
    </w:rPr>
  </w:style>
  <w:style w:type="paragraph" w:customStyle="1" w:styleId="xl64">
    <w:name w:val="xl64"/>
    <w:basedOn w:val="Navaden"/>
    <w:rsid w:val="00993FB7"/>
    <w:pPr>
      <w:spacing w:before="100" w:beforeAutospacing="1" w:after="100" w:afterAutospacing="1" w:line="240" w:lineRule="auto"/>
    </w:pPr>
    <w:rPr>
      <w:rFonts w:ascii="Times New Roman" w:hAnsi="Times New Roman"/>
      <w:sz w:val="24"/>
      <w:szCs w:val="22"/>
      <w:lang w:val="sl-SI" w:eastAsia="ja-JP"/>
    </w:rPr>
  </w:style>
  <w:style w:type="paragraph" w:customStyle="1" w:styleId="xl71">
    <w:name w:val="xl71"/>
    <w:basedOn w:val="Navaden"/>
    <w:rsid w:val="00993FB7"/>
    <w:pPr>
      <w:spacing w:before="100" w:beforeAutospacing="1" w:after="100" w:afterAutospacing="1" w:line="240" w:lineRule="auto"/>
      <w:jc w:val="right"/>
    </w:pPr>
    <w:rPr>
      <w:rFonts w:ascii="Times New Roman" w:hAnsi="Times New Roman"/>
      <w:b/>
      <w:bCs/>
      <w:sz w:val="24"/>
      <w:szCs w:val="22"/>
      <w:lang w:val="sl-SI" w:eastAsia="ja-JP"/>
    </w:rPr>
  </w:style>
  <w:style w:type="paragraph" w:customStyle="1" w:styleId="xl72">
    <w:name w:val="xl72"/>
    <w:basedOn w:val="Navaden"/>
    <w:rsid w:val="00993FB7"/>
    <w:pPr>
      <w:spacing w:before="100" w:beforeAutospacing="1" w:after="100" w:afterAutospacing="1" w:line="240" w:lineRule="auto"/>
    </w:pPr>
    <w:rPr>
      <w:rFonts w:ascii="Times New Roman" w:hAnsi="Times New Roman"/>
      <w:b/>
      <w:bCs/>
      <w:sz w:val="24"/>
      <w:szCs w:val="22"/>
      <w:lang w:val="sl-SI" w:eastAsia="ja-JP"/>
    </w:rPr>
  </w:style>
  <w:style w:type="paragraph" w:customStyle="1" w:styleId="xl73">
    <w:name w:val="xl73"/>
    <w:basedOn w:val="Navaden"/>
    <w:rsid w:val="00993FB7"/>
    <w:pPr>
      <w:spacing w:before="100" w:beforeAutospacing="1" w:after="100" w:afterAutospacing="1" w:line="240" w:lineRule="auto"/>
      <w:jc w:val="right"/>
    </w:pPr>
    <w:rPr>
      <w:rFonts w:ascii="Times New Roman" w:hAnsi="Times New Roman"/>
      <w:color w:val="C0504D"/>
      <w:sz w:val="24"/>
      <w:szCs w:val="22"/>
      <w:lang w:val="sl-SI" w:eastAsia="ja-JP"/>
    </w:rPr>
  </w:style>
  <w:style w:type="paragraph" w:customStyle="1" w:styleId="xl74">
    <w:name w:val="xl74"/>
    <w:basedOn w:val="Navaden"/>
    <w:rsid w:val="00993FB7"/>
    <w:pPr>
      <w:spacing w:before="100" w:beforeAutospacing="1" w:after="100" w:afterAutospacing="1" w:line="240" w:lineRule="auto"/>
    </w:pPr>
    <w:rPr>
      <w:rFonts w:ascii="Times New Roman" w:hAnsi="Times New Roman"/>
      <w:color w:val="C0504D"/>
      <w:sz w:val="24"/>
      <w:szCs w:val="22"/>
      <w:lang w:val="sl-SI" w:eastAsia="ja-JP"/>
    </w:rPr>
  </w:style>
  <w:style w:type="paragraph" w:customStyle="1" w:styleId="xl75">
    <w:name w:val="xl75"/>
    <w:basedOn w:val="Navaden"/>
    <w:rsid w:val="00993FB7"/>
    <w:pPr>
      <w:shd w:val="clear" w:color="auto" w:fill="FDE9D9"/>
      <w:spacing w:before="100" w:beforeAutospacing="1" w:after="100" w:afterAutospacing="1" w:line="240" w:lineRule="auto"/>
      <w:jc w:val="right"/>
    </w:pPr>
    <w:rPr>
      <w:rFonts w:ascii="Times New Roman" w:hAnsi="Times New Roman"/>
      <w:color w:val="F79646"/>
      <w:sz w:val="24"/>
      <w:szCs w:val="22"/>
      <w:lang w:val="sl-SI" w:eastAsia="ja-JP"/>
    </w:rPr>
  </w:style>
  <w:style w:type="paragraph" w:customStyle="1" w:styleId="xl76">
    <w:name w:val="xl76"/>
    <w:basedOn w:val="Navaden"/>
    <w:rsid w:val="00993FB7"/>
    <w:pPr>
      <w:shd w:val="clear" w:color="auto" w:fill="FDE9D9"/>
      <w:spacing w:before="100" w:beforeAutospacing="1" w:after="100" w:afterAutospacing="1" w:line="240" w:lineRule="auto"/>
    </w:pPr>
    <w:rPr>
      <w:rFonts w:ascii="Times New Roman" w:hAnsi="Times New Roman"/>
      <w:color w:val="F79646"/>
      <w:sz w:val="24"/>
      <w:szCs w:val="22"/>
      <w:lang w:val="sl-SI" w:eastAsia="ja-JP"/>
    </w:rPr>
  </w:style>
  <w:style w:type="paragraph" w:customStyle="1" w:styleId="xl77">
    <w:name w:val="xl77"/>
    <w:basedOn w:val="Navaden"/>
    <w:rsid w:val="00993FB7"/>
    <w:pPr>
      <w:spacing w:before="100" w:beforeAutospacing="1" w:after="100" w:afterAutospacing="1" w:line="240" w:lineRule="auto"/>
      <w:jc w:val="right"/>
    </w:pPr>
    <w:rPr>
      <w:rFonts w:ascii="Times New Roman" w:hAnsi="Times New Roman"/>
      <w:b/>
      <w:bCs/>
      <w:sz w:val="24"/>
      <w:szCs w:val="22"/>
      <w:lang w:val="sl-SI" w:eastAsia="ja-JP"/>
    </w:rPr>
  </w:style>
  <w:style w:type="paragraph" w:customStyle="1" w:styleId="xl78">
    <w:name w:val="xl78"/>
    <w:basedOn w:val="Navaden"/>
    <w:rsid w:val="00993FB7"/>
    <w:pPr>
      <w:spacing w:before="100" w:beforeAutospacing="1" w:after="100" w:afterAutospacing="1" w:line="240" w:lineRule="auto"/>
      <w:jc w:val="right"/>
    </w:pPr>
    <w:rPr>
      <w:rFonts w:ascii="Times New Roman" w:hAnsi="Times New Roman"/>
      <w:sz w:val="24"/>
      <w:szCs w:val="22"/>
      <w:lang w:val="sl-SI" w:eastAsia="ja-JP"/>
    </w:rPr>
  </w:style>
  <w:style w:type="paragraph" w:customStyle="1" w:styleId="xl79">
    <w:name w:val="xl79"/>
    <w:basedOn w:val="Navaden"/>
    <w:rsid w:val="00993FB7"/>
    <w:pPr>
      <w:spacing w:before="100" w:beforeAutospacing="1" w:after="100" w:afterAutospacing="1" w:line="240" w:lineRule="auto"/>
    </w:pPr>
    <w:rPr>
      <w:rFonts w:ascii="Times New Roman" w:hAnsi="Times New Roman"/>
      <w:sz w:val="24"/>
      <w:szCs w:val="22"/>
      <w:lang w:val="sl-SI" w:eastAsia="ja-JP"/>
    </w:rPr>
  </w:style>
  <w:style w:type="paragraph" w:customStyle="1" w:styleId="xl80">
    <w:name w:val="xl80"/>
    <w:basedOn w:val="Navaden"/>
    <w:rsid w:val="00993FB7"/>
    <w:pPr>
      <w:spacing w:before="100" w:beforeAutospacing="1" w:after="100" w:afterAutospacing="1" w:line="240" w:lineRule="auto"/>
      <w:jc w:val="right"/>
    </w:pPr>
    <w:rPr>
      <w:rFonts w:ascii="Times New Roman" w:hAnsi="Times New Roman"/>
      <w:color w:val="C0504D"/>
      <w:sz w:val="24"/>
      <w:szCs w:val="22"/>
      <w:lang w:val="sl-SI" w:eastAsia="ja-JP"/>
    </w:rPr>
  </w:style>
  <w:style w:type="paragraph" w:customStyle="1" w:styleId="xl81">
    <w:name w:val="xl81"/>
    <w:basedOn w:val="Navaden"/>
    <w:rsid w:val="00993FB7"/>
    <w:pPr>
      <w:spacing w:before="100" w:beforeAutospacing="1" w:after="100" w:afterAutospacing="1" w:line="240" w:lineRule="auto"/>
    </w:pPr>
    <w:rPr>
      <w:rFonts w:ascii="Times New Roman" w:hAnsi="Times New Roman"/>
      <w:color w:val="C0504D"/>
      <w:sz w:val="24"/>
      <w:szCs w:val="22"/>
      <w:lang w:val="sl-SI" w:eastAsia="ja-JP"/>
    </w:rPr>
  </w:style>
  <w:style w:type="paragraph" w:customStyle="1" w:styleId="xl82">
    <w:name w:val="xl82"/>
    <w:basedOn w:val="Navaden"/>
    <w:rsid w:val="00993FB7"/>
    <w:pPr>
      <w:spacing w:before="100" w:beforeAutospacing="1" w:after="100" w:afterAutospacing="1" w:line="240" w:lineRule="auto"/>
    </w:pPr>
    <w:rPr>
      <w:rFonts w:ascii="Times New Roman" w:hAnsi="Times New Roman"/>
      <w:sz w:val="24"/>
      <w:szCs w:val="22"/>
      <w:lang w:val="sl-SI" w:eastAsia="ja-JP"/>
    </w:rPr>
  </w:style>
  <w:style w:type="paragraph" w:customStyle="1" w:styleId="xl83">
    <w:name w:val="xl83"/>
    <w:basedOn w:val="Navaden"/>
    <w:rsid w:val="00993FB7"/>
    <w:pPr>
      <w:spacing w:before="100" w:beforeAutospacing="1" w:after="100" w:afterAutospacing="1" w:line="240" w:lineRule="auto"/>
    </w:pPr>
    <w:rPr>
      <w:rFonts w:ascii="Times New Roman" w:hAnsi="Times New Roman"/>
      <w:sz w:val="24"/>
      <w:szCs w:val="22"/>
      <w:lang w:val="sl-SI" w:eastAsia="ja-JP"/>
    </w:rPr>
  </w:style>
  <w:style w:type="paragraph" w:customStyle="1" w:styleId="xl84">
    <w:name w:val="xl84"/>
    <w:basedOn w:val="Navaden"/>
    <w:rsid w:val="00993FB7"/>
    <w:pPr>
      <w:spacing w:before="100" w:beforeAutospacing="1" w:after="100" w:afterAutospacing="1" w:line="240" w:lineRule="auto"/>
      <w:jc w:val="right"/>
    </w:pPr>
    <w:rPr>
      <w:rFonts w:ascii="Times New Roman" w:hAnsi="Times New Roman"/>
      <w:sz w:val="24"/>
      <w:szCs w:val="22"/>
      <w:lang w:val="sl-SI" w:eastAsia="ja-JP"/>
    </w:rPr>
  </w:style>
  <w:style w:type="paragraph" w:customStyle="1" w:styleId="xl85">
    <w:name w:val="xl85"/>
    <w:basedOn w:val="Navaden"/>
    <w:rsid w:val="00993FB7"/>
    <w:pPr>
      <w:spacing w:before="100" w:beforeAutospacing="1" w:after="100" w:afterAutospacing="1" w:line="240" w:lineRule="auto"/>
    </w:pPr>
    <w:rPr>
      <w:rFonts w:ascii="Times New Roman" w:hAnsi="Times New Roman"/>
      <w:sz w:val="24"/>
      <w:szCs w:val="22"/>
      <w:lang w:val="sl-SI" w:eastAsia="ja-JP"/>
    </w:rPr>
  </w:style>
  <w:style w:type="paragraph" w:customStyle="1" w:styleId="xl86">
    <w:name w:val="xl86"/>
    <w:basedOn w:val="Navaden"/>
    <w:uiPriority w:val="99"/>
    <w:rsid w:val="00993FB7"/>
    <w:pPr>
      <w:shd w:val="clear" w:color="auto" w:fill="FDE9D9"/>
      <w:spacing w:before="100" w:beforeAutospacing="1" w:after="100" w:afterAutospacing="1" w:line="240" w:lineRule="auto"/>
      <w:jc w:val="right"/>
    </w:pPr>
    <w:rPr>
      <w:rFonts w:ascii="Times New Roman" w:hAnsi="Times New Roman"/>
      <w:b/>
      <w:bCs/>
      <w:color w:val="F79646"/>
      <w:sz w:val="24"/>
      <w:szCs w:val="22"/>
      <w:lang w:val="sl-SI" w:eastAsia="ja-JP"/>
    </w:rPr>
  </w:style>
  <w:style w:type="paragraph" w:customStyle="1" w:styleId="xl87">
    <w:name w:val="xl87"/>
    <w:basedOn w:val="Navaden"/>
    <w:uiPriority w:val="99"/>
    <w:rsid w:val="00993FB7"/>
    <w:pPr>
      <w:shd w:val="clear" w:color="auto" w:fill="FDE9D9"/>
      <w:spacing w:before="100" w:beforeAutospacing="1" w:after="100" w:afterAutospacing="1" w:line="240" w:lineRule="auto"/>
    </w:pPr>
    <w:rPr>
      <w:rFonts w:ascii="Times New Roman" w:hAnsi="Times New Roman"/>
      <w:b/>
      <w:bCs/>
      <w:color w:val="F79646"/>
      <w:sz w:val="24"/>
      <w:szCs w:val="22"/>
      <w:lang w:val="sl-SI" w:eastAsia="ja-JP"/>
    </w:rPr>
  </w:style>
  <w:style w:type="paragraph" w:customStyle="1" w:styleId="BodyTextSL">
    <w:name w:val="Body Text SL"/>
    <w:basedOn w:val="Telobesedila"/>
    <w:rsid w:val="00993FB7"/>
    <w:pPr>
      <w:jc w:val="both"/>
    </w:pPr>
    <w:rPr>
      <w:rFonts w:ascii="Arial" w:eastAsia="Times New Roman" w:hAnsi="Arial"/>
      <w:szCs w:val="22"/>
      <w:lang w:eastAsia="sl-SI"/>
    </w:rPr>
  </w:style>
  <w:style w:type="paragraph" w:customStyle="1" w:styleId="Natevanje2">
    <w:name w:val="Naštevanje2"/>
    <w:basedOn w:val="Navaden"/>
    <w:uiPriority w:val="99"/>
    <w:rsid w:val="00993FB7"/>
    <w:pPr>
      <w:spacing w:after="160" w:line="240" w:lineRule="auto"/>
      <w:ind w:left="454" w:hanging="454"/>
    </w:pPr>
    <w:rPr>
      <w:rFonts w:ascii="Times New Roman" w:hAnsi="Times New Roman"/>
      <w:b/>
      <w:sz w:val="24"/>
      <w:szCs w:val="20"/>
    </w:rPr>
  </w:style>
  <w:style w:type="paragraph" w:customStyle="1" w:styleId="Zamik2">
    <w:name w:val="Zamik2"/>
    <w:basedOn w:val="Navaden"/>
    <w:uiPriority w:val="99"/>
    <w:rsid w:val="00993FB7"/>
    <w:pPr>
      <w:tabs>
        <w:tab w:val="left" w:pos="3969"/>
        <w:tab w:val="left" w:pos="5103"/>
      </w:tabs>
      <w:spacing w:line="240" w:lineRule="auto"/>
      <w:ind w:left="794" w:hanging="284"/>
    </w:pPr>
    <w:rPr>
      <w:rFonts w:ascii="Times New Roman" w:hAnsi="Times New Roman"/>
      <w:sz w:val="24"/>
      <w:szCs w:val="20"/>
    </w:rPr>
  </w:style>
  <w:style w:type="paragraph" w:customStyle="1" w:styleId="Natevanje1">
    <w:name w:val="Naštevanje1"/>
    <w:basedOn w:val="Navaden"/>
    <w:uiPriority w:val="99"/>
    <w:rsid w:val="00993FB7"/>
    <w:pPr>
      <w:spacing w:line="240" w:lineRule="auto"/>
      <w:ind w:left="454" w:hanging="454"/>
    </w:pPr>
    <w:rPr>
      <w:rFonts w:ascii="Times New Roman" w:hAnsi="Times New Roman"/>
      <w:sz w:val="24"/>
      <w:szCs w:val="20"/>
    </w:rPr>
  </w:style>
  <w:style w:type="paragraph" w:customStyle="1" w:styleId="Zamik3">
    <w:name w:val="Zamik3"/>
    <w:basedOn w:val="Zamik2"/>
    <w:uiPriority w:val="99"/>
    <w:rsid w:val="00993FB7"/>
    <w:pPr>
      <w:ind w:left="1135"/>
    </w:pPr>
  </w:style>
  <w:style w:type="paragraph" w:customStyle="1" w:styleId="Zamik4">
    <w:name w:val="Zamik4"/>
    <w:basedOn w:val="Zamik2"/>
    <w:uiPriority w:val="99"/>
    <w:rsid w:val="00993FB7"/>
    <w:pPr>
      <w:tabs>
        <w:tab w:val="clear" w:pos="3969"/>
        <w:tab w:val="clear" w:pos="5103"/>
      </w:tabs>
      <w:ind w:left="454" w:hanging="454"/>
      <w:jc w:val="both"/>
    </w:pPr>
  </w:style>
  <w:style w:type="paragraph" w:customStyle="1" w:styleId="Break">
    <w:name w:val="Break"/>
    <w:basedOn w:val="Navaden"/>
    <w:uiPriority w:val="99"/>
    <w:rsid w:val="00993FB7"/>
    <w:pPr>
      <w:autoSpaceDE w:val="0"/>
      <w:autoSpaceDN w:val="0"/>
      <w:spacing w:before="240" w:after="240" w:line="240" w:lineRule="auto"/>
      <w:ind w:left="709" w:hanging="709"/>
      <w:jc w:val="both"/>
    </w:pPr>
    <w:rPr>
      <w:rFonts w:ascii="Times New Roman" w:hAnsi="Times New Roman"/>
      <w:b/>
      <w:i/>
      <w:szCs w:val="20"/>
      <w:lang w:val="en-GB"/>
    </w:rPr>
  </w:style>
  <w:style w:type="paragraph" w:customStyle="1" w:styleId="Step">
    <w:name w:val="Step"/>
    <w:basedOn w:val="Glava"/>
    <w:uiPriority w:val="99"/>
    <w:rsid w:val="00993FB7"/>
    <w:pPr>
      <w:keepNext/>
      <w:numPr>
        <w:numId w:val="50"/>
      </w:numPr>
      <w:tabs>
        <w:tab w:val="clear" w:pos="1021"/>
        <w:tab w:val="clear" w:pos="4320"/>
        <w:tab w:val="clear" w:pos="8640"/>
        <w:tab w:val="left" w:pos="284"/>
        <w:tab w:val="left" w:pos="397"/>
        <w:tab w:val="num" w:pos="937"/>
      </w:tabs>
      <w:spacing w:after="60" w:line="240" w:lineRule="auto"/>
      <w:ind w:left="284" w:hanging="284"/>
      <w:jc w:val="both"/>
    </w:pPr>
    <w:rPr>
      <w:rFonts w:ascii="Times New Roman" w:hAnsi="Times New Roman"/>
      <w:b/>
      <w:sz w:val="22"/>
      <w:szCs w:val="20"/>
      <w:lang w:val="en-GB"/>
    </w:rPr>
  </w:style>
  <w:style w:type="paragraph" w:customStyle="1" w:styleId="PHASE">
    <w:name w:val="PHASE"/>
    <w:basedOn w:val="Glava"/>
    <w:rsid w:val="00993FB7"/>
    <w:pPr>
      <w:keepNext/>
      <w:numPr>
        <w:numId w:val="51"/>
      </w:numPr>
      <w:pBdr>
        <w:top w:val="single" w:sz="6" w:space="1" w:color="808080"/>
        <w:left w:val="single" w:sz="6" w:space="4" w:color="808080"/>
        <w:bottom w:val="single" w:sz="6" w:space="1" w:color="808080"/>
        <w:right w:val="single" w:sz="6" w:space="4" w:color="808080"/>
      </w:pBdr>
      <w:tabs>
        <w:tab w:val="clear" w:pos="1800"/>
        <w:tab w:val="clear" w:pos="4320"/>
        <w:tab w:val="clear" w:pos="8640"/>
        <w:tab w:val="num" w:pos="937"/>
      </w:tabs>
      <w:spacing w:before="240" w:after="60" w:line="240" w:lineRule="auto"/>
      <w:ind w:left="937" w:hanging="397"/>
      <w:jc w:val="both"/>
    </w:pPr>
    <w:rPr>
      <w:rFonts w:ascii="Times New Roman Bold" w:hAnsi="Times New Roman Bold"/>
      <w:b/>
      <w:sz w:val="22"/>
      <w:szCs w:val="20"/>
    </w:rPr>
  </w:style>
  <w:style w:type="paragraph" w:customStyle="1" w:styleId="Question">
    <w:name w:val="Question"/>
    <w:basedOn w:val="Navaden"/>
    <w:uiPriority w:val="99"/>
    <w:rsid w:val="00993FB7"/>
    <w:pPr>
      <w:numPr>
        <w:numId w:val="52"/>
      </w:numPr>
      <w:tabs>
        <w:tab w:val="clear" w:pos="1440"/>
        <w:tab w:val="num" w:pos="937"/>
        <w:tab w:val="left" w:pos="1021"/>
        <w:tab w:val="left" w:pos="1247"/>
      </w:tabs>
      <w:spacing w:after="60" w:line="240" w:lineRule="auto"/>
      <w:ind w:left="937" w:hanging="397"/>
      <w:jc w:val="both"/>
    </w:pPr>
    <w:rPr>
      <w:rFonts w:ascii="Times New Roman" w:hAnsi="Times New Roman"/>
      <w:color w:val="0000FF"/>
      <w:szCs w:val="20"/>
      <w:lang w:val="en-GB"/>
    </w:rPr>
  </w:style>
  <w:style w:type="paragraph" w:customStyle="1" w:styleId="resolution">
    <w:name w:val="resolution"/>
    <w:basedOn w:val="Navaden"/>
    <w:rsid w:val="00993FB7"/>
    <w:pPr>
      <w:numPr>
        <w:numId w:val="53"/>
      </w:numPr>
      <w:pBdr>
        <w:top w:val="single" w:sz="4" w:space="1" w:color="auto"/>
        <w:left w:val="single" w:sz="4" w:space="4" w:color="auto"/>
        <w:bottom w:val="single" w:sz="4" w:space="1" w:color="auto"/>
        <w:right w:val="single" w:sz="4" w:space="4" w:color="auto"/>
      </w:pBdr>
      <w:tabs>
        <w:tab w:val="clear" w:pos="1080"/>
        <w:tab w:val="num" w:pos="937"/>
      </w:tabs>
      <w:autoSpaceDE w:val="0"/>
      <w:autoSpaceDN w:val="0"/>
      <w:spacing w:after="120" w:line="240" w:lineRule="auto"/>
      <w:ind w:left="937" w:hanging="397"/>
      <w:jc w:val="both"/>
    </w:pPr>
    <w:rPr>
      <w:rFonts w:ascii="Times New Roman" w:hAnsi="Times New Roman"/>
      <w:szCs w:val="20"/>
      <w:lang w:val="en-GB"/>
    </w:rPr>
  </w:style>
  <w:style w:type="paragraph" w:customStyle="1" w:styleId="BalloonText1">
    <w:name w:val="Balloon Text1"/>
    <w:basedOn w:val="Navaden"/>
    <w:uiPriority w:val="99"/>
    <w:semiHidden/>
    <w:rsid w:val="00993FB7"/>
    <w:pPr>
      <w:spacing w:line="240" w:lineRule="auto"/>
      <w:ind w:firstLine="284"/>
      <w:jc w:val="both"/>
    </w:pPr>
    <w:rPr>
      <w:rFonts w:ascii="Calibri" w:hAnsi="Calibri" w:cs="Tahoma"/>
      <w:sz w:val="16"/>
      <w:szCs w:val="16"/>
    </w:rPr>
  </w:style>
  <w:style w:type="paragraph" w:customStyle="1" w:styleId="a">
    <w:name w:val="_"/>
    <w:uiPriority w:val="99"/>
    <w:semiHidden/>
    <w:rsid w:val="00993FB7"/>
    <w:pPr>
      <w:widowControl w:val="0"/>
      <w:tabs>
        <w:tab w:val="left" w:pos="-720"/>
      </w:tabs>
      <w:suppressAutoHyphens/>
    </w:pPr>
    <w:rPr>
      <w:rFonts w:ascii="Calibri" w:hAnsi="Calibri"/>
      <w:sz w:val="24"/>
      <w:szCs w:val="22"/>
      <w:lang w:val="en-US"/>
    </w:rPr>
  </w:style>
  <w:style w:type="paragraph" w:customStyle="1" w:styleId="Navadensplet13">
    <w:name w:val="Navaden (splet)13"/>
    <w:basedOn w:val="Navaden"/>
    <w:uiPriority w:val="99"/>
    <w:rsid w:val="00993FB7"/>
    <w:pPr>
      <w:spacing w:line="240" w:lineRule="auto"/>
      <w:ind w:firstLine="284"/>
    </w:pPr>
    <w:rPr>
      <w:rFonts w:ascii="Times New Roman" w:hAnsi="Times New Roman"/>
      <w:sz w:val="24"/>
      <w:szCs w:val="22"/>
      <w:lang w:val="sl-SI" w:eastAsia="ja-JP"/>
    </w:rPr>
  </w:style>
  <w:style w:type="paragraph" w:customStyle="1" w:styleId="Bullet">
    <w:name w:val="Bullet"/>
    <w:basedOn w:val="Navaden"/>
    <w:uiPriority w:val="99"/>
    <w:rsid w:val="00993FB7"/>
    <w:pPr>
      <w:numPr>
        <w:numId w:val="54"/>
      </w:numPr>
      <w:tabs>
        <w:tab w:val="clear" w:pos="360"/>
        <w:tab w:val="num" w:pos="937"/>
      </w:tabs>
      <w:spacing w:line="240" w:lineRule="auto"/>
      <w:ind w:left="937" w:hanging="397"/>
      <w:jc w:val="both"/>
    </w:pPr>
    <w:rPr>
      <w:rFonts w:ascii="Times New Roman" w:hAnsi="Times New Roman"/>
      <w:sz w:val="24"/>
      <w:szCs w:val="20"/>
    </w:rPr>
  </w:style>
  <w:style w:type="paragraph" w:customStyle="1" w:styleId="Typedudocument">
    <w:name w:val="Type du document"/>
    <w:basedOn w:val="Navaden"/>
    <w:next w:val="Navaden"/>
    <w:uiPriority w:val="99"/>
    <w:rsid w:val="00993FB7"/>
    <w:pPr>
      <w:widowControl w:val="0"/>
      <w:spacing w:before="360" w:line="240" w:lineRule="auto"/>
      <w:ind w:firstLine="284"/>
      <w:jc w:val="center"/>
    </w:pPr>
    <w:rPr>
      <w:rFonts w:ascii="Times New Roman" w:hAnsi="Times New Roman"/>
      <w:b/>
      <w:sz w:val="24"/>
      <w:szCs w:val="20"/>
    </w:rPr>
  </w:style>
  <w:style w:type="paragraph" w:customStyle="1" w:styleId="NavadenPrvavrstica0">
    <w:name w:val="Navaden + Prva vrstica:  0"/>
    <w:aliases w:val="5 cm"/>
    <w:basedOn w:val="Navaden"/>
    <w:uiPriority w:val="99"/>
    <w:rsid w:val="00993FB7"/>
    <w:pPr>
      <w:spacing w:line="240" w:lineRule="auto"/>
      <w:ind w:firstLine="284"/>
      <w:jc w:val="both"/>
    </w:pPr>
    <w:rPr>
      <w:rFonts w:ascii="Times New Roman" w:hAnsi="Times New Roman"/>
      <w:sz w:val="24"/>
      <w:szCs w:val="20"/>
      <w:lang w:val="sl-SI"/>
    </w:rPr>
  </w:style>
  <w:style w:type="character" w:customStyle="1" w:styleId="IntenseQuoteChar1">
    <w:name w:val="Intense Quote Char1"/>
    <w:uiPriority w:val="30"/>
    <w:rsid w:val="00993FB7"/>
    <w:rPr>
      <w:rFonts w:ascii="Arial" w:eastAsia="Times New Roman" w:hAnsi="Arial"/>
      <w:b/>
      <w:bCs/>
      <w:i/>
      <w:iCs/>
      <w:color w:val="4F81BD"/>
      <w:sz w:val="22"/>
      <w:szCs w:val="16"/>
    </w:rPr>
  </w:style>
  <w:style w:type="paragraph" w:customStyle="1" w:styleId="ContentsHeading">
    <w:name w:val="Contents Heading"/>
    <w:basedOn w:val="Navaden"/>
    <w:autoRedefine/>
    <w:uiPriority w:val="99"/>
    <w:rsid w:val="00993FB7"/>
    <w:pPr>
      <w:overflowPunct w:val="0"/>
      <w:autoSpaceDE w:val="0"/>
      <w:autoSpaceDN w:val="0"/>
      <w:adjustRightInd w:val="0"/>
      <w:spacing w:after="120" w:line="240" w:lineRule="auto"/>
      <w:ind w:firstLine="187"/>
      <w:jc w:val="both"/>
    </w:pPr>
    <w:rPr>
      <w:rFonts w:ascii="Times New Roman" w:hAnsi="Times New Roman"/>
      <w:bCs/>
      <w:sz w:val="24"/>
      <w:szCs w:val="20"/>
      <w:lang w:val="en-GB"/>
    </w:rPr>
  </w:style>
  <w:style w:type="paragraph" w:customStyle="1" w:styleId="Tabelaklasina31">
    <w:name w:val="Tabela – klasična 31"/>
    <w:basedOn w:val="Pripombabesedilo"/>
    <w:next w:val="Pripombabesedilo"/>
    <w:uiPriority w:val="99"/>
    <w:rsid w:val="00993FB7"/>
    <w:rPr>
      <w:rFonts w:ascii="Times New Roman" w:eastAsia="Times New Roman" w:hAnsi="Times New Roman"/>
      <w:b/>
      <w:bCs/>
      <w:lang w:val="en-US"/>
    </w:rPr>
  </w:style>
  <w:style w:type="paragraph" w:customStyle="1" w:styleId="Tabela">
    <w:name w:val="Tabela"/>
    <w:basedOn w:val="Navaden"/>
    <w:rsid w:val="00993FB7"/>
    <w:pPr>
      <w:numPr>
        <w:numId w:val="55"/>
      </w:numPr>
      <w:tabs>
        <w:tab w:val="clear" w:pos="432"/>
        <w:tab w:val="num" w:pos="937"/>
      </w:tabs>
      <w:spacing w:before="120" w:line="240" w:lineRule="auto"/>
      <w:ind w:left="431" w:hanging="431"/>
      <w:jc w:val="both"/>
    </w:pPr>
    <w:rPr>
      <w:rFonts w:ascii="Arial Narrow" w:hAnsi="Arial Narrow"/>
      <w:noProof/>
      <w:sz w:val="24"/>
      <w:szCs w:val="22"/>
      <w:lang w:val="en-GB" w:eastAsia="ja-JP"/>
    </w:rPr>
  </w:style>
  <w:style w:type="paragraph" w:customStyle="1" w:styleId="alinea">
    <w:name w:val="alinea"/>
    <w:basedOn w:val="Navaden"/>
    <w:uiPriority w:val="99"/>
    <w:semiHidden/>
    <w:rsid w:val="00993FB7"/>
    <w:pPr>
      <w:tabs>
        <w:tab w:val="left" w:pos="851"/>
        <w:tab w:val="left" w:pos="993"/>
        <w:tab w:val="right" w:pos="8789"/>
      </w:tabs>
      <w:spacing w:before="120" w:after="120" w:line="240" w:lineRule="atLeast"/>
      <w:ind w:left="567" w:hanging="567"/>
      <w:jc w:val="both"/>
    </w:pPr>
    <w:rPr>
      <w:rFonts w:ascii="Times New Roman" w:hAnsi="Times New Roman"/>
      <w:sz w:val="24"/>
      <w:szCs w:val="20"/>
      <w:lang w:val="en-GB"/>
    </w:rPr>
  </w:style>
  <w:style w:type="paragraph" w:customStyle="1" w:styleId="Povzetek">
    <w:name w:val="_Povzetek"/>
    <w:basedOn w:val="Navaden"/>
    <w:uiPriority w:val="99"/>
    <w:rsid w:val="00993FB7"/>
    <w:pPr>
      <w:spacing w:line="240" w:lineRule="auto"/>
      <w:jc w:val="both"/>
    </w:pPr>
    <w:rPr>
      <w:rFonts w:cs="Arial"/>
      <w:b/>
      <w:szCs w:val="20"/>
      <w:lang w:val="pl-PL"/>
    </w:rPr>
  </w:style>
  <w:style w:type="paragraph" w:customStyle="1" w:styleId="WW-Oznaenseznam">
    <w:name w:val="WW-Označen seznam"/>
    <w:basedOn w:val="Navaden"/>
    <w:uiPriority w:val="99"/>
    <w:rsid w:val="00993FB7"/>
    <w:pPr>
      <w:widowControl w:val="0"/>
      <w:tabs>
        <w:tab w:val="num" w:pos="1021"/>
      </w:tabs>
      <w:suppressAutoHyphens/>
      <w:spacing w:line="240" w:lineRule="auto"/>
      <w:ind w:left="-84"/>
    </w:pPr>
    <w:rPr>
      <w:rFonts w:ascii="Nimbus Roman No9 L" w:eastAsia="Luxi Sans" w:hAnsi="Nimbus Roman No9 L"/>
      <w:sz w:val="24"/>
      <w:szCs w:val="22"/>
      <w:lang w:val="sl-SI" w:eastAsia="ja-JP"/>
    </w:rPr>
  </w:style>
  <w:style w:type="paragraph" w:customStyle="1" w:styleId="copy2">
    <w:name w:val="copy2"/>
    <w:basedOn w:val="Navaden"/>
    <w:uiPriority w:val="99"/>
    <w:rsid w:val="00993FB7"/>
    <w:pPr>
      <w:spacing w:before="100" w:beforeAutospacing="1" w:after="100" w:afterAutospacing="1" w:line="240" w:lineRule="auto"/>
    </w:pPr>
    <w:rPr>
      <w:rFonts w:ascii="Verdana" w:hAnsi="Verdana"/>
      <w:color w:val="000000"/>
      <w:sz w:val="17"/>
      <w:szCs w:val="17"/>
      <w:lang w:val="sl-SI" w:eastAsia="ja-JP"/>
    </w:rPr>
  </w:style>
  <w:style w:type="paragraph" w:customStyle="1" w:styleId="Par-letter">
    <w:name w:val="Par-letter"/>
    <w:basedOn w:val="Navaden"/>
    <w:next w:val="Navaden"/>
    <w:uiPriority w:val="99"/>
    <w:rsid w:val="00993FB7"/>
    <w:pPr>
      <w:widowControl w:val="0"/>
      <w:tabs>
        <w:tab w:val="left" w:pos="720"/>
      </w:tabs>
      <w:spacing w:line="360" w:lineRule="auto"/>
      <w:ind w:left="720" w:hanging="720"/>
    </w:pPr>
    <w:rPr>
      <w:rFonts w:ascii="Times New Roman" w:hAnsi="Times New Roman"/>
      <w:sz w:val="24"/>
      <w:szCs w:val="20"/>
    </w:rPr>
  </w:style>
  <w:style w:type="paragraph" w:customStyle="1" w:styleId="Char2ZnakChar1ZnakChar">
    <w:name w:val="Char2 Znak Char1 Znak Char"/>
    <w:basedOn w:val="Navaden"/>
    <w:rsid w:val="00993FB7"/>
    <w:pPr>
      <w:spacing w:line="240" w:lineRule="auto"/>
    </w:pPr>
    <w:rPr>
      <w:rFonts w:ascii="Times New Roman" w:hAnsi="Times New Roman"/>
      <w:sz w:val="24"/>
      <w:szCs w:val="22"/>
      <w:lang w:val="pl-PL" w:eastAsia="pl-PL"/>
    </w:rPr>
  </w:style>
  <w:style w:type="paragraph" w:customStyle="1" w:styleId="Title1">
    <w:name w:val="Title1"/>
    <w:basedOn w:val="Navaden"/>
    <w:uiPriority w:val="99"/>
    <w:rsid w:val="00993FB7"/>
    <w:pPr>
      <w:spacing w:line="240" w:lineRule="auto"/>
      <w:jc w:val="center"/>
    </w:pPr>
    <w:rPr>
      <w:rFonts w:ascii="Calibri" w:hAnsi="Calibri"/>
      <w:sz w:val="32"/>
      <w:szCs w:val="22"/>
      <w:lang w:val="sl-SI" w:eastAsia="ja-JP"/>
    </w:rPr>
  </w:style>
  <w:style w:type="paragraph" w:customStyle="1" w:styleId="CharZnakChar">
    <w:name w:val="Char Znak Char"/>
    <w:basedOn w:val="Navaden"/>
    <w:uiPriority w:val="99"/>
    <w:rsid w:val="00993FB7"/>
    <w:pPr>
      <w:spacing w:line="240" w:lineRule="auto"/>
    </w:pPr>
    <w:rPr>
      <w:rFonts w:ascii="Times New Roman" w:hAnsi="Times New Roman"/>
      <w:sz w:val="24"/>
      <w:szCs w:val="22"/>
      <w:lang w:val="pl-PL" w:eastAsia="pl-PL"/>
    </w:rPr>
  </w:style>
  <w:style w:type="paragraph" w:customStyle="1" w:styleId="ZnakZnakCharZnakZnakCharZnakZnakCharZnakZnakZnakZnakCharZnakZnakZnakZnakZnak">
    <w:name w:val="Znak Znak Char Znak Znak Char Znak Znak Char Znak Znak Znak Znak Char Znak Znak Znak Znak Znak"/>
    <w:basedOn w:val="Navaden"/>
    <w:uiPriority w:val="99"/>
    <w:rsid w:val="00993FB7"/>
    <w:pPr>
      <w:spacing w:line="240" w:lineRule="auto"/>
    </w:pPr>
    <w:rPr>
      <w:rFonts w:ascii="Times New Roman" w:hAnsi="Times New Roman"/>
      <w:sz w:val="24"/>
      <w:szCs w:val="22"/>
      <w:lang w:val="pl-PL" w:eastAsia="pl-PL"/>
    </w:rPr>
  </w:style>
  <w:style w:type="paragraph" w:customStyle="1" w:styleId="Okvirspredpisi-body">
    <w:name w:val="Okvir s predpisi - body"/>
    <w:basedOn w:val="Navaden"/>
    <w:uiPriority w:val="99"/>
    <w:rsid w:val="00993FB7"/>
    <w:pPr>
      <w:numPr>
        <w:numId w:val="56"/>
      </w:numPr>
      <w:tabs>
        <w:tab w:val="clear" w:pos="360"/>
        <w:tab w:val="num" w:pos="937"/>
      </w:tabs>
      <w:spacing w:line="240" w:lineRule="auto"/>
      <w:ind w:left="937" w:hanging="397"/>
    </w:pPr>
    <w:rPr>
      <w:i/>
      <w:szCs w:val="22"/>
      <w:lang w:val="sl-SI" w:eastAsia="ja-JP"/>
    </w:rPr>
  </w:style>
  <w:style w:type="paragraph" w:customStyle="1" w:styleId="Char2ZnakChar">
    <w:name w:val="Char2 Znak Char"/>
    <w:basedOn w:val="Navaden"/>
    <w:uiPriority w:val="99"/>
    <w:rsid w:val="00993FB7"/>
    <w:pPr>
      <w:spacing w:line="240" w:lineRule="auto"/>
    </w:pPr>
    <w:rPr>
      <w:rFonts w:ascii="Times New Roman" w:hAnsi="Times New Roman"/>
      <w:sz w:val="24"/>
      <w:szCs w:val="22"/>
      <w:lang w:val="pl-PL" w:eastAsia="pl-PL"/>
    </w:rPr>
  </w:style>
  <w:style w:type="paragraph" w:customStyle="1" w:styleId="S">
    <w:name w:val="S"/>
    <w:basedOn w:val="Navaden"/>
    <w:rsid w:val="00993FB7"/>
    <w:pPr>
      <w:spacing w:line="240" w:lineRule="auto"/>
    </w:pPr>
    <w:rPr>
      <w:rFonts w:ascii="Times" w:hAnsi="Times"/>
      <w:sz w:val="24"/>
      <w:szCs w:val="20"/>
      <w:lang w:val="en-GB" w:eastAsia="ja-JP"/>
    </w:rPr>
  </w:style>
  <w:style w:type="paragraph" w:customStyle="1" w:styleId="Char2">
    <w:name w:val="Char2"/>
    <w:basedOn w:val="Navaden"/>
    <w:uiPriority w:val="99"/>
    <w:rsid w:val="00993FB7"/>
    <w:pPr>
      <w:spacing w:line="240" w:lineRule="auto"/>
    </w:pPr>
    <w:rPr>
      <w:rFonts w:ascii="Times New Roman" w:hAnsi="Times New Roman"/>
      <w:sz w:val="24"/>
      <w:szCs w:val="22"/>
      <w:lang w:val="pl-PL" w:eastAsia="pl-PL"/>
    </w:rPr>
  </w:style>
  <w:style w:type="character" w:customStyle="1" w:styleId="lennoveleZnak">
    <w:name w:val="Člen_novele Znak"/>
    <w:link w:val="lennovele"/>
    <w:rsid w:val="00993FB7"/>
    <w:rPr>
      <w:rFonts w:ascii="Arial" w:hAnsi="Arial"/>
      <w:b/>
      <w:sz w:val="22"/>
      <w:szCs w:val="22"/>
      <w:lang w:eastAsia="en-US"/>
    </w:rPr>
  </w:style>
  <w:style w:type="paragraph" w:customStyle="1" w:styleId="KAZALO">
    <w:name w:val="KAZALO"/>
    <w:basedOn w:val="Naslov1"/>
    <w:uiPriority w:val="99"/>
    <w:rsid w:val="00993FB7"/>
    <w:pPr>
      <w:keepLines/>
      <w:spacing w:before="480" w:after="0" w:line="240" w:lineRule="auto"/>
    </w:pPr>
    <w:rPr>
      <w:bCs/>
      <w:color w:val="365F91"/>
      <w:kern w:val="0"/>
      <w:szCs w:val="28"/>
      <w:lang w:eastAsia="ja-JP"/>
    </w:rPr>
  </w:style>
  <w:style w:type="character" w:customStyle="1" w:styleId="Style1zakopalnavodaChar">
    <w:name w:val="Style1 za kopalna voda Char"/>
    <w:link w:val="Style1zakopalnavoda"/>
    <w:uiPriority w:val="99"/>
    <w:locked/>
    <w:rsid w:val="00993FB7"/>
    <w:rPr>
      <w:rFonts w:ascii="Arial" w:hAnsi="Arial"/>
      <w:b/>
      <w:caps/>
    </w:rPr>
  </w:style>
  <w:style w:type="paragraph" w:customStyle="1" w:styleId="Style1zakopalnavoda">
    <w:name w:val="Style1 za kopalna voda"/>
    <w:basedOn w:val="Odstavekseznama"/>
    <w:link w:val="Style1zakopalnavodaChar"/>
    <w:uiPriority w:val="99"/>
    <w:rsid w:val="00993FB7"/>
    <w:pPr>
      <w:numPr>
        <w:numId w:val="62"/>
      </w:numPr>
      <w:spacing w:line="240" w:lineRule="auto"/>
    </w:pPr>
    <w:rPr>
      <w:b/>
      <w:caps/>
      <w:szCs w:val="20"/>
      <w:lang w:val="sl-SI" w:eastAsia="sl-SI"/>
    </w:rPr>
  </w:style>
  <w:style w:type="paragraph" w:customStyle="1" w:styleId="Naslov3Arial">
    <w:name w:val="Naslov 3 + Arial"/>
    <w:aliases w:val="10 pt,Po:  12 pt,Razmik vrstic:  Natančno 13 pt"/>
    <w:basedOn w:val="Naslov3"/>
    <w:uiPriority w:val="99"/>
    <w:rsid w:val="00993FB7"/>
    <w:pPr>
      <w:spacing w:after="240" w:line="260" w:lineRule="exact"/>
      <w:jc w:val="both"/>
    </w:pPr>
    <w:rPr>
      <w:rFonts w:ascii="Arial" w:eastAsia="Times New Roman" w:hAnsi="Arial"/>
      <w:b w:val="0"/>
      <w:bCs/>
      <w:color w:val="4F81BD"/>
      <w:szCs w:val="24"/>
      <w:lang w:val="sl-SI" w:eastAsia="ja-JP"/>
    </w:rPr>
  </w:style>
  <w:style w:type="paragraph" w:customStyle="1" w:styleId="SlogNaslov1Levo0cmPrvavrstica0cm">
    <w:name w:val="Slog Naslov 1 + Levo:  0 cm Prva vrstica:  0 cm"/>
    <w:basedOn w:val="Naslov1"/>
    <w:uiPriority w:val="99"/>
    <w:rsid w:val="00993FB7"/>
    <w:pPr>
      <w:keepLines/>
      <w:numPr>
        <w:numId w:val="63"/>
      </w:numPr>
      <w:tabs>
        <w:tab w:val="clear" w:pos="855"/>
        <w:tab w:val="num" w:pos="937"/>
      </w:tabs>
      <w:spacing w:before="480" w:after="240" w:line="240" w:lineRule="auto"/>
      <w:ind w:left="937" w:hanging="397"/>
    </w:pPr>
    <w:rPr>
      <w:rFonts w:ascii="Arial Narrow" w:hAnsi="Arial Narrow"/>
      <w:b w:val="0"/>
      <w:bCs/>
      <w:caps/>
      <w:color w:val="365F91"/>
      <w:kern w:val="28"/>
      <w:szCs w:val="28"/>
      <w:lang w:eastAsia="en-US"/>
    </w:rPr>
  </w:style>
  <w:style w:type="paragraph" w:customStyle="1" w:styleId="SlogNaslov2ArialNarrow">
    <w:name w:val="Slog Naslov 2 + Arial Narrow"/>
    <w:basedOn w:val="Naslov2"/>
    <w:uiPriority w:val="99"/>
    <w:rsid w:val="00993FB7"/>
    <w:pPr>
      <w:numPr>
        <w:ilvl w:val="1"/>
        <w:numId w:val="64"/>
      </w:numPr>
      <w:tabs>
        <w:tab w:val="clear" w:pos="576"/>
        <w:tab w:val="left" w:pos="851"/>
      </w:tabs>
      <w:spacing w:line="360" w:lineRule="auto"/>
      <w:ind w:left="1095" w:hanging="555"/>
    </w:pPr>
    <w:rPr>
      <w:rFonts w:ascii="Arial Narrow" w:hAnsi="Arial Narrow"/>
      <w:b w:val="0"/>
      <w:i/>
      <w:sz w:val="28"/>
      <w:szCs w:val="28"/>
      <w:lang w:val="sl-SI" w:eastAsia="en-US"/>
    </w:rPr>
  </w:style>
  <w:style w:type="paragraph" w:customStyle="1" w:styleId="SlogChar2ArialNarrowObojestransko">
    <w:name w:val="Slog  Char2 + Arial Narrow Obojestransko"/>
    <w:basedOn w:val="Char2"/>
    <w:uiPriority w:val="99"/>
    <w:rsid w:val="00993FB7"/>
    <w:pPr>
      <w:jc w:val="both"/>
    </w:pPr>
    <w:rPr>
      <w:rFonts w:ascii="Arial Narrow" w:hAnsi="Arial Narrow"/>
      <w:szCs w:val="20"/>
    </w:rPr>
  </w:style>
  <w:style w:type="paragraph" w:customStyle="1" w:styleId="Char2ZnakChar1">
    <w:name w:val="Char2 Znak Char1"/>
    <w:basedOn w:val="Navaden"/>
    <w:uiPriority w:val="99"/>
    <w:rsid w:val="00993FB7"/>
    <w:pPr>
      <w:spacing w:line="240" w:lineRule="auto"/>
    </w:pPr>
    <w:rPr>
      <w:rFonts w:ascii="Times New Roman" w:hAnsi="Times New Roman"/>
      <w:sz w:val="24"/>
      <w:szCs w:val="22"/>
      <w:lang w:val="pl-PL" w:eastAsia="pl-PL"/>
    </w:rPr>
  </w:style>
  <w:style w:type="paragraph" w:customStyle="1" w:styleId="CharZnakCharZnakCharZnakCharZnakChar">
    <w:name w:val="Char Znak Char Znak Char Znak Char Znak Char"/>
    <w:basedOn w:val="Navaden"/>
    <w:uiPriority w:val="99"/>
    <w:rsid w:val="00993FB7"/>
    <w:pPr>
      <w:spacing w:line="240" w:lineRule="auto"/>
    </w:pPr>
    <w:rPr>
      <w:rFonts w:ascii="Times New Roman" w:hAnsi="Times New Roman"/>
      <w:sz w:val="24"/>
      <w:szCs w:val="22"/>
      <w:lang w:val="pl-PL" w:eastAsia="pl-PL"/>
    </w:rPr>
  </w:style>
  <w:style w:type="paragraph" w:customStyle="1" w:styleId="tabele">
    <w:name w:val="tabele"/>
    <w:rsid w:val="00993FB7"/>
    <w:pPr>
      <w:autoSpaceDE w:val="0"/>
      <w:autoSpaceDN w:val="0"/>
      <w:adjustRightInd w:val="0"/>
    </w:pPr>
    <w:rPr>
      <w:rFonts w:ascii="Tahoma" w:hAnsi="Tahoma" w:cs="Arial"/>
      <w:color w:val="000000"/>
      <w:sz w:val="22"/>
      <w:szCs w:val="22"/>
    </w:rPr>
  </w:style>
  <w:style w:type="paragraph" w:customStyle="1" w:styleId="CharZnakCharZnakChar">
    <w:name w:val="Char Znak Char Znak Char"/>
    <w:basedOn w:val="Navaden"/>
    <w:uiPriority w:val="99"/>
    <w:rsid w:val="00993FB7"/>
    <w:pPr>
      <w:spacing w:line="240" w:lineRule="auto"/>
    </w:pPr>
    <w:rPr>
      <w:rFonts w:ascii="Times New Roman" w:hAnsi="Times New Roman"/>
      <w:sz w:val="24"/>
      <w:szCs w:val="22"/>
      <w:lang w:val="pl-PL" w:eastAsia="pl-PL"/>
    </w:rPr>
  </w:style>
  <w:style w:type="paragraph" w:customStyle="1" w:styleId="CharZnakCharZnakCharZnakCharZnakCharZnakChar">
    <w:name w:val="Char Znak Char Znak Char Znak Char Znak Char Znak Char"/>
    <w:basedOn w:val="Navaden"/>
    <w:uiPriority w:val="99"/>
    <w:rsid w:val="00993FB7"/>
    <w:pPr>
      <w:spacing w:line="240" w:lineRule="auto"/>
    </w:pPr>
    <w:rPr>
      <w:rFonts w:ascii="Times New Roman" w:hAnsi="Times New Roman"/>
      <w:sz w:val="24"/>
      <w:szCs w:val="22"/>
      <w:lang w:val="pl-PL" w:eastAsia="pl-PL"/>
    </w:rPr>
  </w:style>
  <w:style w:type="paragraph" w:customStyle="1" w:styleId="SlogNaslov3ArialNarrowSamovelikerke">
    <w:name w:val="Slog Naslov 3 + Arial Narrow Samo velike črke"/>
    <w:basedOn w:val="Naslov3"/>
    <w:uiPriority w:val="99"/>
    <w:rsid w:val="00993FB7"/>
    <w:pPr>
      <w:numPr>
        <w:ilvl w:val="2"/>
        <w:numId w:val="64"/>
      </w:numPr>
      <w:tabs>
        <w:tab w:val="left" w:pos="851"/>
      </w:tabs>
      <w:spacing w:after="240" w:line="240" w:lineRule="auto"/>
      <w:jc w:val="both"/>
    </w:pPr>
    <w:rPr>
      <w:rFonts w:ascii="Arial Narrow" w:eastAsia="Times New Roman" w:hAnsi="Arial Narrow"/>
      <w:b w:val="0"/>
      <w:bCs/>
      <w:caps/>
      <w:color w:val="4F81BD"/>
      <w:sz w:val="22"/>
      <w:szCs w:val="24"/>
      <w:lang w:val="sl-SI" w:eastAsia="en-US"/>
    </w:rPr>
  </w:style>
  <w:style w:type="paragraph" w:customStyle="1" w:styleId="SlogSlogNaslov3ArialNarrowSamovelikerkeNeKrepko">
    <w:name w:val="Slog Slog Naslov 3 + Arial Narrow Samo velike črke + Ne Krepko"/>
    <w:basedOn w:val="SlogNaslov3ArialNarrowSamovelikerke"/>
    <w:uiPriority w:val="99"/>
    <w:rsid w:val="00993FB7"/>
    <w:pPr>
      <w:numPr>
        <w:ilvl w:val="0"/>
        <w:numId w:val="0"/>
      </w:numPr>
      <w:tabs>
        <w:tab w:val="num" w:pos="720"/>
      </w:tabs>
      <w:ind w:left="720" w:hanging="720"/>
    </w:pPr>
    <w:rPr>
      <w:bCs w:val="0"/>
    </w:rPr>
  </w:style>
  <w:style w:type="paragraph" w:customStyle="1" w:styleId="SlogSlogSlogNaslov3ArialNarrowSamovelikerkeNeKrepk">
    <w:name w:val="Slog Slog Slog Naslov 3 + Arial Narrow Samo velike črke + Ne Krepk..."/>
    <w:basedOn w:val="SlogSlogNaslov3ArialNarrowSamovelikerkeNeKrepko"/>
    <w:uiPriority w:val="99"/>
    <w:rsid w:val="00993FB7"/>
    <w:pPr>
      <w:numPr>
        <w:ilvl w:val="2"/>
        <w:numId w:val="65"/>
      </w:numPr>
      <w:tabs>
        <w:tab w:val="num" w:pos="720"/>
      </w:tabs>
      <w:ind w:left="720"/>
    </w:pPr>
  </w:style>
  <w:style w:type="paragraph" w:customStyle="1" w:styleId="SlogNaslov5ArialNarrow12ptLeee">
    <w:name w:val="Slog Naslov 5 + Arial Narrow 12 pt Ležeče"/>
    <w:basedOn w:val="Naslov5"/>
    <w:autoRedefine/>
    <w:uiPriority w:val="99"/>
    <w:rsid w:val="00993FB7"/>
    <w:pPr>
      <w:keepLines/>
      <w:tabs>
        <w:tab w:val="left" w:pos="907"/>
      </w:tabs>
      <w:snapToGrid w:val="0"/>
      <w:spacing w:before="120" w:after="120"/>
      <w:ind w:left="0" w:firstLine="0"/>
    </w:pPr>
    <w:rPr>
      <w:rFonts w:ascii="Arial Narrow" w:hAnsi="Arial Narrow" w:cs="Times New Roman"/>
      <w:b w:val="0"/>
      <w:i/>
      <w:iCs w:val="0"/>
      <w:color w:val="243F60"/>
      <w:szCs w:val="20"/>
      <w:lang w:val="en-US"/>
    </w:rPr>
  </w:style>
  <w:style w:type="paragraph" w:customStyle="1" w:styleId="Izvlecek">
    <w:name w:val="Izvlecek"/>
    <w:basedOn w:val="Navaden"/>
    <w:uiPriority w:val="99"/>
    <w:rsid w:val="00993FB7"/>
    <w:pPr>
      <w:spacing w:after="220" w:line="240" w:lineRule="auto"/>
      <w:jc w:val="both"/>
    </w:pPr>
    <w:rPr>
      <w:rFonts w:cs="Arial"/>
      <w:szCs w:val="20"/>
    </w:rPr>
  </w:style>
  <w:style w:type="paragraph" w:customStyle="1" w:styleId="Naslovizvlecek">
    <w:name w:val="Naslov izvlecek"/>
    <w:basedOn w:val="Navaden"/>
    <w:next w:val="Izvlecek"/>
    <w:uiPriority w:val="99"/>
    <w:rsid w:val="00993FB7"/>
    <w:pPr>
      <w:keepNext/>
      <w:keepLines/>
      <w:spacing w:before="440" w:after="220" w:line="240" w:lineRule="auto"/>
      <w:jc w:val="both"/>
    </w:pPr>
    <w:rPr>
      <w:rFonts w:cs="Arial"/>
      <w:b/>
      <w:bCs/>
      <w:caps/>
      <w:sz w:val="24"/>
      <w:szCs w:val="22"/>
      <w:lang w:val="sl-SI"/>
    </w:rPr>
  </w:style>
  <w:style w:type="character" w:customStyle="1" w:styleId="PodnapisCharChar">
    <w:name w:val="Podnapis Char Char"/>
    <w:link w:val="PodnapisChar"/>
    <w:uiPriority w:val="99"/>
    <w:locked/>
    <w:rsid w:val="00993FB7"/>
    <w:rPr>
      <w:rFonts w:ascii="Arial" w:hAnsi="Arial" w:cs="Arial"/>
      <w:sz w:val="18"/>
      <w:szCs w:val="18"/>
    </w:rPr>
  </w:style>
  <w:style w:type="paragraph" w:customStyle="1" w:styleId="PodnapisangChar">
    <w:name w:val="Podnapis ang Char"/>
    <w:basedOn w:val="PodnapisChar"/>
    <w:next w:val="Navaden"/>
    <w:link w:val="PodnapisangCharChar"/>
    <w:uiPriority w:val="99"/>
    <w:rsid w:val="00993FB7"/>
    <w:pPr>
      <w:keepNext w:val="0"/>
      <w:spacing w:after="220"/>
    </w:pPr>
    <w:rPr>
      <w:lang w:val="en-GB"/>
    </w:rPr>
  </w:style>
  <w:style w:type="paragraph" w:customStyle="1" w:styleId="PodnapisChar">
    <w:name w:val="Podnapis Char"/>
    <w:basedOn w:val="Navaden"/>
    <w:next w:val="PodnapisangChar"/>
    <w:link w:val="PodnapisCharChar"/>
    <w:uiPriority w:val="99"/>
    <w:rsid w:val="00993FB7"/>
    <w:pPr>
      <w:keepNext/>
      <w:keepLines/>
      <w:spacing w:line="240" w:lineRule="auto"/>
      <w:jc w:val="both"/>
    </w:pPr>
    <w:rPr>
      <w:rFonts w:cs="Arial"/>
      <w:sz w:val="18"/>
      <w:szCs w:val="18"/>
      <w:lang w:val="sl-SI" w:eastAsia="sl-SI"/>
    </w:rPr>
  </w:style>
  <w:style w:type="character" w:customStyle="1" w:styleId="PodnapisangCharChar">
    <w:name w:val="Podnapis ang Char Char"/>
    <w:link w:val="PodnapisangChar"/>
    <w:uiPriority w:val="99"/>
    <w:locked/>
    <w:rsid w:val="00993FB7"/>
    <w:rPr>
      <w:rFonts w:ascii="Arial" w:hAnsi="Arial" w:cs="Arial"/>
      <w:sz w:val="18"/>
      <w:szCs w:val="18"/>
      <w:lang w:val="en-GB"/>
    </w:rPr>
  </w:style>
  <w:style w:type="paragraph" w:customStyle="1" w:styleId="SlogKazaloslik">
    <w:name w:val="Slog Kazalo slik"/>
    <w:aliases w:val="Table of Tables + Arial Narrow Krepko"/>
    <w:basedOn w:val="Kazaloslik"/>
    <w:uiPriority w:val="99"/>
    <w:rsid w:val="00993FB7"/>
    <w:pPr>
      <w:ind w:left="480" w:hanging="480"/>
    </w:pPr>
    <w:rPr>
      <w:rFonts w:ascii="Arial Narrow" w:eastAsia="Times New Roman" w:hAnsi="Arial Narrow" w:cs="Times New Roman"/>
      <w:b w:val="0"/>
      <w:sz w:val="24"/>
      <w:lang w:val="en-US"/>
    </w:rPr>
  </w:style>
  <w:style w:type="paragraph" w:customStyle="1" w:styleId="SlogTabela">
    <w:name w:val="Slog Tabela"/>
    <w:basedOn w:val="Kazaloslik"/>
    <w:uiPriority w:val="99"/>
    <w:rsid w:val="00993FB7"/>
    <w:pPr>
      <w:tabs>
        <w:tab w:val="num" w:pos="432"/>
      </w:tabs>
      <w:ind w:left="432" w:hanging="432"/>
    </w:pPr>
    <w:rPr>
      <w:rFonts w:ascii="Arial Narrow" w:eastAsia="Times New Roman" w:hAnsi="Arial Narrow" w:cs="Times New Roman"/>
      <w:b w:val="0"/>
      <w:sz w:val="24"/>
    </w:rPr>
  </w:style>
  <w:style w:type="character" w:customStyle="1" w:styleId="poroilomonitoring111Znak">
    <w:name w:val="poročilo monitoring 1.1.1 Znak"/>
    <w:link w:val="poroilomonitoring111"/>
    <w:uiPriority w:val="99"/>
    <w:locked/>
    <w:rsid w:val="00993FB7"/>
    <w:rPr>
      <w:rFonts w:ascii="Arial" w:hAnsi="Arial" w:cs="Arial"/>
      <w:b/>
      <w:bCs/>
      <w:i/>
      <w:iCs/>
      <w:sz w:val="24"/>
      <w:lang w:val="en-US"/>
    </w:rPr>
  </w:style>
  <w:style w:type="paragraph" w:customStyle="1" w:styleId="ListParagraph1">
    <w:name w:val="List Paragraph1"/>
    <w:basedOn w:val="Navaden"/>
    <w:qFormat/>
    <w:rsid w:val="00993FB7"/>
    <w:pPr>
      <w:spacing w:line="240" w:lineRule="auto"/>
      <w:ind w:left="720"/>
      <w:contextualSpacing/>
    </w:pPr>
    <w:rPr>
      <w:rFonts w:ascii="Times New Roman" w:hAnsi="Times New Roman"/>
      <w:sz w:val="24"/>
      <w:szCs w:val="22"/>
      <w:lang w:val="sl-SI" w:eastAsia="ja-JP"/>
    </w:rPr>
  </w:style>
  <w:style w:type="paragraph" w:customStyle="1" w:styleId="poroilomonitoring111">
    <w:name w:val="poročilo monitoring 1.1.1"/>
    <w:basedOn w:val="Navaden"/>
    <w:link w:val="poroilomonitoring111Znak"/>
    <w:uiPriority w:val="99"/>
    <w:rsid w:val="00993FB7"/>
    <w:pPr>
      <w:spacing w:line="240" w:lineRule="auto"/>
    </w:pPr>
    <w:rPr>
      <w:rFonts w:cs="Arial"/>
      <w:b/>
      <w:bCs/>
      <w:i/>
      <w:iCs/>
      <w:sz w:val="24"/>
      <w:szCs w:val="20"/>
      <w:lang w:eastAsia="sl-SI"/>
    </w:rPr>
  </w:style>
  <w:style w:type="character" w:customStyle="1" w:styleId="poroilomonitoring11Znak">
    <w:name w:val="poročilo monitoring 1.1 Znak"/>
    <w:link w:val="poroilomonitoring11"/>
    <w:uiPriority w:val="99"/>
    <w:locked/>
    <w:rsid w:val="00993FB7"/>
    <w:rPr>
      <w:rFonts w:ascii="Arial" w:hAnsi="Arial" w:cs="Arial"/>
      <w:b/>
      <w:bCs/>
      <w:sz w:val="24"/>
      <w:lang w:val="en-US"/>
    </w:rPr>
  </w:style>
  <w:style w:type="paragraph" w:customStyle="1" w:styleId="poroilomonitoring11">
    <w:name w:val="poročilo monitoring 1.1"/>
    <w:basedOn w:val="Navaden"/>
    <w:link w:val="poroilomonitoring11Znak"/>
    <w:uiPriority w:val="99"/>
    <w:rsid w:val="00993FB7"/>
    <w:pPr>
      <w:autoSpaceDE w:val="0"/>
      <w:autoSpaceDN w:val="0"/>
      <w:adjustRightInd w:val="0"/>
      <w:spacing w:line="240" w:lineRule="auto"/>
      <w:jc w:val="both"/>
    </w:pPr>
    <w:rPr>
      <w:rFonts w:cs="Arial"/>
      <w:b/>
      <w:bCs/>
      <w:sz w:val="24"/>
      <w:szCs w:val="20"/>
      <w:lang w:eastAsia="sl-SI"/>
    </w:rPr>
  </w:style>
  <w:style w:type="paragraph" w:customStyle="1" w:styleId="poroilomonitoring1">
    <w:name w:val="poročilo monitoring 1"/>
    <w:basedOn w:val="Navaden"/>
    <w:uiPriority w:val="99"/>
    <w:rsid w:val="00993FB7"/>
    <w:pPr>
      <w:spacing w:line="240" w:lineRule="auto"/>
    </w:pPr>
    <w:rPr>
      <w:rFonts w:cs="Arial"/>
      <w:b/>
      <w:bCs/>
      <w:sz w:val="26"/>
      <w:szCs w:val="26"/>
      <w:lang w:val="sl-SI" w:eastAsia="ja-JP"/>
    </w:rPr>
  </w:style>
  <w:style w:type="paragraph" w:customStyle="1" w:styleId="poroilomonitoringslika">
    <w:name w:val="poročilo monitoring slika"/>
    <w:basedOn w:val="Navaden"/>
    <w:uiPriority w:val="99"/>
    <w:rsid w:val="00993FB7"/>
    <w:pPr>
      <w:spacing w:line="240" w:lineRule="auto"/>
      <w:jc w:val="center"/>
    </w:pPr>
    <w:rPr>
      <w:rFonts w:cs="Arial"/>
      <w:szCs w:val="20"/>
      <w:lang w:val="sl-SI" w:eastAsia="ja-JP"/>
    </w:rPr>
  </w:style>
  <w:style w:type="paragraph" w:customStyle="1" w:styleId="BesediloAriel11obojestransko">
    <w:name w:val="Besedilo Ariel 11 obojestransko"/>
    <w:basedOn w:val="Navaden"/>
    <w:uiPriority w:val="99"/>
    <w:rsid w:val="00993FB7"/>
    <w:pPr>
      <w:spacing w:line="240" w:lineRule="auto"/>
      <w:jc w:val="both"/>
    </w:pPr>
    <w:rPr>
      <w:szCs w:val="22"/>
      <w:lang w:val="sl-SI" w:eastAsia="ja-JP"/>
    </w:rPr>
  </w:style>
  <w:style w:type="character" w:customStyle="1" w:styleId="NaslovpregZnak">
    <w:name w:val="Naslov preg Znak"/>
    <w:aliases w:val="slika Znak"/>
    <w:link w:val="Naslovpreg"/>
    <w:locked/>
    <w:rsid w:val="00993FB7"/>
    <w:rPr>
      <w:rFonts w:ascii="Arial" w:hAnsi="Arial"/>
    </w:rPr>
  </w:style>
  <w:style w:type="paragraph" w:customStyle="1" w:styleId="Naslovpreg">
    <w:name w:val="Naslov preg"/>
    <w:aliases w:val="slika"/>
    <w:basedOn w:val="Navaden"/>
    <w:link w:val="NaslovpregZnak"/>
    <w:qFormat/>
    <w:rsid w:val="00993FB7"/>
    <w:pPr>
      <w:spacing w:line="276" w:lineRule="auto"/>
      <w:jc w:val="both"/>
    </w:pPr>
    <w:rPr>
      <w:szCs w:val="20"/>
      <w:lang w:val="sl-SI" w:eastAsia="sl-SI"/>
    </w:rPr>
  </w:style>
  <w:style w:type="paragraph" w:customStyle="1" w:styleId="alineazatevilnotoko0">
    <w:name w:val="alineazatevilnotoko"/>
    <w:basedOn w:val="Navaden"/>
    <w:uiPriority w:val="99"/>
    <w:rsid w:val="00993FB7"/>
    <w:pPr>
      <w:spacing w:before="100" w:beforeAutospacing="1" w:after="100" w:afterAutospacing="1" w:line="240" w:lineRule="auto"/>
    </w:pPr>
    <w:rPr>
      <w:rFonts w:ascii="Times New Roman" w:hAnsi="Times New Roman"/>
      <w:sz w:val="24"/>
      <w:szCs w:val="22"/>
      <w:lang w:val="sl-SI" w:eastAsia="ja-JP"/>
    </w:rPr>
  </w:style>
  <w:style w:type="paragraph" w:customStyle="1" w:styleId="ListParagraph2">
    <w:name w:val="List Paragraph2"/>
    <w:basedOn w:val="Navaden"/>
    <w:uiPriority w:val="99"/>
    <w:rsid w:val="00993FB7"/>
    <w:pPr>
      <w:spacing w:after="200" w:line="276" w:lineRule="auto"/>
      <w:ind w:left="720"/>
      <w:contextualSpacing/>
    </w:pPr>
    <w:rPr>
      <w:rFonts w:ascii="Calibri" w:eastAsia="Calibri" w:hAnsi="Calibri"/>
      <w:szCs w:val="22"/>
      <w:lang w:val="sl-SI"/>
    </w:rPr>
  </w:style>
  <w:style w:type="character" w:customStyle="1" w:styleId="Corpsdutexte">
    <w:name w:val="Corps du texte_"/>
    <w:link w:val="Corpsdutexte0"/>
    <w:uiPriority w:val="99"/>
    <w:locked/>
    <w:rsid w:val="00993FB7"/>
    <w:rPr>
      <w:sz w:val="21"/>
      <w:szCs w:val="21"/>
      <w:shd w:val="clear" w:color="auto" w:fill="FFFFFF"/>
    </w:rPr>
  </w:style>
  <w:style w:type="paragraph" w:customStyle="1" w:styleId="Corpsdutexte0">
    <w:name w:val="Corps du texte"/>
    <w:basedOn w:val="Navaden"/>
    <w:link w:val="Corpsdutexte"/>
    <w:uiPriority w:val="99"/>
    <w:rsid w:val="00993FB7"/>
    <w:pPr>
      <w:widowControl w:val="0"/>
      <w:shd w:val="clear" w:color="auto" w:fill="FFFFFF"/>
      <w:spacing w:line="240" w:lineRule="atLeast"/>
    </w:pPr>
    <w:rPr>
      <w:rFonts w:ascii="Times New Roman" w:hAnsi="Times New Roman"/>
      <w:sz w:val="21"/>
      <w:szCs w:val="21"/>
      <w:lang w:val="sl-SI" w:eastAsia="sl-SI"/>
    </w:rPr>
  </w:style>
  <w:style w:type="character" w:styleId="Neenpoudarek">
    <w:name w:val="Subtle Emphasis"/>
    <w:uiPriority w:val="19"/>
    <w:qFormat/>
    <w:rsid w:val="00993FB7"/>
    <w:rPr>
      <w:i/>
      <w:iCs/>
      <w:color w:val="808080"/>
    </w:rPr>
  </w:style>
  <w:style w:type="character" w:styleId="Intenzivenpoudarek">
    <w:name w:val="Intense Emphasis"/>
    <w:uiPriority w:val="21"/>
    <w:qFormat/>
    <w:rsid w:val="00993FB7"/>
    <w:rPr>
      <w:b/>
      <w:bCs/>
      <w:i/>
      <w:iCs/>
      <w:color w:val="4F81BD"/>
    </w:rPr>
  </w:style>
  <w:style w:type="character" w:styleId="Neensklic">
    <w:name w:val="Subtle Reference"/>
    <w:uiPriority w:val="31"/>
    <w:qFormat/>
    <w:rsid w:val="00993FB7"/>
    <w:rPr>
      <w:smallCaps/>
      <w:color w:val="C0504D"/>
      <w:u w:val="single"/>
    </w:rPr>
  </w:style>
  <w:style w:type="character" w:styleId="Intenzivensklic">
    <w:name w:val="Intense Reference"/>
    <w:uiPriority w:val="32"/>
    <w:qFormat/>
    <w:rsid w:val="00993FB7"/>
    <w:rPr>
      <w:b/>
      <w:bCs/>
      <w:smallCaps/>
      <w:color w:val="C0504D"/>
      <w:spacing w:val="5"/>
      <w:u w:val="single"/>
    </w:rPr>
  </w:style>
  <w:style w:type="character" w:styleId="Naslovknjige">
    <w:name w:val="Book Title"/>
    <w:aliases w:val="Literatura"/>
    <w:uiPriority w:val="33"/>
    <w:qFormat/>
    <w:rsid w:val="00993FB7"/>
    <w:rPr>
      <w:b/>
      <w:bCs/>
      <w:smallCaps/>
      <w:spacing w:val="5"/>
    </w:rPr>
  </w:style>
  <w:style w:type="paragraph" w:customStyle="1" w:styleId="StyleCaptionNotBold">
    <w:name w:val="Style Caption + Not Bold"/>
    <w:basedOn w:val="Navaden"/>
    <w:link w:val="StyleCaptionNotBoldChar"/>
    <w:rsid w:val="00993FB7"/>
    <w:pPr>
      <w:spacing w:line="240" w:lineRule="auto"/>
    </w:pPr>
    <w:rPr>
      <w:rFonts w:ascii="Calibri" w:hAnsi="Calibri"/>
      <w:color w:val="4F81BD"/>
      <w:sz w:val="22"/>
      <w:szCs w:val="22"/>
      <w:lang w:val="sl-SI" w:eastAsia="ja-JP"/>
    </w:rPr>
  </w:style>
  <w:style w:type="character" w:customStyle="1" w:styleId="StyleCaptionNotBoldChar">
    <w:name w:val="Style Caption + Not Bold Char"/>
    <w:link w:val="StyleCaptionNotBold"/>
    <w:locked/>
    <w:rsid w:val="00993FB7"/>
    <w:rPr>
      <w:rFonts w:ascii="Calibri" w:hAnsi="Calibri"/>
      <w:color w:val="4F81BD"/>
      <w:sz w:val="22"/>
      <w:szCs w:val="22"/>
      <w:lang w:eastAsia="ja-JP"/>
    </w:rPr>
  </w:style>
  <w:style w:type="character" w:customStyle="1" w:styleId="mediumtext">
    <w:name w:val="medium_text"/>
    <w:rsid w:val="00993FB7"/>
  </w:style>
  <w:style w:type="character" w:customStyle="1" w:styleId="arrroworange">
    <w:name w:val="arrrow_orange"/>
    <w:rsid w:val="00993FB7"/>
  </w:style>
  <w:style w:type="character" w:customStyle="1" w:styleId="nivo1">
    <w:name w:val="nivo1"/>
    <w:rsid w:val="00993FB7"/>
  </w:style>
  <w:style w:type="character" w:customStyle="1" w:styleId="sitetitle">
    <w:name w:val="site_title"/>
    <w:rsid w:val="00993FB7"/>
  </w:style>
  <w:style w:type="character" w:customStyle="1" w:styleId="mrptns">
    <w:name w:val="mrptns"/>
    <w:rsid w:val="00993FB7"/>
  </w:style>
  <w:style w:type="character" w:customStyle="1" w:styleId="mrppfc">
    <w:name w:val="mrppfc"/>
    <w:rsid w:val="00993FB7"/>
  </w:style>
  <w:style w:type="character" w:customStyle="1" w:styleId="mrppsc">
    <w:name w:val="mrppsc"/>
    <w:uiPriority w:val="99"/>
    <w:rsid w:val="00993FB7"/>
  </w:style>
  <w:style w:type="character" w:customStyle="1" w:styleId="mrppfcsl">
    <w:name w:val="mrppfcsl"/>
    <w:rsid w:val="00993FB7"/>
  </w:style>
  <w:style w:type="character" w:customStyle="1" w:styleId="A4">
    <w:name w:val="A4"/>
    <w:uiPriority w:val="99"/>
    <w:rsid w:val="00993FB7"/>
    <w:rPr>
      <w:rFonts w:ascii="Minion Pro" w:hAnsi="Minion Pro" w:cs="Minion Pro" w:hint="default"/>
      <w:color w:val="221E1F"/>
      <w:sz w:val="15"/>
      <w:szCs w:val="15"/>
    </w:rPr>
  </w:style>
  <w:style w:type="character" w:customStyle="1" w:styleId="tw4winMark">
    <w:name w:val="tw4winMark"/>
    <w:rsid w:val="00993FB7"/>
    <w:rPr>
      <w:rFonts w:ascii="Courier New" w:hAnsi="Courier New" w:cs="Courier New" w:hint="default"/>
      <w:vanish/>
      <w:webHidden w:val="0"/>
      <w:color w:val="800080"/>
      <w:vertAlign w:val="subscript"/>
      <w:specVanish w:val="0"/>
    </w:rPr>
  </w:style>
  <w:style w:type="paragraph" w:customStyle="1" w:styleId="SlogNapisNeKrepko">
    <w:name w:val="Slog Napis + Ne Krepko"/>
    <w:basedOn w:val="Navaden"/>
    <w:link w:val="SlogNapisNeKrepkoZnak"/>
    <w:rsid w:val="00993FB7"/>
    <w:pPr>
      <w:spacing w:line="240" w:lineRule="auto"/>
    </w:pPr>
    <w:rPr>
      <w:rFonts w:ascii="Calibri" w:hAnsi="Calibri"/>
      <w:color w:val="4F81BD"/>
      <w:sz w:val="22"/>
      <w:szCs w:val="22"/>
      <w:lang w:val="sl-SI" w:eastAsia="ja-JP"/>
    </w:rPr>
  </w:style>
  <w:style w:type="character" w:customStyle="1" w:styleId="SlogNapisNeKrepkoZnak">
    <w:name w:val="Slog Napis + Ne Krepko Znak"/>
    <w:link w:val="SlogNapisNeKrepko"/>
    <w:locked/>
    <w:rsid w:val="00993FB7"/>
    <w:rPr>
      <w:rFonts w:ascii="Calibri" w:hAnsi="Calibri"/>
      <w:color w:val="4F81BD"/>
      <w:sz w:val="22"/>
      <w:szCs w:val="22"/>
      <w:lang w:eastAsia="ja-JP"/>
    </w:rPr>
  </w:style>
  <w:style w:type="character" w:customStyle="1" w:styleId="Lead-inEmphasis">
    <w:name w:val="Lead-in Emphasis"/>
    <w:rsid w:val="00993FB7"/>
    <w:rPr>
      <w:rFonts w:ascii="Times New Roman" w:hAnsi="Times New Roman" w:cs="Times New Roman" w:hint="default"/>
      <w:b/>
      <w:bCs w:val="0"/>
      <w:spacing w:val="-4"/>
    </w:rPr>
  </w:style>
  <w:style w:type="character" w:customStyle="1" w:styleId="SlogArialNarrowSamovelikerke">
    <w:name w:val="Slog Arial Narrow Samo velike črke"/>
    <w:rsid w:val="00993FB7"/>
    <w:rPr>
      <w:rFonts w:ascii="Arial Narrow" w:hAnsi="Arial Narrow" w:hint="default"/>
      <w:b/>
      <w:bCs w:val="0"/>
      <w:caps/>
    </w:rPr>
  </w:style>
  <w:style w:type="character" w:customStyle="1" w:styleId="SlogArialNarrowKrepkoSamovelikerke">
    <w:name w:val="Slog Arial Narrow Krepko Samo velike črke"/>
    <w:rsid w:val="00993FB7"/>
    <w:rPr>
      <w:rFonts w:ascii="Arial Narrow" w:hAnsi="Arial Narrow" w:hint="default"/>
      <w:b/>
      <w:bCs/>
      <w:caps/>
    </w:rPr>
  </w:style>
  <w:style w:type="character" w:customStyle="1" w:styleId="velikost">
    <w:name w:val="velikost"/>
    <w:uiPriority w:val="99"/>
    <w:rsid w:val="00993FB7"/>
  </w:style>
  <w:style w:type="character" w:customStyle="1" w:styleId="SlogArial10pt">
    <w:name w:val="Slog Arial 10 pt"/>
    <w:uiPriority w:val="99"/>
    <w:rsid w:val="00993FB7"/>
    <w:rPr>
      <w:rFonts w:ascii="Arial" w:hAnsi="Arial" w:cs="Arial" w:hint="default"/>
      <w:sz w:val="24"/>
      <w:szCs w:val="24"/>
    </w:rPr>
  </w:style>
  <w:style w:type="character" w:customStyle="1" w:styleId="PripombabesediloZnak1">
    <w:name w:val="Pripomba – besedilo Znak1"/>
    <w:uiPriority w:val="99"/>
    <w:semiHidden/>
    <w:rsid w:val="00993FB7"/>
    <w:rPr>
      <w:rFonts w:ascii="Times New Roman" w:hAnsi="Times New Roman" w:cs="Times New Roman" w:hint="default"/>
      <w:lang w:eastAsia="en-US"/>
    </w:rPr>
  </w:style>
  <w:style w:type="table" w:customStyle="1" w:styleId="Tabela-mrea1">
    <w:name w:val="Tabela - mreža1"/>
    <w:basedOn w:val="Navadnatabela"/>
    <w:rsid w:val="00993FB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Zamik1">
    <w:name w:val="Zamik1"/>
    <w:basedOn w:val="Zamik2"/>
    <w:uiPriority w:val="99"/>
    <w:rsid w:val="00993FB7"/>
    <w:pPr>
      <w:ind w:left="284"/>
    </w:pPr>
  </w:style>
  <w:style w:type="paragraph" w:customStyle="1" w:styleId="Slog5">
    <w:name w:val="Slog 5"/>
    <w:basedOn w:val="Naslov1"/>
    <w:uiPriority w:val="99"/>
    <w:rsid w:val="00993FB7"/>
    <w:pPr>
      <w:keepLines/>
      <w:numPr>
        <w:ilvl w:val="3"/>
        <w:numId w:val="57"/>
      </w:numPr>
      <w:tabs>
        <w:tab w:val="clear" w:pos="864"/>
        <w:tab w:val="left" w:pos="397"/>
      </w:tabs>
      <w:spacing w:after="0" w:line="240" w:lineRule="auto"/>
      <w:ind w:left="1260" w:hanging="720"/>
      <w:mirrorIndents/>
      <w:outlineLvl w:val="3"/>
    </w:pPr>
    <w:rPr>
      <w:rFonts w:ascii="Arial Narrow" w:hAnsi="Arial Narrow"/>
      <w:b w:val="0"/>
      <w:iCs/>
      <w:color w:val="4F81BD"/>
      <w:kern w:val="0"/>
      <w:szCs w:val="24"/>
      <w:lang w:eastAsia="en-US"/>
    </w:rPr>
  </w:style>
  <w:style w:type="paragraph" w:customStyle="1" w:styleId="poroilomonitoringpreglednica">
    <w:name w:val="poročilo monitoring preglednica"/>
    <w:basedOn w:val="Navaden"/>
    <w:uiPriority w:val="99"/>
    <w:rsid w:val="00993FB7"/>
    <w:pPr>
      <w:spacing w:line="240" w:lineRule="auto"/>
      <w:jc w:val="both"/>
    </w:pPr>
    <w:rPr>
      <w:rFonts w:cs="Arial"/>
      <w:szCs w:val="20"/>
      <w:lang w:val="sl-SI"/>
    </w:rPr>
  </w:style>
  <w:style w:type="numbering" w:styleId="111111">
    <w:name w:val="Outline List 2"/>
    <w:basedOn w:val="Brezseznama"/>
    <w:unhideWhenUsed/>
    <w:rsid w:val="00993FB7"/>
    <w:pPr>
      <w:numPr>
        <w:numId w:val="38"/>
      </w:numPr>
    </w:pPr>
  </w:style>
  <w:style w:type="numbering" w:customStyle="1" w:styleId="Slog1">
    <w:name w:val="Slog1"/>
    <w:uiPriority w:val="99"/>
    <w:rsid w:val="00993FB7"/>
    <w:pPr>
      <w:numPr>
        <w:numId w:val="39"/>
      </w:numPr>
    </w:pPr>
  </w:style>
  <w:style w:type="numbering" w:customStyle="1" w:styleId="Nastevanje">
    <w:name w:val="Nastevanje"/>
    <w:basedOn w:val="Brezseznama"/>
    <w:rsid w:val="00993FB7"/>
    <w:pPr>
      <w:numPr>
        <w:numId w:val="60"/>
      </w:numPr>
    </w:pPr>
  </w:style>
  <w:style w:type="table" w:customStyle="1" w:styleId="Navadnatabela1">
    <w:name w:val="Navadna tabela1"/>
    <w:uiPriority w:val="99"/>
    <w:semiHidden/>
    <w:rsid w:val="00993FB7"/>
    <w:rPr>
      <w:rFonts w:ascii="Calibri" w:eastAsia="Calibri" w:hAnsi="Calibri"/>
    </w:rPr>
    <w:tblPr>
      <w:tblCellMar>
        <w:top w:w="0" w:type="dxa"/>
        <w:left w:w="108" w:type="dxa"/>
        <w:bottom w:w="0" w:type="dxa"/>
        <w:right w:w="108" w:type="dxa"/>
      </w:tblCellMar>
    </w:tblPr>
  </w:style>
  <w:style w:type="character" w:customStyle="1" w:styleId="ListParagraphChar1">
    <w:name w:val="List Paragraph Char1"/>
    <w:uiPriority w:val="34"/>
    <w:locked/>
    <w:rsid w:val="00993FB7"/>
    <w:rPr>
      <w:rFonts w:ascii="Tahoma" w:hAnsi="Tahoma" w:cs="Times New Roman"/>
      <w:sz w:val="24"/>
      <w:szCs w:val="24"/>
      <w:lang w:eastAsia="sl-SI"/>
    </w:rPr>
  </w:style>
  <w:style w:type="character" w:customStyle="1" w:styleId="Slog2nivoZnak">
    <w:name w:val="Slog 2 nivo Znak"/>
    <w:link w:val="Naslovv2"/>
    <w:uiPriority w:val="99"/>
    <w:locked/>
    <w:rsid w:val="00993FB7"/>
    <w:rPr>
      <w:rFonts w:ascii="Arial" w:hAnsi="Arial" w:cs="Arial"/>
      <w:b/>
      <w:bCs/>
      <w:sz w:val="24"/>
    </w:rPr>
  </w:style>
  <w:style w:type="paragraph" w:customStyle="1" w:styleId="Naslovv2">
    <w:name w:val="Naslovv 2"/>
    <w:basedOn w:val="poroilomonitoring11"/>
    <w:link w:val="Slog2nivoZnak"/>
    <w:uiPriority w:val="99"/>
    <w:rsid w:val="00993FB7"/>
    <w:pPr>
      <w:tabs>
        <w:tab w:val="num" w:pos="576"/>
      </w:tabs>
      <w:ind w:left="576" w:hanging="576"/>
      <w:outlineLvl w:val="1"/>
    </w:pPr>
    <w:rPr>
      <w:lang w:val="sl-SI"/>
    </w:rPr>
  </w:style>
  <w:style w:type="character" w:customStyle="1" w:styleId="Slog1testZnak">
    <w:name w:val="Slog1test Znak"/>
    <w:link w:val="Slog1test"/>
    <w:uiPriority w:val="99"/>
    <w:locked/>
    <w:rsid w:val="00993FB7"/>
    <w:rPr>
      <w:rFonts w:ascii="Arial" w:hAnsi="Arial"/>
      <w:bCs/>
      <w:i/>
      <w:iCs/>
      <w:color w:val="4F81BD"/>
      <w:szCs w:val="24"/>
    </w:rPr>
  </w:style>
  <w:style w:type="paragraph" w:customStyle="1" w:styleId="Slog1test">
    <w:name w:val="Slog1test"/>
    <w:basedOn w:val="Naslov3"/>
    <w:link w:val="Slog1testZnak"/>
    <w:uiPriority w:val="99"/>
    <w:rsid w:val="00993FB7"/>
    <w:pPr>
      <w:keepNext w:val="0"/>
      <w:autoSpaceDE w:val="0"/>
      <w:autoSpaceDN w:val="0"/>
      <w:adjustRightInd w:val="0"/>
      <w:spacing w:before="0" w:line="240" w:lineRule="auto"/>
      <w:jc w:val="both"/>
    </w:pPr>
    <w:rPr>
      <w:rFonts w:ascii="Arial" w:eastAsia="Times New Roman" w:hAnsi="Arial"/>
      <w:b w:val="0"/>
      <w:bCs/>
      <w:i/>
      <w:iCs/>
      <w:color w:val="4F81BD"/>
      <w:szCs w:val="24"/>
      <w:lang w:val="sl-SI"/>
    </w:rPr>
  </w:style>
  <w:style w:type="table" w:customStyle="1" w:styleId="TableClassic31">
    <w:name w:val="Table Classic 31"/>
    <w:basedOn w:val="Navadnatabela"/>
    <w:next w:val="Tabelaklasina3"/>
    <w:semiHidden/>
    <w:unhideWhenUsed/>
    <w:rsid w:val="00993FB7"/>
    <w:rPr>
      <w:rFonts w:ascii="Calibri" w:hAnsi="Calibri"/>
      <w:color w:val="000080"/>
      <w:sz w:val="22"/>
      <w:szCs w:val="22"/>
      <w:lang w:eastAsia="ja-JP"/>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ela-mrea11">
    <w:name w:val="Tabela - mreža11"/>
    <w:basedOn w:val="Navadnatabela"/>
    <w:rsid w:val="00993FB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logNaslov4ArialNarrow">
    <w:name w:val="Slog Naslov 4 + Arial Narrow"/>
    <w:basedOn w:val="Naslov1"/>
    <w:uiPriority w:val="99"/>
    <w:rsid w:val="00993FB7"/>
    <w:pPr>
      <w:keepLines/>
      <w:tabs>
        <w:tab w:val="num" w:pos="864"/>
      </w:tabs>
      <w:spacing w:before="120" w:after="120" w:line="240" w:lineRule="auto"/>
      <w:ind w:left="864" w:hanging="864"/>
      <w:outlineLvl w:val="3"/>
    </w:pPr>
    <w:rPr>
      <w:rFonts w:ascii="Arial Narrow" w:hAnsi="Arial Narrow"/>
      <w:b w:val="0"/>
      <w:bCs/>
      <w:color w:val="4F81BD"/>
      <w:kern w:val="0"/>
      <w:szCs w:val="20"/>
      <w:lang w:eastAsia="en-US"/>
    </w:rPr>
  </w:style>
  <w:style w:type="numbering" w:customStyle="1" w:styleId="1111111">
    <w:name w:val="1 / 1.1 / 1.1.11"/>
    <w:basedOn w:val="Brezseznama"/>
    <w:next w:val="111111"/>
    <w:semiHidden/>
    <w:unhideWhenUsed/>
    <w:rsid w:val="00993FB7"/>
    <w:pPr>
      <w:numPr>
        <w:numId w:val="58"/>
      </w:numPr>
    </w:pPr>
  </w:style>
  <w:style w:type="numbering" w:customStyle="1" w:styleId="Slog11">
    <w:name w:val="Slog11"/>
    <w:uiPriority w:val="99"/>
    <w:rsid w:val="00993FB7"/>
    <w:pPr>
      <w:numPr>
        <w:numId w:val="59"/>
      </w:numPr>
    </w:pPr>
  </w:style>
  <w:style w:type="numbering" w:customStyle="1" w:styleId="Nastevanje1">
    <w:name w:val="Nastevanje1"/>
    <w:basedOn w:val="Brezseznama"/>
    <w:rsid w:val="00993FB7"/>
    <w:pPr>
      <w:numPr>
        <w:numId w:val="61"/>
      </w:numPr>
    </w:pPr>
  </w:style>
  <w:style w:type="table" w:customStyle="1" w:styleId="Navadnatabela11">
    <w:name w:val="Navadna tabela11"/>
    <w:uiPriority w:val="99"/>
    <w:semiHidden/>
    <w:rsid w:val="00993FB7"/>
    <w:rPr>
      <w:rFonts w:ascii="Calibri" w:eastAsia="Calibri" w:hAnsi="Calibri"/>
    </w:rPr>
    <w:tblPr>
      <w:tblCellMar>
        <w:top w:w="0" w:type="dxa"/>
        <w:left w:w="108" w:type="dxa"/>
        <w:bottom w:w="0" w:type="dxa"/>
        <w:right w:w="108" w:type="dxa"/>
      </w:tblCellMar>
    </w:tblPr>
  </w:style>
  <w:style w:type="character" w:customStyle="1" w:styleId="CaptionChar1">
    <w:name w:val="Caption Char1"/>
    <w:aliases w:val="Napis1 Char,Caption Char Char,Znak Znak Znak Znak Znak Char Char,Znak Znak Znak Char Char,Tabele Char Char, Znak Znak Znak Znak Znak Char, Znak Znak Znak Char, Znak Znak Znak Char Char, Znak Znak Znak Znak Znak Char1"/>
    <w:locked/>
    <w:rsid w:val="00993FB7"/>
    <w:rPr>
      <w:rFonts w:ascii="Arial" w:eastAsia="Times New Roman" w:hAnsi="Arial"/>
      <w:b/>
      <w:bCs/>
    </w:rPr>
  </w:style>
  <w:style w:type="paragraph" w:customStyle="1" w:styleId="ZPN1">
    <w:name w:val="_ZPN 1"/>
    <w:basedOn w:val="Navaden"/>
    <w:rsid w:val="00993FB7"/>
    <w:pPr>
      <w:spacing w:line="240" w:lineRule="auto"/>
    </w:pPr>
    <w:rPr>
      <w:rFonts w:ascii="Tahoma" w:hAnsi="Tahoma"/>
      <w:lang w:val="sl-SI" w:eastAsia="sl-SI"/>
    </w:rPr>
  </w:style>
  <w:style w:type="paragraph" w:customStyle="1" w:styleId="font6">
    <w:name w:val="font6"/>
    <w:basedOn w:val="Navaden"/>
    <w:rsid w:val="00993FB7"/>
    <w:pPr>
      <w:spacing w:before="100" w:beforeAutospacing="1" w:after="100" w:afterAutospacing="1" w:line="240" w:lineRule="auto"/>
    </w:pPr>
    <w:rPr>
      <w:rFonts w:ascii="Tahoma" w:hAnsi="Tahoma" w:cs="Tahoma"/>
      <w:b/>
      <w:bCs/>
      <w:color w:val="000000"/>
      <w:sz w:val="16"/>
      <w:szCs w:val="16"/>
      <w:lang w:val="sl-SI" w:eastAsia="sl-SI"/>
    </w:rPr>
  </w:style>
  <w:style w:type="paragraph" w:customStyle="1" w:styleId="font7">
    <w:name w:val="font7"/>
    <w:basedOn w:val="Navaden"/>
    <w:rsid w:val="00993FB7"/>
    <w:pPr>
      <w:spacing w:before="100" w:beforeAutospacing="1" w:after="100" w:afterAutospacing="1" w:line="240" w:lineRule="auto"/>
    </w:pPr>
    <w:rPr>
      <w:rFonts w:ascii="Arial Narrow" w:hAnsi="Arial Narrow"/>
      <w:sz w:val="18"/>
      <w:szCs w:val="18"/>
      <w:lang w:val="sl-SI" w:eastAsia="sl-SI"/>
    </w:rPr>
  </w:style>
  <w:style w:type="paragraph" w:customStyle="1" w:styleId="xl130">
    <w:name w:val="xl130"/>
    <w:basedOn w:val="Navaden"/>
    <w:rsid w:val="00993FB7"/>
    <w:pPr>
      <w:spacing w:before="100" w:beforeAutospacing="1" w:after="100" w:afterAutospacing="1" w:line="240" w:lineRule="auto"/>
      <w:textAlignment w:val="center"/>
    </w:pPr>
    <w:rPr>
      <w:rFonts w:ascii="Arial Narrow" w:hAnsi="Arial Narrow"/>
      <w:sz w:val="18"/>
      <w:szCs w:val="18"/>
      <w:lang w:val="sl-SI" w:eastAsia="sl-SI"/>
    </w:rPr>
  </w:style>
  <w:style w:type="paragraph" w:customStyle="1" w:styleId="xl131">
    <w:name w:val="xl131"/>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hAnsi="Arial Narrow"/>
      <w:sz w:val="18"/>
      <w:szCs w:val="18"/>
      <w:lang w:val="sl-SI" w:eastAsia="sl-SI"/>
    </w:rPr>
  </w:style>
  <w:style w:type="paragraph" w:customStyle="1" w:styleId="xl132">
    <w:name w:val="xl132"/>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hAnsi="Arial Narrow"/>
      <w:sz w:val="18"/>
      <w:szCs w:val="18"/>
      <w:lang w:val="sl-SI" w:eastAsia="sl-SI"/>
    </w:rPr>
  </w:style>
  <w:style w:type="paragraph" w:customStyle="1" w:styleId="xl133">
    <w:name w:val="xl133"/>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hAnsi="Arial Narrow"/>
      <w:sz w:val="18"/>
      <w:szCs w:val="18"/>
      <w:lang w:val="sl-SI" w:eastAsia="sl-SI"/>
    </w:rPr>
  </w:style>
  <w:style w:type="paragraph" w:customStyle="1" w:styleId="xl134">
    <w:name w:val="xl134"/>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hAnsi="Arial Narrow"/>
      <w:sz w:val="18"/>
      <w:szCs w:val="18"/>
      <w:lang w:val="sl-SI" w:eastAsia="sl-SI"/>
    </w:rPr>
  </w:style>
  <w:style w:type="paragraph" w:customStyle="1" w:styleId="xl135">
    <w:name w:val="xl135"/>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hAnsi="Arial Narrow"/>
      <w:sz w:val="18"/>
      <w:szCs w:val="18"/>
      <w:lang w:val="sl-SI" w:eastAsia="sl-SI"/>
    </w:rPr>
  </w:style>
  <w:style w:type="paragraph" w:customStyle="1" w:styleId="xl136">
    <w:name w:val="xl136"/>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hAnsi="Arial Narrow"/>
      <w:sz w:val="18"/>
      <w:szCs w:val="18"/>
      <w:lang w:val="sl-SI" w:eastAsia="sl-SI"/>
    </w:rPr>
  </w:style>
  <w:style w:type="paragraph" w:customStyle="1" w:styleId="xl137">
    <w:name w:val="xl137"/>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hAnsi="Arial Narrow"/>
      <w:sz w:val="18"/>
      <w:szCs w:val="18"/>
      <w:lang w:val="sl-SI" w:eastAsia="sl-SI"/>
    </w:rPr>
  </w:style>
  <w:style w:type="paragraph" w:customStyle="1" w:styleId="xl138">
    <w:name w:val="xl138"/>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hAnsi="Arial Narrow"/>
      <w:sz w:val="18"/>
      <w:szCs w:val="18"/>
      <w:lang w:val="sl-SI" w:eastAsia="sl-SI"/>
    </w:rPr>
  </w:style>
  <w:style w:type="paragraph" w:customStyle="1" w:styleId="xl139">
    <w:name w:val="xl139"/>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hAnsi="Arial Narrow"/>
      <w:sz w:val="18"/>
      <w:szCs w:val="18"/>
      <w:lang w:val="sl-SI" w:eastAsia="sl-SI"/>
    </w:rPr>
  </w:style>
  <w:style w:type="paragraph" w:customStyle="1" w:styleId="xl140">
    <w:name w:val="xl140"/>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hAnsi="Arial Narrow"/>
      <w:sz w:val="18"/>
      <w:szCs w:val="18"/>
      <w:lang w:val="sl-SI" w:eastAsia="sl-SI"/>
    </w:rPr>
  </w:style>
  <w:style w:type="paragraph" w:customStyle="1" w:styleId="xl141">
    <w:name w:val="xl141"/>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hAnsi="Arial Narrow"/>
      <w:sz w:val="18"/>
      <w:szCs w:val="18"/>
      <w:lang w:val="sl-SI" w:eastAsia="sl-SI"/>
    </w:rPr>
  </w:style>
  <w:style w:type="paragraph" w:customStyle="1" w:styleId="xl142">
    <w:name w:val="xl142"/>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hAnsi="Arial Narrow"/>
      <w:sz w:val="18"/>
      <w:szCs w:val="18"/>
      <w:lang w:val="sl-SI" w:eastAsia="sl-SI"/>
    </w:rPr>
  </w:style>
  <w:style w:type="paragraph" w:customStyle="1" w:styleId="xl143">
    <w:name w:val="xl143"/>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hAnsi="Arial Narrow"/>
      <w:sz w:val="18"/>
      <w:szCs w:val="18"/>
      <w:lang w:val="sl-SI" w:eastAsia="sl-SI"/>
    </w:rPr>
  </w:style>
  <w:style w:type="paragraph" w:customStyle="1" w:styleId="xl144">
    <w:name w:val="xl144"/>
    <w:basedOn w:val="Navaden"/>
    <w:rsid w:val="00993FB7"/>
    <w:pPr>
      <w:spacing w:before="100" w:beforeAutospacing="1" w:after="100" w:afterAutospacing="1" w:line="240" w:lineRule="auto"/>
      <w:textAlignment w:val="center"/>
    </w:pPr>
    <w:rPr>
      <w:rFonts w:ascii="Arial Narrow" w:hAnsi="Arial Narrow"/>
      <w:sz w:val="18"/>
      <w:szCs w:val="18"/>
      <w:lang w:val="sl-SI" w:eastAsia="sl-SI"/>
    </w:rPr>
  </w:style>
  <w:style w:type="paragraph" w:customStyle="1" w:styleId="xl145">
    <w:name w:val="xl145"/>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hAnsi="Arial Narrow"/>
      <w:sz w:val="18"/>
      <w:szCs w:val="18"/>
      <w:lang w:val="sl-SI" w:eastAsia="sl-SI"/>
    </w:rPr>
  </w:style>
  <w:style w:type="paragraph" w:customStyle="1" w:styleId="xl146">
    <w:name w:val="xl146"/>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hAnsi="Arial Narrow"/>
      <w:sz w:val="18"/>
      <w:szCs w:val="18"/>
      <w:lang w:val="sl-SI" w:eastAsia="sl-SI"/>
    </w:rPr>
  </w:style>
  <w:style w:type="paragraph" w:customStyle="1" w:styleId="xl147">
    <w:name w:val="xl147"/>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hAnsi="Arial Narrow"/>
      <w:sz w:val="18"/>
      <w:szCs w:val="18"/>
      <w:lang w:val="sl-SI" w:eastAsia="sl-SI"/>
    </w:rPr>
  </w:style>
  <w:style w:type="paragraph" w:customStyle="1" w:styleId="xl148">
    <w:name w:val="xl148"/>
    <w:basedOn w:val="Navaden"/>
    <w:rsid w:val="00993FB7"/>
    <w:pPr>
      <w:spacing w:before="100" w:beforeAutospacing="1" w:after="100" w:afterAutospacing="1" w:line="240" w:lineRule="auto"/>
      <w:textAlignment w:val="center"/>
    </w:pPr>
    <w:rPr>
      <w:rFonts w:ascii="Arial Narrow" w:hAnsi="Arial Narrow"/>
      <w:sz w:val="18"/>
      <w:szCs w:val="18"/>
      <w:lang w:val="sl-SI" w:eastAsia="sl-SI"/>
    </w:rPr>
  </w:style>
  <w:style w:type="paragraph" w:customStyle="1" w:styleId="xl149">
    <w:name w:val="xl149"/>
    <w:basedOn w:val="Navaden"/>
    <w:rsid w:val="00993FB7"/>
    <w:pPr>
      <w:spacing w:before="100" w:beforeAutospacing="1" w:after="100" w:afterAutospacing="1" w:line="240" w:lineRule="auto"/>
      <w:textAlignment w:val="center"/>
    </w:pPr>
    <w:rPr>
      <w:rFonts w:ascii="Arial Narrow" w:hAnsi="Arial Narrow"/>
      <w:sz w:val="18"/>
      <w:szCs w:val="18"/>
      <w:lang w:val="sl-SI" w:eastAsia="sl-SI"/>
    </w:rPr>
  </w:style>
  <w:style w:type="paragraph" w:customStyle="1" w:styleId="xl150">
    <w:name w:val="xl150"/>
    <w:basedOn w:val="Navaden"/>
    <w:rsid w:val="00993FB7"/>
    <w:pPr>
      <w:spacing w:before="100" w:beforeAutospacing="1" w:after="100" w:afterAutospacing="1" w:line="240" w:lineRule="auto"/>
      <w:textAlignment w:val="center"/>
    </w:pPr>
    <w:rPr>
      <w:rFonts w:ascii="Arial Narrow" w:hAnsi="Arial Narrow"/>
      <w:sz w:val="18"/>
      <w:szCs w:val="18"/>
      <w:lang w:val="sl-SI" w:eastAsia="sl-SI"/>
    </w:rPr>
  </w:style>
  <w:style w:type="paragraph" w:customStyle="1" w:styleId="xl151">
    <w:name w:val="xl151"/>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hAnsi="Arial Narrow"/>
      <w:sz w:val="18"/>
      <w:szCs w:val="18"/>
      <w:lang w:val="sl-SI" w:eastAsia="sl-SI"/>
    </w:rPr>
  </w:style>
  <w:style w:type="paragraph" w:customStyle="1" w:styleId="xl152">
    <w:name w:val="xl152"/>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hAnsi="Arial Narrow"/>
      <w:sz w:val="18"/>
      <w:szCs w:val="18"/>
      <w:lang w:val="sl-SI" w:eastAsia="sl-SI"/>
    </w:rPr>
  </w:style>
  <w:style w:type="paragraph" w:customStyle="1" w:styleId="xl153">
    <w:name w:val="xl153"/>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Narrow" w:hAnsi="Arial Narrow"/>
      <w:sz w:val="18"/>
      <w:szCs w:val="18"/>
      <w:lang w:val="sl-SI" w:eastAsia="sl-SI"/>
    </w:rPr>
  </w:style>
  <w:style w:type="paragraph" w:customStyle="1" w:styleId="xl154">
    <w:name w:val="xl154"/>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hAnsi="Arial Narrow"/>
      <w:sz w:val="18"/>
      <w:szCs w:val="18"/>
      <w:lang w:val="sl-SI" w:eastAsia="sl-SI"/>
    </w:rPr>
  </w:style>
  <w:style w:type="paragraph" w:customStyle="1" w:styleId="xl155">
    <w:name w:val="xl155"/>
    <w:basedOn w:val="Navaden"/>
    <w:rsid w:val="00993FB7"/>
    <w:pPr>
      <w:spacing w:before="100" w:beforeAutospacing="1" w:after="100" w:afterAutospacing="1" w:line="240" w:lineRule="auto"/>
      <w:jc w:val="center"/>
      <w:textAlignment w:val="center"/>
    </w:pPr>
    <w:rPr>
      <w:rFonts w:ascii="Arial Narrow" w:hAnsi="Arial Narrow"/>
      <w:sz w:val="18"/>
      <w:szCs w:val="18"/>
      <w:lang w:val="sl-SI" w:eastAsia="sl-SI"/>
    </w:rPr>
  </w:style>
  <w:style w:type="paragraph" w:customStyle="1" w:styleId="xl156">
    <w:name w:val="xl156"/>
    <w:basedOn w:val="Navaden"/>
    <w:rsid w:val="00993FB7"/>
    <w:pPr>
      <w:spacing w:before="100" w:beforeAutospacing="1" w:after="100" w:afterAutospacing="1" w:line="240" w:lineRule="auto"/>
      <w:jc w:val="right"/>
      <w:textAlignment w:val="center"/>
    </w:pPr>
    <w:rPr>
      <w:rFonts w:ascii="Arial Narrow" w:hAnsi="Arial Narrow"/>
      <w:sz w:val="18"/>
      <w:szCs w:val="18"/>
      <w:lang w:val="sl-SI" w:eastAsia="sl-SI"/>
    </w:rPr>
  </w:style>
  <w:style w:type="paragraph" w:customStyle="1" w:styleId="xl157">
    <w:name w:val="xl157"/>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hAnsi="Arial Narrow"/>
      <w:b/>
      <w:bCs/>
      <w:sz w:val="24"/>
      <w:lang w:val="sl-SI" w:eastAsia="sl-SI"/>
    </w:rPr>
  </w:style>
  <w:style w:type="paragraph" w:customStyle="1" w:styleId="xl158">
    <w:name w:val="xl158"/>
    <w:basedOn w:val="Navaden"/>
    <w:rsid w:val="00993FB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hAnsi="Arial Narrow"/>
      <w:b/>
      <w:bCs/>
      <w:sz w:val="24"/>
      <w:lang w:val="sl-SI" w:eastAsia="sl-SI"/>
    </w:rPr>
  </w:style>
  <w:style w:type="paragraph" w:customStyle="1" w:styleId="StyleCaption">
    <w:name w:val="Style Caption"/>
    <w:aliases w:val="Znak Znak Znak Znak Znak + Black"/>
    <w:basedOn w:val="Napis"/>
    <w:link w:val="StyleCaptionChar"/>
    <w:rsid w:val="00993FB7"/>
    <w:pPr>
      <w:keepNext w:val="0"/>
      <w:tabs>
        <w:tab w:val="clear" w:pos="851"/>
        <w:tab w:val="clear" w:pos="1134"/>
      </w:tabs>
      <w:spacing w:before="6"/>
      <w:ind w:left="0" w:right="93" w:firstLine="0"/>
      <w:jc w:val="both"/>
    </w:pPr>
    <w:rPr>
      <w:rFonts w:cs="Times New Roman"/>
      <w:i w:val="0"/>
      <w:noProof w:val="0"/>
      <w:color w:val="000000"/>
      <w:lang w:eastAsia="sl-SI"/>
    </w:rPr>
  </w:style>
  <w:style w:type="character" w:customStyle="1" w:styleId="StyleCaptionChar">
    <w:name w:val="Style Caption Char"/>
    <w:aliases w:val="Znak Znak Znak Znak Znak + Black Char"/>
    <w:link w:val="StyleCaption"/>
    <w:rsid w:val="00993FB7"/>
    <w:rPr>
      <w:rFonts w:ascii="Tahoma" w:hAnsi="Tahoma"/>
      <w:bCs/>
      <w:color w:val="000000"/>
    </w:rPr>
  </w:style>
  <w:style w:type="character" w:customStyle="1" w:styleId="PVO-2CharChar">
    <w:name w:val="PVO-2 Char Char"/>
    <w:rsid w:val="00993FB7"/>
    <w:rPr>
      <w:rFonts w:ascii="Tahoma" w:hAnsi="Tahoma" w:cs="Arial"/>
      <w:bCs/>
      <w:iCs/>
      <w:sz w:val="28"/>
      <w:szCs w:val="28"/>
      <w:lang w:val="sl-SI" w:eastAsia="sl-SI" w:bidi="ar-SA"/>
    </w:rPr>
  </w:style>
  <w:style w:type="character" w:customStyle="1" w:styleId="ZnakChar">
    <w:name w:val="Znak Char"/>
    <w:aliases w:val="PVO-1 Char Char,Znak3 Char Char"/>
    <w:rsid w:val="00993FB7"/>
    <w:rPr>
      <w:rFonts w:ascii="Tahoma" w:hAnsi="Tahoma" w:cs="Arial"/>
      <w:bCs/>
      <w:kern w:val="32"/>
      <w:sz w:val="28"/>
      <w:szCs w:val="32"/>
      <w:lang w:val="sl-SI" w:eastAsia="sl-SI" w:bidi="ar-SA"/>
    </w:rPr>
  </w:style>
  <w:style w:type="paragraph" w:customStyle="1" w:styleId="Preglednicasredinsko">
    <w:name w:val="Preglednica sredinsko"/>
    <w:basedOn w:val="Navaden"/>
    <w:rsid w:val="00993FB7"/>
    <w:pPr>
      <w:spacing w:line="240" w:lineRule="auto"/>
      <w:jc w:val="center"/>
    </w:pPr>
    <w:rPr>
      <w:rFonts w:ascii="Tahoma" w:hAnsi="Tahoma" w:cs="Tahoma"/>
      <w:szCs w:val="20"/>
      <w:lang w:val="sl-SI" w:eastAsia="sl-SI"/>
    </w:rPr>
  </w:style>
  <w:style w:type="paragraph" w:customStyle="1" w:styleId="Preglednicasredinskoglava">
    <w:name w:val="Preglednica sredinsko glava"/>
    <w:basedOn w:val="Navaden"/>
    <w:rsid w:val="00993FB7"/>
    <w:pPr>
      <w:spacing w:line="240" w:lineRule="auto"/>
      <w:jc w:val="center"/>
    </w:pPr>
    <w:rPr>
      <w:rFonts w:ascii="Tahoma" w:hAnsi="Tahoma" w:cs="Tahoma"/>
      <w:b/>
      <w:szCs w:val="20"/>
      <w:lang w:val="sl-SI" w:eastAsia="sl-SI"/>
    </w:rPr>
  </w:style>
  <w:style w:type="paragraph" w:customStyle="1" w:styleId="Naslov6a">
    <w:name w:val="Naslov 6a"/>
    <w:basedOn w:val="Naslov6"/>
    <w:next w:val="Telobesedila"/>
    <w:rsid w:val="00993FB7"/>
    <w:pPr>
      <w:keepNext w:val="0"/>
      <w:keepLines w:val="0"/>
      <w:spacing w:before="240" w:after="60"/>
      <w:ind w:left="0" w:firstLine="0"/>
    </w:pPr>
    <w:rPr>
      <w:rFonts w:ascii="Tahoma" w:hAnsi="Tahoma"/>
      <w:b/>
      <w:bCs/>
      <w:i w:val="0"/>
      <w:iCs w:val="0"/>
      <w:color w:val="auto"/>
      <w:lang w:eastAsia="sl-SI"/>
    </w:rPr>
  </w:style>
  <w:style w:type="character" w:customStyle="1" w:styleId="ZnakZnakZnakZnakZnakZnakZnak1">
    <w:name w:val="Znak Znak Znak Znak Znak Znak Znak1"/>
    <w:rsid w:val="00993FB7"/>
    <w:rPr>
      <w:rFonts w:ascii="Tahoma" w:hAnsi="Tahoma"/>
      <w:b/>
      <w:bCs/>
      <w:lang w:val="sl-SI" w:eastAsia="sl-SI" w:bidi="ar-SA"/>
    </w:rPr>
  </w:style>
  <w:style w:type="character" w:customStyle="1" w:styleId="ZnakZnak5">
    <w:name w:val="Znak Znak5"/>
    <w:rsid w:val="00993FB7"/>
    <w:rPr>
      <w:rFonts w:ascii="Tahoma" w:hAnsi="Tahoma" w:cs="Arial"/>
      <w:bCs/>
      <w:kern w:val="32"/>
      <w:sz w:val="28"/>
      <w:szCs w:val="32"/>
    </w:rPr>
  </w:style>
  <w:style w:type="character" w:customStyle="1" w:styleId="ZnakZnak4">
    <w:name w:val="Znak Znak4"/>
    <w:rsid w:val="00993FB7"/>
    <w:rPr>
      <w:rFonts w:ascii="Tahoma" w:hAnsi="Tahoma" w:cs="Arial"/>
      <w:bCs/>
      <w:iCs/>
      <w:sz w:val="28"/>
      <w:szCs w:val="28"/>
    </w:rPr>
  </w:style>
  <w:style w:type="character" w:customStyle="1" w:styleId="ImepregledniceChar">
    <w:name w:val="Ime preglednice Char"/>
    <w:aliases w:val="slike Char"/>
    <w:rsid w:val="00993FB7"/>
    <w:rPr>
      <w:rFonts w:ascii="Tahoma" w:hAnsi="Tahoma"/>
      <w:lang w:val="sl-SI" w:eastAsia="sl-SI" w:bidi="ar-SA"/>
    </w:rPr>
  </w:style>
  <w:style w:type="paragraph" w:customStyle="1" w:styleId="Znak1ZnakZnak">
    <w:name w:val="Znak1 Znak Znak"/>
    <w:basedOn w:val="Navaden"/>
    <w:rsid w:val="00993FB7"/>
    <w:pPr>
      <w:spacing w:after="160" w:line="240" w:lineRule="exact"/>
    </w:pPr>
    <w:rPr>
      <w:rFonts w:ascii="Tahoma" w:hAnsi="Tahoma" w:cs="Tahoma"/>
      <w:szCs w:val="20"/>
    </w:rPr>
  </w:style>
  <w:style w:type="character" w:customStyle="1" w:styleId="uvlaka2Char">
    <w:name w:val="uvlaka 2 Char"/>
    <w:aliases w:val="uvlaka 2 Char Char"/>
    <w:rsid w:val="00993FB7"/>
    <w:rPr>
      <w:rFonts w:ascii="Tahoma" w:hAnsi="Tahoma"/>
      <w:sz w:val="22"/>
      <w:szCs w:val="24"/>
      <w:lang w:val="sl-SI" w:eastAsia="sl-SI" w:bidi="ar-SA"/>
    </w:rPr>
  </w:style>
  <w:style w:type="character" w:customStyle="1" w:styleId="ZnakZnakZnakChar2">
    <w:name w:val="Znak Znak Znak Char2"/>
    <w:aliases w:val=" Znak Znak Char2, Znak Znak Znak Znak Znak Char Char2,Znak Znak Char2,Znak Znak Znak Znak Znak Char Char2"/>
    <w:rsid w:val="00993FB7"/>
    <w:rPr>
      <w:rFonts w:ascii="Tahoma" w:hAnsi="Tahoma"/>
      <w:b/>
      <w:bCs/>
      <w:lang w:val="sl-SI" w:eastAsia="sl-SI" w:bidi="ar-SA"/>
    </w:rPr>
  </w:style>
  <w:style w:type="character" w:customStyle="1" w:styleId="ZnakZnakZnakChar1">
    <w:name w:val="Znak Znak Znak Char1"/>
    <w:aliases w:val=" Znak Znak Char1, Znak Znak Znak Znak Znak Char Char1"/>
    <w:rsid w:val="00993FB7"/>
    <w:rPr>
      <w:rFonts w:ascii="Tahoma" w:hAnsi="Tahoma"/>
      <w:b/>
      <w:bCs/>
      <w:lang w:val="sl-SI" w:eastAsia="sl-SI" w:bidi="ar-SA"/>
    </w:rPr>
  </w:style>
  <w:style w:type="character" w:customStyle="1" w:styleId="ZnakZnakZnak2">
    <w:name w:val="Znak Znak Znak2"/>
    <w:rsid w:val="00993FB7"/>
    <w:rPr>
      <w:rFonts w:ascii="Tahoma" w:hAnsi="Tahoma"/>
      <w:bCs/>
      <w:sz w:val="24"/>
      <w:szCs w:val="28"/>
      <w:lang w:val="sl-SI" w:eastAsia="sl-SI" w:bidi="ar-SA"/>
    </w:rPr>
  </w:style>
  <w:style w:type="character" w:customStyle="1" w:styleId="ZnakZnak2">
    <w:name w:val="Znak Znak2"/>
    <w:rsid w:val="00993FB7"/>
    <w:rPr>
      <w:rFonts w:ascii="Tahoma" w:hAnsi="Tahoma" w:cs="Arial"/>
      <w:bCs/>
      <w:iCs/>
      <w:sz w:val="28"/>
      <w:szCs w:val="22"/>
      <w:lang w:val="sl-SI" w:eastAsia="sl-SI" w:bidi="ar-SA"/>
    </w:rPr>
  </w:style>
  <w:style w:type="character" w:customStyle="1" w:styleId="ZnakZnak3">
    <w:name w:val="Znak Znak3"/>
    <w:uiPriority w:val="99"/>
    <w:rsid w:val="00993FB7"/>
    <w:rPr>
      <w:rFonts w:ascii="Tahoma" w:hAnsi="Tahoma" w:cs="Arial"/>
      <w:bCs/>
      <w:kern w:val="32"/>
      <w:sz w:val="28"/>
      <w:szCs w:val="32"/>
      <w:lang w:val="sl-SI" w:eastAsia="sl-SI" w:bidi="ar-SA"/>
    </w:rPr>
  </w:style>
  <w:style w:type="character" w:customStyle="1" w:styleId="ZnakZnakZnakZnakZnakChar2">
    <w:name w:val="Znak Znak Znak Znak Znak Char2"/>
    <w:aliases w:val=" Znak Znak Znak Char Char2, Znak Znak Znak Char3,Znak Znak Znak Znak Znak Char Char1,Znak Znak Znak Znak Znak Char3,Znak Znak Znak Char3,Znak Znak Znak Char Char2"/>
    <w:rsid w:val="00993FB7"/>
    <w:rPr>
      <w:rFonts w:ascii="Tahoma" w:hAnsi="Tahoma"/>
      <w:b/>
      <w:bCs/>
      <w:lang w:val="sl-SI" w:eastAsia="sl-SI" w:bidi="ar-SA"/>
    </w:rPr>
  </w:style>
  <w:style w:type="character" w:customStyle="1" w:styleId="CharChar5">
    <w:name w:val="Char Char5"/>
    <w:rsid w:val="00993FB7"/>
    <w:rPr>
      <w:rFonts w:ascii="Tahoma" w:hAnsi="Tahoma" w:cs="Tahoma"/>
      <w:b/>
      <w:bCs/>
      <w:iCs/>
      <w:sz w:val="22"/>
      <w:szCs w:val="26"/>
      <w:u w:val="words"/>
      <w:lang w:val="sl-SI" w:eastAsia="sl-SI" w:bidi="ar-SA"/>
    </w:rPr>
  </w:style>
  <w:style w:type="character" w:customStyle="1" w:styleId="CharChar4">
    <w:name w:val="Char Char4"/>
    <w:semiHidden/>
    <w:locked/>
    <w:rsid w:val="00993FB7"/>
    <w:rPr>
      <w:rFonts w:ascii="Tahoma" w:hAnsi="Tahoma"/>
      <w:bCs/>
      <w:sz w:val="22"/>
      <w:szCs w:val="22"/>
      <w:lang w:val="sl-SI" w:eastAsia="sl-SI" w:bidi="ar-SA"/>
    </w:rPr>
  </w:style>
  <w:style w:type="character" w:customStyle="1" w:styleId="CharChar3">
    <w:name w:val="Char Char3"/>
    <w:semiHidden/>
    <w:locked/>
    <w:rsid w:val="00993FB7"/>
    <w:rPr>
      <w:rFonts w:ascii="Tahoma" w:hAnsi="Tahoma"/>
      <w:sz w:val="22"/>
      <w:szCs w:val="24"/>
      <w:lang w:val="sl-SI" w:eastAsia="sl-SI" w:bidi="ar-SA"/>
    </w:rPr>
  </w:style>
  <w:style w:type="character" w:customStyle="1" w:styleId="Footer1CharChar">
    <w:name w:val="Footer1 Char Char"/>
    <w:semiHidden/>
    <w:locked/>
    <w:rsid w:val="00993FB7"/>
    <w:rPr>
      <w:rFonts w:ascii="Tahoma" w:hAnsi="Tahoma"/>
      <w:sz w:val="22"/>
      <w:szCs w:val="24"/>
      <w:lang w:val="sl-SI" w:eastAsia="sl-SI" w:bidi="ar-SA"/>
    </w:rPr>
  </w:style>
  <w:style w:type="character" w:customStyle="1" w:styleId="Header-PRCharChar">
    <w:name w:val="Header-PR Char Char"/>
    <w:semiHidden/>
    <w:locked/>
    <w:rsid w:val="00993FB7"/>
    <w:rPr>
      <w:rFonts w:ascii="Tahoma" w:hAnsi="Tahoma"/>
      <w:sz w:val="22"/>
      <w:szCs w:val="24"/>
      <w:lang w:val="sl-SI" w:eastAsia="sl-SI" w:bidi="ar-SA"/>
    </w:rPr>
  </w:style>
  <w:style w:type="character" w:customStyle="1" w:styleId="ZnakZnakZnakChar11">
    <w:name w:val="Znak Znak Znak Char11"/>
    <w:aliases w:val="Znak Znak Char1,Znak Znak Znak Znak Znak Char Char11"/>
    <w:rsid w:val="00993FB7"/>
    <w:rPr>
      <w:rFonts w:ascii="Tahoma" w:hAnsi="Tahoma" w:cs="Times New Roman"/>
      <w:b/>
      <w:bCs/>
      <w:lang w:val="sl-SI" w:eastAsia="sl-SI" w:bidi="ar-SA"/>
    </w:rPr>
  </w:style>
  <w:style w:type="character" w:customStyle="1" w:styleId="ZnakZnakZnakZnakZnakZnakZnak2">
    <w:name w:val="Znak Znak Znak Znak Znak Znak Znak2"/>
    <w:rsid w:val="00993FB7"/>
    <w:rPr>
      <w:rFonts w:ascii="Tahoma" w:hAnsi="Tahoma" w:cs="Tahoma"/>
      <w:b/>
      <w:bCs/>
      <w:lang w:val="sl-SI" w:eastAsia="sl-SI"/>
    </w:rPr>
  </w:style>
  <w:style w:type="paragraph" w:customStyle="1" w:styleId="p">
    <w:name w:val="p"/>
    <w:basedOn w:val="Navaden"/>
    <w:rsid w:val="00993FB7"/>
    <w:pPr>
      <w:spacing w:before="60" w:after="15" w:line="240" w:lineRule="auto"/>
      <w:ind w:left="15" w:right="15" w:firstLine="240"/>
      <w:jc w:val="both"/>
    </w:pPr>
    <w:rPr>
      <w:rFonts w:cs="Arial"/>
      <w:color w:val="222222"/>
      <w:szCs w:val="22"/>
      <w:lang w:val="sl-SI" w:eastAsia="sl-SI"/>
    </w:rPr>
  </w:style>
  <w:style w:type="character" w:customStyle="1" w:styleId="ZnakZnakZnakZnakZnakZnakZnak11">
    <w:name w:val="Znak Znak Znak Znak Znak Znak Znak11"/>
    <w:rsid w:val="00993FB7"/>
    <w:rPr>
      <w:rFonts w:ascii="Tahoma" w:hAnsi="Tahoma" w:cs="Tahoma"/>
      <w:b/>
      <w:bCs/>
      <w:lang w:val="sl-SI" w:eastAsia="sl-SI"/>
    </w:rPr>
  </w:style>
  <w:style w:type="character" w:customStyle="1" w:styleId="ZnakCharChar">
    <w:name w:val="Znak Char Char"/>
    <w:uiPriority w:val="99"/>
    <w:rsid w:val="00993FB7"/>
    <w:rPr>
      <w:rFonts w:ascii="Tahoma" w:hAnsi="Tahoma"/>
      <w:bCs/>
      <w:sz w:val="24"/>
      <w:szCs w:val="28"/>
      <w:lang w:val="sl-SI" w:eastAsia="sl-SI" w:bidi="ar-SA"/>
    </w:rPr>
  </w:style>
  <w:style w:type="paragraph" w:customStyle="1" w:styleId="Revision1">
    <w:name w:val="Revision1"/>
    <w:hidden/>
    <w:uiPriority w:val="99"/>
    <w:semiHidden/>
    <w:rsid w:val="00993FB7"/>
    <w:rPr>
      <w:rFonts w:ascii="Tahoma" w:hAnsi="Tahoma"/>
      <w:sz w:val="22"/>
      <w:szCs w:val="24"/>
    </w:rPr>
  </w:style>
  <w:style w:type="paragraph" w:customStyle="1" w:styleId="SlogObojestransko">
    <w:name w:val="Slog Obojestransko"/>
    <w:basedOn w:val="Navaden"/>
    <w:uiPriority w:val="99"/>
    <w:rsid w:val="00993FB7"/>
    <w:pPr>
      <w:spacing w:line="240" w:lineRule="auto"/>
      <w:jc w:val="both"/>
    </w:pPr>
    <w:rPr>
      <w:rFonts w:ascii="Tahoma" w:hAnsi="Tahoma" w:cs="Tahoma"/>
      <w:sz w:val="24"/>
      <w:lang w:val="sl-SI"/>
    </w:rPr>
  </w:style>
  <w:style w:type="paragraph" w:customStyle="1" w:styleId="ListParagraph3">
    <w:name w:val="List Paragraph3"/>
    <w:basedOn w:val="Navaden"/>
    <w:uiPriority w:val="99"/>
    <w:qFormat/>
    <w:rsid w:val="00993FB7"/>
    <w:pPr>
      <w:spacing w:line="240" w:lineRule="auto"/>
      <w:ind w:left="720"/>
      <w:contextualSpacing/>
      <w:jc w:val="both"/>
    </w:pPr>
    <w:rPr>
      <w:rFonts w:ascii="Tahoma" w:hAnsi="Tahoma" w:cs="Tahoma"/>
      <w:szCs w:val="22"/>
      <w:lang w:val="sl-SI" w:eastAsia="sl-SI"/>
    </w:rPr>
  </w:style>
  <w:style w:type="paragraph" w:customStyle="1" w:styleId="PRILOGE">
    <w:name w:val="PRILOGE"/>
    <w:basedOn w:val="Navaden"/>
    <w:uiPriority w:val="99"/>
    <w:rsid w:val="00993FB7"/>
    <w:pPr>
      <w:spacing w:line="240" w:lineRule="auto"/>
      <w:jc w:val="both"/>
    </w:pPr>
    <w:rPr>
      <w:rFonts w:ascii="Tahoma" w:hAnsi="Tahoma" w:cs="Tahoma"/>
      <w:sz w:val="24"/>
      <w:lang w:val="sl-SI" w:eastAsia="sl-SI"/>
    </w:rPr>
  </w:style>
  <w:style w:type="paragraph" w:customStyle="1" w:styleId="Znak1">
    <w:name w:val="Znak1"/>
    <w:basedOn w:val="Navaden"/>
    <w:uiPriority w:val="99"/>
    <w:rsid w:val="00993FB7"/>
    <w:pPr>
      <w:spacing w:line="240" w:lineRule="auto"/>
    </w:pPr>
    <w:rPr>
      <w:rFonts w:ascii="Times New Roman" w:hAnsi="Times New Roman"/>
      <w:sz w:val="24"/>
      <w:lang w:val="pl-PL" w:eastAsia="pl-PL"/>
    </w:rPr>
  </w:style>
  <w:style w:type="paragraph" w:customStyle="1" w:styleId="ZnakZnak1CharCharZnakZnak">
    <w:name w:val="Znak Znak1 Char Char Znak Znak"/>
    <w:basedOn w:val="Navaden"/>
    <w:uiPriority w:val="99"/>
    <w:rsid w:val="00993FB7"/>
    <w:pPr>
      <w:spacing w:line="240" w:lineRule="auto"/>
    </w:pPr>
    <w:rPr>
      <w:rFonts w:ascii="Times New Roman" w:hAnsi="Times New Roman"/>
      <w:sz w:val="24"/>
      <w:lang w:val="pl-PL" w:eastAsia="pl-PL"/>
    </w:rPr>
  </w:style>
  <w:style w:type="paragraph" w:customStyle="1" w:styleId="ZnakZnak1CharCharZnakZnak1">
    <w:name w:val="Znak Znak1 Char Char Znak Znak1"/>
    <w:basedOn w:val="Navaden"/>
    <w:uiPriority w:val="99"/>
    <w:rsid w:val="00993FB7"/>
    <w:pPr>
      <w:spacing w:line="240" w:lineRule="auto"/>
    </w:pPr>
    <w:rPr>
      <w:rFonts w:ascii="Times New Roman" w:hAnsi="Times New Roman"/>
      <w:sz w:val="24"/>
      <w:lang w:val="pl-PL" w:eastAsia="pl-PL"/>
    </w:rPr>
  </w:style>
  <w:style w:type="character" w:customStyle="1" w:styleId="Heading3CharChar">
    <w:name w:val="Heading 3 Char Char"/>
    <w:uiPriority w:val="99"/>
    <w:rsid w:val="00993FB7"/>
    <w:rPr>
      <w:rFonts w:ascii="Tahoma" w:hAnsi="Tahoma" w:cs="Tahoma"/>
      <w:sz w:val="26"/>
      <w:szCs w:val="26"/>
      <w:lang w:val="sl-SI" w:eastAsia="sl-SI"/>
    </w:rPr>
  </w:style>
  <w:style w:type="paragraph" w:customStyle="1" w:styleId="hmnavaden">
    <w:name w:val="hm_navaden"/>
    <w:basedOn w:val="Navaden"/>
    <w:link w:val="hmnavadenChar"/>
    <w:uiPriority w:val="99"/>
    <w:rsid w:val="00993FB7"/>
    <w:pPr>
      <w:spacing w:line="168" w:lineRule="auto"/>
      <w:jc w:val="both"/>
    </w:pPr>
    <w:rPr>
      <w:rFonts w:ascii="Arial Unicode MS" w:eastAsia="Arial Unicode MS" w:hAnsi="Arial Unicode MS"/>
      <w:sz w:val="24"/>
      <w:lang w:val="sl-SI"/>
    </w:rPr>
  </w:style>
  <w:style w:type="character" w:customStyle="1" w:styleId="hmnavadenChar">
    <w:name w:val="hm_navaden Char"/>
    <w:link w:val="hmnavaden"/>
    <w:uiPriority w:val="99"/>
    <w:rsid w:val="00993FB7"/>
    <w:rPr>
      <w:rFonts w:ascii="Arial Unicode MS" w:eastAsia="Arial Unicode MS" w:hAnsi="Arial Unicode MS"/>
      <w:sz w:val="24"/>
      <w:szCs w:val="24"/>
      <w:lang w:eastAsia="en-US"/>
    </w:rPr>
  </w:style>
  <w:style w:type="paragraph" w:customStyle="1" w:styleId="Znak1CharChar">
    <w:name w:val="Znak1 Char Char"/>
    <w:basedOn w:val="Navaden"/>
    <w:uiPriority w:val="99"/>
    <w:rsid w:val="00993FB7"/>
    <w:pPr>
      <w:spacing w:line="240" w:lineRule="auto"/>
    </w:pPr>
    <w:rPr>
      <w:rFonts w:ascii="Times New Roman" w:hAnsi="Times New Roman"/>
      <w:sz w:val="24"/>
      <w:lang w:val="pl-PL" w:eastAsia="pl-PL"/>
    </w:rPr>
  </w:style>
  <w:style w:type="paragraph" w:customStyle="1" w:styleId="ZnakZnak1CharCharZnakZnakCharCharZnak">
    <w:name w:val="Znak Znak1 Char Char Znak Znak Char Char Znak"/>
    <w:basedOn w:val="Navaden"/>
    <w:uiPriority w:val="99"/>
    <w:rsid w:val="00993FB7"/>
    <w:pPr>
      <w:spacing w:line="240" w:lineRule="auto"/>
    </w:pPr>
    <w:rPr>
      <w:rFonts w:ascii="Times New Roman" w:hAnsi="Times New Roman"/>
      <w:sz w:val="24"/>
      <w:lang w:val="pl-PL" w:eastAsia="pl-PL"/>
    </w:rPr>
  </w:style>
  <w:style w:type="character" w:customStyle="1" w:styleId="HTML-oblikovanoZnak1">
    <w:name w:val="HTML-oblikovano Znak1"/>
    <w:rsid w:val="00993FB7"/>
    <w:rPr>
      <w:rFonts w:ascii="Courier New" w:hAnsi="Courier New" w:cs="Courier New"/>
    </w:rPr>
  </w:style>
  <w:style w:type="character" w:customStyle="1" w:styleId="HTMLPreformattedChar1">
    <w:name w:val="HTML Preformatted Char1"/>
    <w:uiPriority w:val="99"/>
    <w:semiHidden/>
    <w:rsid w:val="00993FB7"/>
    <w:rPr>
      <w:rFonts w:ascii="Courier New" w:hAnsi="Courier New" w:cs="Courier New"/>
      <w:sz w:val="20"/>
      <w:szCs w:val="20"/>
    </w:rPr>
  </w:style>
  <w:style w:type="paragraph" w:customStyle="1" w:styleId="ZnakZnak1CharCharZnakZnakCharCharZnakZnakZnak">
    <w:name w:val="Znak Znak1 Char Char Znak Znak Char Char Znak Znak Znak"/>
    <w:basedOn w:val="Navaden"/>
    <w:uiPriority w:val="99"/>
    <w:rsid w:val="00993FB7"/>
    <w:pPr>
      <w:spacing w:line="240" w:lineRule="auto"/>
    </w:pPr>
    <w:rPr>
      <w:rFonts w:ascii="Times New Roman" w:hAnsi="Times New Roman"/>
      <w:sz w:val="24"/>
      <w:lang w:val="pl-PL" w:eastAsia="pl-PL"/>
    </w:rPr>
  </w:style>
  <w:style w:type="paragraph" w:customStyle="1" w:styleId="Revizija1">
    <w:name w:val="Revizija1"/>
    <w:hidden/>
    <w:uiPriority w:val="99"/>
    <w:semiHidden/>
    <w:rsid w:val="00993FB7"/>
    <w:rPr>
      <w:rFonts w:ascii="Tahoma" w:hAnsi="Tahoma" w:cs="Tahoma"/>
      <w:sz w:val="22"/>
      <w:szCs w:val="22"/>
    </w:rPr>
  </w:style>
  <w:style w:type="numbering" w:customStyle="1" w:styleId="Nastevanje2">
    <w:name w:val="Nastevanje2"/>
    <w:basedOn w:val="Brezseznama"/>
    <w:rsid w:val="00993FB7"/>
    <w:pPr>
      <w:numPr>
        <w:numId w:val="41"/>
      </w:numPr>
    </w:pPr>
  </w:style>
  <w:style w:type="paragraph" w:customStyle="1" w:styleId="SlogNaslov2">
    <w:name w:val="Slog Naslov 2"/>
    <w:aliases w:val="PVO-2 + Arial Pred:  0 pt Po:  0 pt"/>
    <w:basedOn w:val="Naslov2"/>
    <w:rsid w:val="00993FB7"/>
    <w:pPr>
      <w:keepLines w:val="0"/>
      <w:numPr>
        <w:ilvl w:val="1"/>
      </w:numPr>
      <w:tabs>
        <w:tab w:val="num" w:pos="576"/>
      </w:tabs>
      <w:spacing w:before="0" w:line="240" w:lineRule="auto"/>
      <w:ind w:left="576" w:hanging="576"/>
      <w:jc w:val="both"/>
    </w:pPr>
    <w:rPr>
      <w:rFonts w:ascii="Arial" w:hAnsi="Arial"/>
      <w:b w:val="0"/>
      <w:bCs w:val="0"/>
      <w:color w:val="auto"/>
      <w:sz w:val="24"/>
      <w:szCs w:val="20"/>
      <w:lang w:val="sl-SI"/>
    </w:rPr>
  </w:style>
  <w:style w:type="paragraph" w:customStyle="1" w:styleId="NaslovpredpisaZnakZnak">
    <w:name w:val="Naslov_predpisa Znak Znak"/>
    <w:basedOn w:val="Navaden"/>
    <w:rsid w:val="00993FB7"/>
    <w:pPr>
      <w:suppressAutoHyphens/>
      <w:overflowPunct w:val="0"/>
      <w:autoSpaceDE w:val="0"/>
      <w:spacing w:before="120" w:after="160" w:line="200" w:lineRule="exact"/>
      <w:jc w:val="center"/>
      <w:textAlignment w:val="baseline"/>
    </w:pPr>
    <w:rPr>
      <w:rFonts w:cs="Arial"/>
      <w:b/>
      <w:sz w:val="24"/>
      <w:lang w:val="sl-SI" w:eastAsia="ar-SA"/>
    </w:rPr>
  </w:style>
  <w:style w:type="character" w:customStyle="1" w:styleId="BodyTextIndentChar">
    <w:name w:val="Body Text Indent Char"/>
    <w:locked/>
    <w:rsid w:val="00993FB7"/>
    <w:rPr>
      <w:rFonts w:ascii="Arial Unicode MS" w:eastAsia="Arial Unicode MS" w:cs="Arial Unicode MS"/>
      <w:bCs/>
      <w:sz w:val="24"/>
      <w:szCs w:val="24"/>
      <w:lang w:val="sl-SI" w:eastAsia="sl-SI" w:bidi="ar-SA"/>
    </w:rPr>
  </w:style>
  <w:style w:type="paragraph" w:customStyle="1" w:styleId="index">
    <w:name w:val="index"/>
    <w:basedOn w:val="Navaden"/>
    <w:semiHidden/>
    <w:rsid w:val="00993FB7"/>
    <w:pPr>
      <w:widowControl w:val="0"/>
      <w:spacing w:before="120" w:line="240" w:lineRule="auto"/>
      <w:jc w:val="both"/>
    </w:pPr>
    <w:rPr>
      <w:rFonts w:ascii="Dutch" w:hAnsi="Dutch"/>
      <w:b/>
      <w:sz w:val="24"/>
      <w:lang w:val="hr-HR" w:eastAsia="sl-SI"/>
    </w:rPr>
  </w:style>
  <w:style w:type="paragraph" w:customStyle="1" w:styleId="navaden1">
    <w:name w:val="navaden1"/>
    <w:basedOn w:val="Navaden"/>
    <w:semiHidden/>
    <w:rsid w:val="00993FB7"/>
    <w:pPr>
      <w:overflowPunct w:val="0"/>
      <w:autoSpaceDE w:val="0"/>
      <w:autoSpaceDN w:val="0"/>
      <w:spacing w:line="240" w:lineRule="auto"/>
      <w:jc w:val="both"/>
    </w:pPr>
    <w:rPr>
      <w:rFonts w:ascii="Tahoma" w:hAnsi="Tahoma"/>
      <w:color w:val="000000"/>
      <w:sz w:val="24"/>
      <w:szCs w:val="21"/>
      <w:lang w:val="en-GB" w:eastAsia="sl-SI"/>
    </w:rPr>
  </w:style>
  <w:style w:type="paragraph" w:customStyle="1" w:styleId="Normal1">
    <w:name w:val="Normal1"/>
    <w:basedOn w:val="Navaden"/>
    <w:semiHidden/>
    <w:rsid w:val="00993FB7"/>
    <w:pPr>
      <w:widowControl w:val="0"/>
      <w:spacing w:before="240" w:line="240" w:lineRule="auto"/>
      <w:jc w:val="both"/>
    </w:pPr>
    <w:rPr>
      <w:noProof/>
      <w:sz w:val="24"/>
      <w:lang w:val="sl-SI" w:eastAsia="sl-SI"/>
    </w:rPr>
  </w:style>
  <w:style w:type="paragraph" w:customStyle="1" w:styleId="tekst">
    <w:name w:val="tekst"/>
    <w:basedOn w:val="Navaden"/>
    <w:semiHidden/>
    <w:rsid w:val="00993FB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jc w:val="both"/>
    </w:pPr>
    <w:rPr>
      <w:rFonts w:ascii="Symbol" w:hAnsi="Symbol"/>
      <w:sz w:val="24"/>
      <w:lang w:val="en-GB" w:eastAsia="sl-SI"/>
    </w:rPr>
  </w:style>
  <w:style w:type="paragraph" w:customStyle="1" w:styleId="tekstbold">
    <w:name w:val="tekstbold"/>
    <w:basedOn w:val="Navaden"/>
    <w:semiHidden/>
    <w:rsid w:val="00993FB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jc w:val="both"/>
    </w:pPr>
    <w:rPr>
      <w:rFonts w:ascii="CRO_Swiss-Normal" w:hAnsi="CRO_Swiss-Normal"/>
      <w:b/>
      <w:sz w:val="24"/>
      <w:lang w:val="en-GB" w:eastAsia="sl-SI"/>
    </w:rPr>
  </w:style>
  <w:style w:type="paragraph" w:customStyle="1" w:styleId="body-0020text-0020indent">
    <w:name w:val="body-0020text-0020indent"/>
    <w:basedOn w:val="Navaden"/>
    <w:rsid w:val="00993FB7"/>
    <w:pPr>
      <w:spacing w:before="100" w:beforeAutospacing="1" w:after="100" w:afterAutospacing="1" w:line="240" w:lineRule="auto"/>
    </w:pPr>
    <w:rPr>
      <w:rFonts w:ascii="Arial Unicode MS" w:eastAsia="Arial Unicode MS" w:hAnsi="Arial Unicode MS" w:cs="Arial Unicode MS"/>
      <w:sz w:val="24"/>
      <w:lang w:val="en-GB"/>
    </w:rPr>
  </w:style>
  <w:style w:type="paragraph" w:customStyle="1" w:styleId="BodyText22">
    <w:name w:val="Body Text 22"/>
    <w:basedOn w:val="Navaden"/>
    <w:rsid w:val="00993FB7"/>
    <w:pPr>
      <w:tabs>
        <w:tab w:val="left" w:pos="1134"/>
      </w:tabs>
      <w:spacing w:line="240" w:lineRule="auto"/>
      <w:ind w:left="284"/>
      <w:jc w:val="both"/>
    </w:pPr>
    <w:rPr>
      <w:rFonts w:ascii="Times New Roman" w:hAnsi="Times New Roman"/>
      <w:sz w:val="24"/>
      <w:szCs w:val="20"/>
      <w:lang w:val="sl-SI" w:eastAsia="sl-SI"/>
    </w:rPr>
  </w:style>
  <w:style w:type="paragraph" w:customStyle="1" w:styleId="NoSpacing1">
    <w:name w:val="No Spacing1"/>
    <w:uiPriority w:val="1"/>
    <w:qFormat/>
    <w:rsid w:val="00993FB7"/>
    <w:rPr>
      <w:rFonts w:ascii="Tahoma" w:eastAsia="Calibri" w:hAnsi="Tahoma"/>
      <w:sz w:val="22"/>
      <w:szCs w:val="22"/>
      <w:lang w:eastAsia="en-US"/>
    </w:rPr>
  </w:style>
  <w:style w:type="character" w:customStyle="1" w:styleId="CharChar13">
    <w:name w:val="Char Char13"/>
    <w:semiHidden/>
    <w:locked/>
    <w:rsid w:val="00993FB7"/>
    <w:rPr>
      <w:rFonts w:ascii="Tahoma" w:hAnsi="Tahoma" w:cs="Tahoma"/>
      <w:b/>
      <w:bCs/>
      <w:i/>
      <w:iCs/>
      <w:sz w:val="26"/>
      <w:szCs w:val="26"/>
      <w:lang w:val="sl-SI" w:eastAsia="sl-SI" w:bidi="ar-SA"/>
    </w:rPr>
  </w:style>
  <w:style w:type="paragraph" w:customStyle="1" w:styleId="Char2ZnakChar1ZnakCharZnak">
    <w:name w:val="Char2 Znak Char1 Znak Char Znak"/>
    <w:basedOn w:val="Navaden"/>
    <w:uiPriority w:val="99"/>
    <w:rsid w:val="00993FB7"/>
    <w:pPr>
      <w:spacing w:line="240" w:lineRule="auto"/>
    </w:pPr>
    <w:rPr>
      <w:rFonts w:ascii="Tahoma" w:hAnsi="Tahoma" w:cs="Tahoma"/>
      <w:sz w:val="24"/>
      <w:lang w:val="pl-PL" w:eastAsia="pl-PL"/>
    </w:rPr>
  </w:style>
  <w:style w:type="paragraph" w:customStyle="1" w:styleId="Char2ZnakChar1ZnakChar1">
    <w:name w:val="Char2 Znak Char1 Znak Char1"/>
    <w:basedOn w:val="Navaden"/>
    <w:rsid w:val="00993FB7"/>
    <w:pPr>
      <w:spacing w:line="240" w:lineRule="auto"/>
    </w:pPr>
    <w:rPr>
      <w:rFonts w:ascii="Tahoma" w:hAnsi="Tahoma" w:cs="Tahoma"/>
      <w:sz w:val="24"/>
      <w:lang w:val="pl-PL" w:eastAsia="pl-PL"/>
    </w:rPr>
  </w:style>
  <w:style w:type="character" w:customStyle="1" w:styleId="ZadevakomentarjaZnak">
    <w:name w:val="Zadeva komentarja Znak"/>
    <w:basedOn w:val="PripombabesediloZnak2"/>
    <w:uiPriority w:val="99"/>
    <w:semiHidden/>
    <w:rsid w:val="00993FB7"/>
    <w:rPr>
      <w:rFonts w:ascii="Arial" w:hAnsi="Arial"/>
      <w:b/>
      <w:bCs/>
      <w:sz w:val="20"/>
      <w:szCs w:val="20"/>
    </w:rPr>
  </w:style>
  <w:style w:type="table" w:styleId="Tabelaklasina3">
    <w:name w:val="Table Classic 3"/>
    <w:basedOn w:val="Navadnatabela"/>
    <w:uiPriority w:val="99"/>
    <w:unhideWhenUsed/>
    <w:rsid w:val="00993FB7"/>
    <w:rPr>
      <w:rFonts w:asciiTheme="minorHAnsi" w:eastAsiaTheme="minorHAnsi" w:hAnsiTheme="minorHAnsi" w:cstheme="minorBidi"/>
      <w:color w:val="000080"/>
      <w:sz w:val="22"/>
      <w:szCs w:val="22"/>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elapreprosta2">
    <w:name w:val="Table Simple 2"/>
    <w:basedOn w:val="Navadnatabela"/>
    <w:uiPriority w:val="99"/>
    <w:unhideWhenUsed/>
    <w:rsid w:val="00993FB7"/>
    <w:rPr>
      <w:rFonts w:asciiTheme="minorHAnsi" w:eastAsiaTheme="minorHAnsi" w:hAnsiTheme="minorHAnsi" w:cstheme="minorBidi"/>
      <w:sz w:val="22"/>
      <w:szCs w:val="22"/>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paragraph" w:customStyle="1" w:styleId="oddelek0">
    <w:name w:val="oddelek"/>
    <w:basedOn w:val="Navaden"/>
    <w:rsid w:val="00993FB7"/>
    <w:pPr>
      <w:spacing w:before="100" w:beforeAutospacing="1" w:after="100" w:afterAutospacing="1" w:line="240" w:lineRule="auto"/>
    </w:pPr>
    <w:rPr>
      <w:rFonts w:ascii="Times New Roman" w:hAnsi="Times New Roman"/>
      <w:sz w:val="24"/>
      <w:lang w:val="sl-SI" w:eastAsia="sl-SI"/>
    </w:rPr>
  </w:style>
  <w:style w:type="paragraph" w:customStyle="1" w:styleId="hmpodsliko">
    <w:name w:val="hm_pod_sliko"/>
    <w:basedOn w:val="Navaden"/>
    <w:rsid w:val="00993FB7"/>
    <w:pPr>
      <w:spacing w:line="168" w:lineRule="auto"/>
      <w:jc w:val="center"/>
    </w:pPr>
    <w:rPr>
      <w:rFonts w:ascii="Arial Unicode MS" w:hAnsi="Arial Unicode MS" w:cs="Arial"/>
      <w:szCs w:val="16"/>
      <w:lang w:val="sl-SI"/>
    </w:rPr>
  </w:style>
  <w:style w:type="paragraph" w:customStyle="1" w:styleId="ti-grseq-1">
    <w:name w:val="ti-grseq-1"/>
    <w:basedOn w:val="Navaden"/>
    <w:rsid w:val="00993FB7"/>
    <w:pPr>
      <w:spacing w:before="100" w:beforeAutospacing="1" w:after="100" w:afterAutospacing="1" w:line="240" w:lineRule="auto"/>
    </w:pPr>
    <w:rPr>
      <w:rFonts w:ascii="Times New Roman" w:hAnsi="Times New Roman"/>
      <w:sz w:val="24"/>
      <w:lang w:val="sl-SI" w:eastAsia="sl-SI"/>
    </w:rPr>
  </w:style>
  <w:style w:type="character" w:customStyle="1" w:styleId="bold">
    <w:name w:val="bold"/>
    <w:basedOn w:val="Privzetapisavaodstavka"/>
    <w:rsid w:val="00993FB7"/>
  </w:style>
  <w:style w:type="paragraph" w:customStyle="1" w:styleId="a3520normalp7">
    <w:name w:val="a__35__20_normal_p7"/>
    <w:basedOn w:val="Navaden"/>
    <w:rsid w:val="00993FB7"/>
    <w:pPr>
      <w:spacing w:before="100" w:beforeAutospacing="1" w:after="100" w:afterAutospacing="1" w:line="240" w:lineRule="auto"/>
    </w:pPr>
    <w:rPr>
      <w:rFonts w:ascii="Times New Roman" w:hAnsi="Times New Roman"/>
      <w:sz w:val="24"/>
      <w:lang w:val="sl-SI" w:eastAsia="sl-SI"/>
    </w:rPr>
  </w:style>
  <w:style w:type="character" w:customStyle="1" w:styleId="at1">
    <w:name w:val="a__t1"/>
    <w:basedOn w:val="Privzetapisavaodstavka"/>
    <w:rsid w:val="00993FB7"/>
  </w:style>
  <w:style w:type="character" w:customStyle="1" w:styleId="at3">
    <w:name w:val="a__t3"/>
    <w:basedOn w:val="Privzetapisavaodstavka"/>
    <w:rsid w:val="00993FB7"/>
  </w:style>
  <w:style w:type="paragraph" w:customStyle="1" w:styleId="Tiret2">
    <w:name w:val="Tiret 2"/>
    <w:basedOn w:val="Navaden"/>
    <w:rsid w:val="00993FB7"/>
    <w:pPr>
      <w:numPr>
        <w:numId w:val="66"/>
      </w:numPr>
      <w:spacing w:before="120" w:after="120" w:line="240" w:lineRule="auto"/>
      <w:jc w:val="both"/>
    </w:pPr>
    <w:rPr>
      <w:rFonts w:ascii="Times New Roman" w:hAnsi="Times New Roman"/>
      <w:sz w:val="24"/>
      <w:lang w:val="en-GB"/>
    </w:rPr>
  </w:style>
  <w:style w:type="paragraph" w:customStyle="1" w:styleId="Titreobjet">
    <w:name w:val="Titre objet"/>
    <w:basedOn w:val="Navaden"/>
    <w:next w:val="Navaden"/>
    <w:rsid w:val="00993FB7"/>
    <w:pPr>
      <w:spacing w:before="360" w:after="360" w:line="240" w:lineRule="auto"/>
      <w:jc w:val="center"/>
    </w:pPr>
    <w:rPr>
      <w:rFonts w:ascii="Times New Roman" w:hAnsi="Times New Roman"/>
      <w:b/>
      <w:sz w:val="24"/>
      <w:lang w:val="en-GB"/>
    </w:rPr>
  </w:style>
  <w:style w:type="paragraph" w:customStyle="1" w:styleId="Text1">
    <w:name w:val="Text 1"/>
    <w:basedOn w:val="Navaden"/>
    <w:rsid w:val="00993FB7"/>
    <w:pPr>
      <w:spacing w:before="120" w:after="120" w:line="240" w:lineRule="auto"/>
      <w:ind w:left="850"/>
      <w:jc w:val="both"/>
    </w:pPr>
    <w:rPr>
      <w:rFonts w:ascii="Times New Roman" w:hAnsi="Times New Roman"/>
      <w:sz w:val="24"/>
      <w:lang w:val="en-GB"/>
    </w:rPr>
  </w:style>
  <w:style w:type="paragraph" w:customStyle="1" w:styleId="Bullet0">
    <w:name w:val="Bullet 0"/>
    <w:basedOn w:val="Navaden"/>
    <w:rsid w:val="00993FB7"/>
    <w:pPr>
      <w:numPr>
        <w:numId w:val="67"/>
      </w:numPr>
      <w:spacing w:before="120" w:after="120" w:line="240" w:lineRule="auto"/>
      <w:jc w:val="both"/>
    </w:pPr>
    <w:rPr>
      <w:rFonts w:ascii="Times New Roman" w:hAnsi="Times New Roman"/>
      <w:sz w:val="24"/>
      <w:lang w:val="en-GB"/>
    </w:rPr>
  </w:style>
  <w:style w:type="paragraph" w:customStyle="1" w:styleId="Point2number">
    <w:name w:val="Point 2 (number)"/>
    <w:basedOn w:val="Navaden"/>
    <w:rsid w:val="00993FB7"/>
    <w:pPr>
      <w:numPr>
        <w:numId w:val="68"/>
      </w:numPr>
      <w:tabs>
        <w:tab w:val="clear" w:pos="850"/>
        <w:tab w:val="num" w:pos="1984"/>
      </w:tabs>
      <w:spacing w:before="120" w:after="120" w:line="240" w:lineRule="auto"/>
      <w:ind w:left="1984" w:hanging="567"/>
      <w:jc w:val="both"/>
    </w:pPr>
    <w:rPr>
      <w:rFonts w:ascii="Times New Roman" w:hAnsi="Times New Roman"/>
      <w:sz w:val="24"/>
      <w:lang w:val="en-GB"/>
    </w:rPr>
  </w:style>
  <w:style w:type="table" w:customStyle="1" w:styleId="Tabelamrea12">
    <w:name w:val="Tabela – mreža12"/>
    <w:basedOn w:val="Navadnatabela"/>
    <w:next w:val="Tabelamrea"/>
    <w:uiPriority w:val="59"/>
    <w:rsid w:val="00993FB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rezseznama6">
    <w:name w:val="Brez seznama6"/>
    <w:next w:val="Brezseznama"/>
    <w:uiPriority w:val="99"/>
    <w:semiHidden/>
    <w:unhideWhenUsed/>
    <w:rsid w:val="00DE28E6"/>
  </w:style>
  <w:style w:type="numbering" w:customStyle="1" w:styleId="Alinejazaodstavkom11">
    <w:name w:val="Alineja za odstavkom11"/>
    <w:uiPriority w:val="99"/>
    <w:rsid w:val="00DE28E6"/>
  </w:style>
  <w:style w:type="character" w:customStyle="1" w:styleId="ZnakZnakZnakZnakZnakZnak">
    <w:name w:val="Znak Znak Znak Znak Znak Znak"/>
    <w:aliases w:val="Znak Znak Znak Znak, Znak Znak Znak Znak Znak Znak, Znak Znak Znak Znak"/>
    <w:rsid w:val="00DE28E6"/>
    <w:rPr>
      <w:rFonts w:ascii="Arial" w:hAnsi="Arial"/>
      <w:bCs/>
      <w:szCs w:val="18"/>
    </w:rPr>
  </w:style>
  <w:style w:type="table" w:customStyle="1" w:styleId="Tabelamrea13">
    <w:name w:val="Tabela – mreža13"/>
    <w:basedOn w:val="Navadnatabela"/>
    <w:next w:val="Tabelamrea"/>
    <w:uiPriority w:val="59"/>
    <w:rsid w:val="002649B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t2">
    <w:name w:val="a__t2"/>
    <w:basedOn w:val="Privzetapisavaodstavka"/>
    <w:rsid w:val="00F728E5"/>
  </w:style>
  <w:style w:type="character" w:customStyle="1" w:styleId="at4">
    <w:name w:val="a__t4"/>
    <w:basedOn w:val="Privzetapisavaodstavka"/>
    <w:rsid w:val="00F728E5"/>
  </w:style>
  <w:style w:type="table" w:customStyle="1" w:styleId="Tabelamrea14">
    <w:name w:val="Tabela – mreža14"/>
    <w:basedOn w:val="Navadnatabela"/>
    <w:uiPriority w:val="59"/>
    <w:rsid w:val="00A11C9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15">
    <w:name w:val="Tabela – mreža15"/>
    <w:basedOn w:val="Navadnatabela"/>
    <w:next w:val="Tabelamrea"/>
    <w:uiPriority w:val="59"/>
    <w:rsid w:val="00A11C9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23001870">
      <w:bodyDiv w:val="1"/>
      <w:marLeft w:val="0"/>
      <w:marRight w:val="0"/>
      <w:marTop w:val="0"/>
      <w:marBottom w:val="0"/>
      <w:divBdr>
        <w:top w:val="none" w:sz="0" w:space="0" w:color="auto"/>
        <w:left w:val="none" w:sz="0" w:space="0" w:color="auto"/>
        <w:bottom w:val="none" w:sz="0" w:space="0" w:color="auto"/>
        <w:right w:val="none" w:sz="0" w:space="0" w:color="auto"/>
      </w:divBdr>
    </w:div>
    <w:div w:id="641085863">
      <w:bodyDiv w:val="1"/>
      <w:marLeft w:val="0"/>
      <w:marRight w:val="0"/>
      <w:marTop w:val="0"/>
      <w:marBottom w:val="0"/>
      <w:divBdr>
        <w:top w:val="none" w:sz="0" w:space="0" w:color="auto"/>
        <w:left w:val="none" w:sz="0" w:space="0" w:color="auto"/>
        <w:bottom w:val="none" w:sz="0" w:space="0" w:color="auto"/>
        <w:right w:val="none" w:sz="0" w:space="0" w:color="auto"/>
      </w:divBdr>
    </w:div>
    <w:div w:id="867064685">
      <w:bodyDiv w:val="1"/>
      <w:marLeft w:val="0"/>
      <w:marRight w:val="0"/>
      <w:marTop w:val="0"/>
      <w:marBottom w:val="0"/>
      <w:divBdr>
        <w:top w:val="none" w:sz="0" w:space="0" w:color="auto"/>
        <w:left w:val="none" w:sz="0" w:space="0" w:color="auto"/>
        <w:bottom w:val="none" w:sz="0" w:space="0" w:color="auto"/>
        <w:right w:val="none" w:sz="0" w:space="0" w:color="auto"/>
      </w:divBdr>
      <w:divsChild>
        <w:div w:id="1078134072">
          <w:marLeft w:val="0"/>
          <w:marRight w:val="0"/>
          <w:marTop w:val="0"/>
          <w:marBottom w:val="0"/>
          <w:divBdr>
            <w:top w:val="none" w:sz="0" w:space="0" w:color="auto"/>
            <w:left w:val="none" w:sz="0" w:space="0" w:color="auto"/>
            <w:bottom w:val="none" w:sz="0" w:space="0" w:color="auto"/>
            <w:right w:val="none" w:sz="0" w:space="0" w:color="auto"/>
          </w:divBdr>
          <w:divsChild>
            <w:div w:id="171646339">
              <w:marLeft w:val="0"/>
              <w:marRight w:val="0"/>
              <w:marTop w:val="0"/>
              <w:marBottom w:val="0"/>
              <w:divBdr>
                <w:top w:val="none" w:sz="0" w:space="0" w:color="auto"/>
                <w:left w:val="none" w:sz="0" w:space="0" w:color="auto"/>
                <w:bottom w:val="none" w:sz="0" w:space="0" w:color="auto"/>
                <w:right w:val="none" w:sz="0" w:space="0" w:color="auto"/>
              </w:divBdr>
              <w:divsChild>
                <w:div w:id="1527133822">
                  <w:marLeft w:val="0"/>
                  <w:marRight w:val="0"/>
                  <w:marTop w:val="0"/>
                  <w:marBottom w:val="0"/>
                  <w:divBdr>
                    <w:top w:val="none" w:sz="0" w:space="0" w:color="auto"/>
                    <w:left w:val="none" w:sz="0" w:space="0" w:color="auto"/>
                    <w:bottom w:val="none" w:sz="0" w:space="0" w:color="auto"/>
                    <w:right w:val="none" w:sz="0" w:space="0" w:color="auto"/>
                  </w:divBdr>
                  <w:divsChild>
                    <w:div w:id="592587538">
                      <w:marLeft w:val="0"/>
                      <w:marRight w:val="0"/>
                      <w:marTop w:val="0"/>
                      <w:marBottom w:val="0"/>
                      <w:divBdr>
                        <w:top w:val="none" w:sz="0" w:space="0" w:color="auto"/>
                        <w:left w:val="none" w:sz="0" w:space="0" w:color="auto"/>
                        <w:bottom w:val="none" w:sz="0" w:space="0" w:color="auto"/>
                        <w:right w:val="none" w:sz="0" w:space="0" w:color="auto"/>
                      </w:divBdr>
                      <w:divsChild>
                        <w:div w:id="442968711">
                          <w:marLeft w:val="0"/>
                          <w:marRight w:val="0"/>
                          <w:marTop w:val="0"/>
                          <w:marBottom w:val="0"/>
                          <w:divBdr>
                            <w:top w:val="none" w:sz="0" w:space="0" w:color="auto"/>
                            <w:left w:val="none" w:sz="0" w:space="0" w:color="auto"/>
                            <w:bottom w:val="none" w:sz="0" w:space="0" w:color="auto"/>
                            <w:right w:val="none" w:sz="0" w:space="0" w:color="auto"/>
                          </w:divBdr>
                          <w:divsChild>
                            <w:div w:id="565143523">
                              <w:marLeft w:val="0"/>
                              <w:marRight w:val="0"/>
                              <w:marTop w:val="0"/>
                              <w:marBottom w:val="0"/>
                              <w:divBdr>
                                <w:top w:val="none" w:sz="0" w:space="0" w:color="auto"/>
                                <w:left w:val="none" w:sz="0" w:space="0" w:color="auto"/>
                                <w:bottom w:val="none" w:sz="0" w:space="0" w:color="auto"/>
                                <w:right w:val="none" w:sz="0" w:space="0" w:color="auto"/>
                              </w:divBdr>
                              <w:divsChild>
                                <w:div w:id="870145435">
                                  <w:marLeft w:val="0"/>
                                  <w:marRight w:val="0"/>
                                  <w:marTop w:val="0"/>
                                  <w:marBottom w:val="150"/>
                                  <w:divBdr>
                                    <w:top w:val="none" w:sz="0" w:space="0" w:color="auto"/>
                                    <w:left w:val="none" w:sz="0" w:space="0" w:color="auto"/>
                                    <w:bottom w:val="none" w:sz="0" w:space="0" w:color="auto"/>
                                    <w:right w:val="none" w:sz="0" w:space="0" w:color="auto"/>
                                  </w:divBdr>
                                  <w:divsChild>
                                    <w:div w:id="964889971">
                                      <w:marLeft w:val="0"/>
                                      <w:marRight w:val="0"/>
                                      <w:marTop w:val="0"/>
                                      <w:marBottom w:val="0"/>
                                      <w:divBdr>
                                        <w:top w:val="none" w:sz="0" w:space="0" w:color="auto"/>
                                        <w:left w:val="none" w:sz="0" w:space="0" w:color="auto"/>
                                        <w:bottom w:val="none" w:sz="0" w:space="0" w:color="auto"/>
                                        <w:right w:val="none" w:sz="0" w:space="0" w:color="auto"/>
                                      </w:divBdr>
                                    </w:div>
                                    <w:div w:id="312568817">
                                      <w:marLeft w:val="0"/>
                                      <w:marRight w:val="0"/>
                                      <w:marTop w:val="0"/>
                                      <w:marBottom w:val="0"/>
                                      <w:divBdr>
                                        <w:top w:val="none" w:sz="0" w:space="0" w:color="auto"/>
                                        <w:left w:val="none" w:sz="0" w:space="0" w:color="auto"/>
                                        <w:bottom w:val="none" w:sz="0" w:space="0" w:color="auto"/>
                                        <w:right w:val="none" w:sz="0" w:space="0" w:color="auto"/>
                                      </w:divBdr>
                                    </w:div>
                                    <w:div w:id="618948725">
                                      <w:marLeft w:val="0"/>
                                      <w:marRight w:val="0"/>
                                      <w:marTop w:val="0"/>
                                      <w:marBottom w:val="0"/>
                                      <w:divBdr>
                                        <w:top w:val="none" w:sz="0" w:space="0" w:color="auto"/>
                                        <w:left w:val="none" w:sz="0" w:space="0" w:color="auto"/>
                                        <w:bottom w:val="none" w:sz="0" w:space="0" w:color="auto"/>
                                        <w:right w:val="none" w:sz="0" w:space="0" w:color="auto"/>
                                      </w:divBdr>
                                    </w:div>
                                    <w:div w:id="1721518544">
                                      <w:marLeft w:val="0"/>
                                      <w:marRight w:val="0"/>
                                      <w:marTop w:val="0"/>
                                      <w:marBottom w:val="0"/>
                                      <w:divBdr>
                                        <w:top w:val="none" w:sz="0" w:space="0" w:color="auto"/>
                                        <w:left w:val="none" w:sz="0" w:space="0" w:color="auto"/>
                                        <w:bottom w:val="none" w:sz="0" w:space="0" w:color="auto"/>
                                        <w:right w:val="none" w:sz="0" w:space="0" w:color="auto"/>
                                      </w:divBdr>
                                    </w:div>
                                    <w:div w:id="1084836177">
                                      <w:marLeft w:val="0"/>
                                      <w:marRight w:val="0"/>
                                      <w:marTop w:val="0"/>
                                      <w:marBottom w:val="0"/>
                                      <w:divBdr>
                                        <w:top w:val="none" w:sz="0" w:space="0" w:color="auto"/>
                                        <w:left w:val="none" w:sz="0" w:space="0" w:color="auto"/>
                                        <w:bottom w:val="none" w:sz="0" w:space="0" w:color="auto"/>
                                        <w:right w:val="none" w:sz="0" w:space="0" w:color="auto"/>
                                      </w:divBdr>
                                    </w:div>
                                    <w:div w:id="951742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92968712">
      <w:bodyDiv w:val="1"/>
      <w:marLeft w:val="0"/>
      <w:marRight w:val="0"/>
      <w:marTop w:val="0"/>
      <w:marBottom w:val="0"/>
      <w:divBdr>
        <w:top w:val="none" w:sz="0" w:space="0" w:color="auto"/>
        <w:left w:val="none" w:sz="0" w:space="0" w:color="auto"/>
        <w:bottom w:val="none" w:sz="0" w:space="0" w:color="auto"/>
        <w:right w:val="none" w:sz="0" w:space="0" w:color="auto"/>
      </w:divBdr>
    </w:div>
    <w:div w:id="1128663161">
      <w:bodyDiv w:val="1"/>
      <w:marLeft w:val="0"/>
      <w:marRight w:val="0"/>
      <w:marTop w:val="0"/>
      <w:marBottom w:val="0"/>
      <w:divBdr>
        <w:top w:val="none" w:sz="0" w:space="0" w:color="auto"/>
        <w:left w:val="none" w:sz="0" w:space="0" w:color="auto"/>
        <w:bottom w:val="none" w:sz="0" w:space="0" w:color="auto"/>
        <w:right w:val="none" w:sz="0" w:space="0" w:color="auto"/>
      </w:divBdr>
      <w:divsChild>
        <w:div w:id="1245147349">
          <w:marLeft w:val="0"/>
          <w:marRight w:val="0"/>
          <w:marTop w:val="0"/>
          <w:marBottom w:val="0"/>
          <w:divBdr>
            <w:top w:val="none" w:sz="0" w:space="0" w:color="auto"/>
            <w:left w:val="none" w:sz="0" w:space="0" w:color="auto"/>
            <w:bottom w:val="none" w:sz="0" w:space="0" w:color="auto"/>
            <w:right w:val="none" w:sz="0" w:space="0" w:color="auto"/>
          </w:divBdr>
          <w:divsChild>
            <w:div w:id="1410880797">
              <w:marLeft w:val="0"/>
              <w:marRight w:val="0"/>
              <w:marTop w:val="0"/>
              <w:marBottom w:val="0"/>
              <w:divBdr>
                <w:top w:val="none" w:sz="0" w:space="0" w:color="auto"/>
                <w:left w:val="none" w:sz="0" w:space="0" w:color="auto"/>
                <w:bottom w:val="none" w:sz="0" w:space="0" w:color="auto"/>
                <w:right w:val="none" w:sz="0" w:space="0" w:color="auto"/>
              </w:divBdr>
              <w:divsChild>
                <w:div w:id="537276338">
                  <w:marLeft w:val="0"/>
                  <w:marRight w:val="150"/>
                  <w:marTop w:val="0"/>
                  <w:marBottom w:val="0"/>
                  <w:divBdr>
                    <w:top w:val="none" w:sz="0" w:space="0" w:color="auto"/>
                    <w:left w:val="none" w:sz="0" w:space="0" w:color="auto"/>
                    <w:bottom w:val="none" w:sz="0" w:space="0" w:color="auto"/>
                    <w:right w:val="none" w:sz="0" w:space="0" w:color="auto"/>
                  </w:divBdr>
                  <w:divsChild>
                    <w:div w:id="1849557600">
                      <w:marLeft w:val="0"/>
                      <w:marRight w:val="0"/>
                      <w:marTop w:val="0"/>
                      <w:marBottom w:val="0"/>
                      <w:divBdr>
                        <w:top w:val="none" w:sz="0" w:space="0" w:color="auto"/>
                        <w:left w:val="none" w:sz="0" w:space="0" w:color="auto"/>
                        <w:bottom w:val="none" w:sz="0" w:space="0" w:color="auto"/>
                        <w:right w:val="none" w:sz="0" w:space="0" w:color="auto"/>
                      </w:divBdr>
                      <w:divsChild>
                        <w:div w:id="1405444763">
                          <w:marLeft w:val="0"/>
                          <w:marRight w:val="0"/>
                          <w:marTop w:val="0"/>
                          <w:marBottom w:val="0"/>
                          <w:divBdr>
                            <w:top w:val="none" w:sz="0" w:space="0" w:color="auto"/>
                            <w:left w:val="none" w:sz="0" w:space="0" w:color="auto"/>
                            <w:bottom w:val="none" w:sz="0" w:space="0" w:color="auto"/>
                            <w:right w:val="none" w:sz="0" w:space="0" w:color="auto"/>
                          </w:divBdr>
                          <w:divsChild>
                            <w:div w:id="1604655281">
                              <w:marLeft w:val="0"/>
                              <w:marRight w:val="0"/>
                              <w:marTop w:val="0"/>
                              <w:marBottom w:val="0"/>
                              <w:divBdr>
                                <w:top w:val="none" w:sz="0" w:space="0" w:color="auto"/>
                                <w:left w:val="none" w:sz="0" w:space="0" w:color="auto"/>
                                <w:bottom w:val="none" w:sz="0" w:space="0" w:color="auto"/>
                                <w:right w:val="none" w:sz="0" w:space="0" w:color="auto"/>
                              </w:divBdr>
                              <w:divsChild>
                                <w:div w:id="599490181">
                                  <w:marLeft w:val="0"/>
                                  <w:marRight w:val="0"/>
                                  <w:marTop w:val="0"/>
                                  <w:marBottom w:val="0"/>
                                  <w:divBdr>
                                    <w:top w:val="none" w:sz="0" w:space="0" w:color="auto"/>
                                    <w:left w:val="none" w:sz="0" w:space="0" w:color="auto"/>
                                    <w:bottom w:val="none" w:sz="0" w:space="0" w:color="auto"/>
                                    <w:right w:val="none" w:sz="0" w:space="0" w:color="auto"/>
                                  </w:divBdr>
                                  <w:divsChild>
                                    <w:div w:id="204221831">
                                      <w:marLeft w:val="0"/>
                                      <w:marRight w:val="0"/>
                                      <w:marTop w:val="0"/>
                                      <w:marBottom w:val="0"/>
                                      <w:divBdr>
                                        <w:top w:val="none" w:sz="0" w:space="0" w:color="auto"/>
                                        <w:left w:val="none" w:sz="0" w:space="0" w:color="auto"/>
                                        <w:bottom w:val="none" w:sz="0" w:space="0" w:color="auto"/>
                                        <w:right w:val="none" w:sz="0" w:space="0" w:color="auto"/>
                                      </w:divBdr>
                                      <w:divsChild>
                                        <w:div w:id="496925651">
                                          <w:marLeft w:val="0"/>
                                          <w:marRight w:val="0"/>
                                          <w:marTop w:val="0"/>
                                          <w:marBottom w:val="0"/>
                                          <w:divBdr>
                                            <w:top w:val="none" w:sz="0" w:space="0" w:color="auto"/>
                                            <w:left w:val="none" w:sz="0" w:space="0" w:color="auto"/>
                                            <w:bottom w:val="none" w:sz="0" w:space="0" w:color="auto"/>
                                            <w:right w:val="none" w:sz="0" w:space="0" w:color="auto"/>
                                          </w:divBdr>
                                          <w:divsChild>
                                            <w:div w:id="1833059971">
                                              <w:marLeft w:val="0"/>
                                              <w:marRight w:val="0"/>
                                              <w:marTop w:val="0"/>
                                              <w:marBottom w:val="0"/>
                                              <w:divBdr>
                                                <w:top w:val="none" w:sz="0" w:space="0" w:color="auto"/>
                                                <w:left w:val="none" w:sz="0" w:space="0" w:color="auto"/>
                                                <w:bottom w:val="none" w:sz="0" w:space="0" w:color="auto"/>
                                                <w:right w:val="none" w:sz="0" w:space="0" w:color="auto"/>
                                              </w:divBdr>
                                              <w:divsChild>
                                                <w:div w:id="218321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26565873">
      <w:bodyDiv w:val="1"/>
      <w:marLeft w:val="240"/>
      <w:marRight w:val="240"/>
      <w:marTop w:val="240"/>
      <w:marBottom w:val="60"/>
      <w:divBdr>
        <w:top w:val="none" w:sz="0" w:space="0" w:color="auto"/>
        <w:left w:val="none" w:sz="0" w:space="0" w:color="auto"/>
        <w:bottom w:val="none" w:sz="0" w:space="0" w:color="auto"/>
        <w:right w:val="none" w:sz="0" w:space="0" w:color="auto"/>
      </w:divBdr>
      <w:divsChild>
        <w:div w:id="160432581">
          <w:marLeft w:val="0"/>
          <w:marRight w:val="0"/>
          <w:marTop w:val="0"/>
          <w:marBottom w:val="0"/>
          <w:divBdr>
            <w:top w:val="none" w:sz="0" w:space="0" w:color="auto"/>
            <w:left w:val="none" w:sz="0" w:space="0" w:color="auto"/>
            <w:bottom w:val="none" w:sz="0" w:space="0" w:color="auto"/>
            <w:right w:val="none" w:sz="0" w:space="0" w:color="auto"/>
          </w:divBdr>
          <w:divsChild>
            <w:div w:id="490683281">
              <w:marLeft w:val="0"/>
              <w:marRight w:val="0"/>
              <w:marTop w:val="0"/>
              <w:marBottom w:val="0"/>
              <w:divBdr>
                <w:top w:val="none" w:sz="0" w:space="0" w:color="auto"/>
                <w:left w:val="none" w:sz="0" w:space="0" w:color="auto"/>
                <w:bottom w:val="none" w:sz="0" w:space="0" w:color="auto"/>
                <w:right w:val="none" w:sz="0" w:space="0" w:color="auto"/>
              </w:divBdr>
            </w:div>
            <w:div w:id="1035231578">
              <w:marLeft w:val="0"/>
              <w:marRight w:val="0"/>
              <w:marTop w:val="0"/>
              <w:marBottom w:val="0"/>
              <w:divBdr>
                <w:top w:val="none" w:sz="0" w:space="0" w:color="auto"/>
                <w:left w:val="none" w:sz="0" w:space="0" w:color="auto"/>
                <w:bottom w:val="none" w:sz="0" w:space="0" w:color="auto"/>
                <w:right w:val="none" w:sz="0" w:space="0" w:color="auto"/>
              </w:divBdr>
            </w:div>
            <w:div w:id="1316760149">
              <w:marLeft w:val="0"/>
              <w:marRight w:val="0"/>
              <w:marTop w:val="0"/>
              <w:marBottom w:val="0"/>
              <w:divBdr>
                <w:top w:val="none" w:sz="0" w:space="0" w:color="auto"/>
                <w:left w:val="none" w:sz="0" w:space="0" w:color="auto"/>
                <w:bottom w:val="none" w:sz="0" w:space="0" w:color="auto"/>
                <w:right w:val="none" w:sz="0" w:space="0" w:color="auto"/>
              </w:divBdr>
            </w:div>
            <w:div w:id="436995462">
              <w:marLeft w:val="0"/>
              <w:marRight w:val="0"/>
              <w:marTop w:val="0"/>
              <w:marBottom w:val="0"/>
              <w:divBdr>
                <w:top w:val="none" w:sz="0" w:space="0" w:color="auto"/>
                <w:left w:val="none" w:sz="0" w:space="0" w:color="auto"/>
                <w:bottom w:val="none" w:sz="0" w:space="0" w:color="auto"/>
                <w:right w:val="none" w:sz="0" w:space="0" w:color="auto"/>
              </w:divBdr>
            </w:div>
            <w:div w:id="2062055349">
              <w:marLeft w:val="0"/>
              <w:marRight w:val="0"/>
              <w:marTop w:val="0"/>
              <w:marBottom w:val="0"/>
              <w:divBdr>
                <w:top w:val="none" w:sz="0" w:space="0" w:color="auto"/>
                <w:left w:val="none" w:sz="0" w:space="0" w:color="auto"/>
                <w:bottom w:val="none" w:sz="0" w:space="0" w:color="auto"/>
                <w:right w:val="none" w:sz="0" w:space="0" w:color="auto"/>
              </w:divBdr>
            </w:div>
            <w:div w:id="967517540">
              <w:marLeft w:val="0"/>
              <w:marRight w:val="0"/>
              <w:marTop w:val="0"/>
              <w:marBottom w:val="0"/>
              <w:divBdr>
                <w:top w:val="none" w:sz="0" w:space="0" w:color="auto"/>
                <w:left w:val="none" w:sz="0" w:space="0" w:color="auto"/>
                <w:bottom w:val="none" w:sz="0" w:space="0" w:color="auto"/>
                <w:right w:val="none" w:sz="0" w:space="0" w:color="auto"/>
              </w:divBdr>
              <w:divsChild>
                <w:div w:id="250891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6.png"/><Relationship Id="rId299" Type="http://schemas.openxmlformats.org/officeDocument/2006/relationships/hyperlink" Target="http://www.humanitas.si/data/useruploads/files/1343151161.pdf" TargetMode="External"/><Relationship Id="rId303" Type="http://schemas.openxmlformats.org/officeDocument/2006/relationships/hyperlink" Target="https://www.youtube.com/watch?v=p4r5GKZ0nEE" TargetMode="External"/><Relationship Id="rId21" Type="http://schemas.openxmlformats.org/officeDocument/2006/relationships/hyperlink" Target="http://ec.europa.eu/environment/eussd/pdf/brochure_scp/kg006508SL_2.pdf" TargetMode="External"/><Relationship Id="rId42" Type="http://schemas.openxmlformats.org/officeDocument/2006/relationships/image" Target="media/image18.png"/><Relationship Id="rId63" Type="http://schemas.openxmlformats.org/officeDocument/2006/relationships/image" Target="media/image36.png"/><Relationship Id="rId84" Type="http://schemas.openxmlformats.org/officeDocument/2006/relationships/image" Target="media/image57.png"/><Relationship Id="rId138" Type="http://schemas.openxmlformats.org/officeDocument/2006/relationships/image" Target="media/image71.png"/><Relationship Id="rId159" Type="http://schemas.openxmlformats.org/officeDocument/2006/relationships/image" Target="media/image90.png"/><Relationship Id="rId324" Type="http://schemas.openxmlformats.org/officeDocument/2006/relationships/image" Target="media/image168.png"/><Relationship Id="rId345" Type="http://schemas.openxmlformats.org/officeDocument/2006/relationships/image" Target="media/image171.png"/><Relationship Id="rId170" Type="http://schemas.openxmlformats.org/officeDocument/2006/relationships/image" Target="media/image101.png"/><Relationship Id="rId191" Type="http://schemas.openxmlformats.org/officeDocument/2006/relationships/image" Target="media/image119.png"/><Relationship Id="rId205" Type="http://schemas.openxmlformats.org/officeDocument/2006/relationships/hyperlink" Target="http://www.forum-ems.si/portal.html" TargetMode="External"/><Relationship Id="rId226" Type="http://schemas.openxmlformats.org/officeDocument/2006/relationships/hyperlink" Target="https://bch.cbd.int/database/organisms/" TargetMode="External"/><Relationship Id="rId247" Type="http://schemas.openxmlformats.org/officeDocument/2006/relationships/image" Target="media/image144.png"/><Relationship Id="rId107" Type="http://schemas.openxmlformats.org/officeDocument/2006/relationships/hyperlink" Target="http://kazalci.arso.gov.si/?data=indicator&amp;ind_id=760" TargetMode="External"/><Relationship Id="rId268" Type="http://schemas.openxmlformats.org/officeDocument/2006/relationships/hyperlink" Target="https://sl.wikipedia.org/wiki/15._september" TargetMode="External"/><Relationship Id="rId289" Type="http://schemas.openxmlformats.org/officeDocument/2006/relationships/image" Target="media/image155.png"/><Relationship Id="rId11" Type="http://schemas.openxmlformats.org/officeDocument/2006/relationships/image" Target="media/image4.png"/><Relationship Id="rId32" Type="http://schemas.openxmlformats.org/officeDocument/2006/relationships/hyperlink" Target="http://ec.europa.eu/europe2020/europe-2020-in-a-nutshell/priorities/sustainable-growth/index_sl.htm" TargetMode="External"/><Relationship Id="rId53" Type="http://schemas.openxmlformats.org/officeDocument/2006/relationships/hyperlink" Target="http://www.stat.si/statweb" TargetMode="External"/><Relationship Id="rId74" Type="http://schemas.openxmlformats.org/officeDocument/2006/relationships/image" Target="media/image47.png"/><Relationship Id="rId128" Type="http://schemas.openxmlformats.org/officeDocument/2006/relationships/hyperlink" Target="http://www.uradni-list.si/1/objava.jsp?sop=2016-01-2518" TargetMode="External"/><Relationship Id="rId149" Type="http://schemas.openxmlformats.org/officeDocument/2006/relationships/hyperlink" Target="http://www.sanacija-svinec.si/public/PORO%C4%8CILO_2015.pdf" TargetMode="External"/><Relationship Id="rId314" Type="http://schemas.openxmlformats.org/officeDocument/2006/relationships/hyperlink" Target="http://www.nijz.si/sl/naravne-kopalne-vode-v-sloveniji-priporocila-za-kopalce-0)" TargetMode="External"/><Relationship Id="rId335" Type="http://schemas.openxmlformats.org/officeDocument/2006/relationships/hyperlink" Target="http://www.policija.si/images/stories/Statistika/LetnaPorocila/PDF/LetnoPorocilo2015_popravljeno.pdf" TargetMode="External"/><Relationship Id="rId5" Type="http://schemas.openxmlformats.org/officeDocument/2006/relationships/webSettings" Target="webSettings.xml"/><Relationship Id="rId95" Type="http://schemas.openxmlformats.org/officeDocument/2006/relationships/hyperlink" Target="http://kazalci.arso.gov.si/?data=indicator&amp;ind_id=732" TargetMode="External"/><Relationship Id="rId160" Type="http://schemas.openxmlformats.org/officeDocument/2006/relationships/image" Target="media/image91.png"/><Relationship Id="rId181" Type="http://schemas.openxmlformats.org/officeDocument/2006/relationships/image" Target="media/image109.png"/><Relationship Id="rId216" Type="http://schemas.openxmlformats.org/officeDocument/2006/relationships/chart" Target="charts/chart4.xml"/><Relationship Id="rId237" Type="http://schemas.openxmlformats.org/officeDocument/2006/relationships/image" Target="media/image135.jpeg"/><Relationship Id="rId258" Type="http://schemas.openxmlformats.org/officeDocument/2006/relationships/hyperlink" Target="https://sl.wikipedia.org/wiki/Fizikalna_sprememba" TargetMode="External"/><Relationship Id="rId279" Type="http://schemas.openxmlformats.org/officeDocument/2006/relationships/hyperlink" Target="https://sl.wikipedia.org/wiki/Raduha" TargetMode="External"/><Relationship Id="rId22" Type="http://schemas.openxmlformats.org/officeDocument/2006/relationships/hyperlink" Target="http://eur-lex.europa.eu/legal-content/EN/TXT/?uri=CELEX:52011DC0571" TargetMode="External"/><Relationship Id="rId43" Type="http://schemas.openxmlformats.org/officeDocument/2006/relationships/image" Target="media/image19.png"/><Relationship Id="rId64" Type="http://schemas.openxmlformats.org/officeDocument/2006/relationships/image" Target="media/image37.png"/><Relationship Id="rId118" Type="http://schemas.openxmlformats.org/officeDocument/2006/relationships/image" Target="media/image67.emf"/><Relationship Id="rId139" Type="http://schemas.openxmlformats.org/officeDocument/2006/relationships/image" Target="media/image72.png"/><Relationship Id="rId290" Type="http://schemas.openxmlformats.org/officeDocument/2006/relationships/image" Target="media/image156.emf"/><Relationship Id="rId304" Type="http://schemas.openxmlformats.org/officeDocument/2006/relationships/hyperlink" Target="http://www.slovenija50plus.si/" TargetMode="External"/><Relationship Id="rId325" Type="http://schemas.openxmlformats.org/officeDocument/2006/relationships/hyperlink" Target="http://www.arso.gov.si/vode/kopalne%20vode/poro%C4%8Dila%20in%20%C4%8Dlanki/" TargetMode="External"/><Relationship Id="rId346" Type="http://schemas.openxmlformats.org/officeDocument/2006/relationships/image" Target="media/image172.png"/><Relationship Id="rId85" Type="http://schemas.openxmlformats.org/officeDocument/2006/relationships/hyperlink" Target="http://www.uradni-list.si/1/objava.jsp?sop=2007-01-4549" TargetMode="External"/><Relationship Id="rId150" Type="http://schemas.openxmlformats.org/officeDocument/2006/relationships/hyperlink" Target="http://www.energetika-portal.si/fileadmin/dokumenti/publikacije/dp_min_sur/dp_spl_nacrt.pdf" TargetMode="External"/><Relationship Id="rId171" Type="http://schemas.openxmlformats.org/officeDocument/2006/relationships/hyperlink" Target="http://www.ellenmacarthurfoundation.org/assets/downloads/publications/EllenMacArthurFoundation_Growth-Within_July15.pdf" TargetMode="External"/><Relationship Id="rId192" Type="http://schemas.openxmlformats.org/officeDocument/2006/relationships/image" Target="media/image120.png"/><Relationship Id="rId206" Type="http://schemas.openxmlformats.org/officeDocument/2006/relationships/hyperlink" Target="http://www.forum-ems.si/e_karta_karta.html" TargetMode="External"/><Relationship Id="rId227" Type="http://schemas.openxmlformats.org/officeDocument/2006/relationships/hyperlink" Target="http://www.mop.gov.si/si/delovna_podrocja/biotehnologija/" TargetMode="External"/><Relationship Id="rId248" Type="http://schemas.openxmlformats.org/officeDocument/2006/relationships/image" Target="media/image145.png"/><Relationship Id="rId269" Type="http://schemas.openxmlformats.org/officeDocument/2006/relationships/hyperlink" Target="https://sl.wikipedia.org/wiki/17._november" TargetMode="External"/><Relationship Id="rId12" Type="http://schemas.openxmlformats.org/officeDocument/2006/relationships/image" Target="media/image5.png"/><Relationship Id="rId33" Type="http://schemas.openxmlformats.org/officeDocument/2006/relationships/hyperlink" Target="http://www.slovenia.info/pictures/press/atachments_1/2016/STO-ZelenaShemaGGDD_21663.pdf" TargetMode="External"/><Relationship Id="rId108" Type="http://schemas.openxmlformats.org/officeDocument/2006/relationships/hyperlink" Target="http://kazalci.arso.gov.si/?data=indicator&amp;ind_id=769" TargetMode="External"/><Relationship Id="rId129" Type="http://schemas.openxmlformats.org/officeDocument/2006/relationships/hyperlink" Target="http://kazalci.arso.gov.si/?data=indicator&amp;ind_id=790" TargetMode="External"/><Relationship Id="rId280" Type="http://schemas.openxmlformats.org/officeDocument/2006/relationships/hyperlink" Target="https://sl.wikipedia.org/wiki/Ilirskobistri%C5%A1ki_fosilni_plaz" TargetMode="External"/><Relationship Id="rId315" Type="http://schemas.openxmlformats.org/officeDocument/2006/relationships/hyperlink" Target="http://www.nijz.si/sl/varno-kopanje-in-plavanje-v-povrsinskih-kopalnih-vodah" TargetMode="External"/><Relationship Id="rId336" Type="http://schemas.openxmlformats.org/officeDocument/2006/relationships/hyperlink" Target="http://www.who.int/docstore/peh/noise/guidelines2.html" TargetMode="External"/><Relationship Id="rId54" Type="http://schemas.openxmlformats.org/officeDocument/2006/relationships/hyperlink" Target="http://www.zrsvn.si/sl/informacija.asp?id_meta_type=65&amp;id_informacija=579" TargetMode="External"/><Relationship Id="rId75" Type="http://schemas.openxmlformats.org/officeDocument/2006/relationships/image" Target="media/image48.png"/><Relationship Id="rId96" Type="http://schemas.openxmlformats.org/officeDocument/2006/relationships/hyperlink" Target="http://www.uradni-list.si/1/content?id=102172" TargetMode="External"/><Relationship Id="rId140" Type="http://schemas.openxmlformats.org/officeDocument/2006/relationships/image" Target="media/image73.png"/><Relationship Id="rId161" Type="http://schemas.openxmlformats.org/officeDocument/2006/relationships/image" Target="media/image92.png"/><Relationship Id="rId182" Type="http://schemas.openxmlformats.org/officeDocument/2006/relationships/image" Target="media/image110.png"/><Relationship Id="rId217" Type="http://schemas.openxmlformats.org/officeDocument/2006/relationships/chart" Target="charts/chart5.xml"/><Relationship Id="rId6" Type="http://schemas.openxmlformats.org/officeDocument/2006/relationships/footnotes" Target="footnotes.xml"/><Relationship Id="rId238" Type="http://schemas.openxmlformats.org/officeDocument/2006/relationships/image" Target="media/image136.jpeg"/><Relationship Id="rId259" Type="http://schemas.openxmlformats.org/officeDocument/2006/relationships/hyperlink" Target="https://sl.wikipedia.org/wiki/Kemijska_sprememba" TargetMode="External"/><Relationship Id="rId23" Type="http://schemas.openxmlformats.org/officeDocument/2006/relationships/hyperlink" Target="http://www.eea.europa.eu/themes/economy/intro" TargetMode="External"/><Relationship Id="rId119" Type="http://schemas.openxmlformats.org/officeDocument/2006/relationships/image" Target="media/image68.jpeg"/><Relationship Id="rId270" Type="http://schemas.openxmlformats.org/officeDocument/2006/relationships/hyperlink" Target="https://sl.wikipedia.org/wiki/2000" TargetMode="External"/><Relationship Id="rId291" Type="http://schemas.openxmlformats.org/officeDocument/2006/relationships/image" Target="media/image157.png"/><Relationship Id="rId305" Type="http://schemas.openxmlformats.org/officeDocument/2006/relationships/hyperlink" Target="http://ocistimo.si/" TargetMode="External"/><Relationship Id="rId326" Type="http://schemas.openxmlformats.org/officeDocument/2006/relationships/hyperlink" Target="http://www.eea.europa.eu/sl/publications/eea-signali-2013-kaksen-zrak-dihamo" TargetMode="External"/><Relationship Id="rId347" Type="http://schemas.openxmlformats.org/officeDocument/2006/relationships/image" Target="media/image173.png"/><Relationship Id="rId44" Type="http://schemas.openxmlformats.org/officeDocument/2006/relationships/image" Target="media/image20.png"/><Relationship Id="rId65" Type="http://schemas.openxmlformats.org/officeDocument/2006/relationships/image" Target="media/image38.png"/><Relationship Id="rId86" Type="http://schemas.openxmlformats.org/officeDocument/2006/relationships/hyperlink" Target="http://www.uradni-list.si/1/objava.jsp?sop=2014-01-0245" TargetMode="External"/><Relationship Id="rId130" Type="http://schemas.openxmlformats.org/officeDocument/2006/relationships/image" Target="media/image70.png"/><Relationship Id="rId151" Type="http://schemas.openxmlformats.org/officeDocument/2006/relationships/image" Target="media/image82.png"/><Relationship Id="rId172" Type="http://schemas.openxmlformats.org/officeDocument/2006/relationships/hyperlink" Target="http://www.svrk.gov.si/fileadmin/svrk.gov.si/pageuploads/Dokumenti_za_objavo_na_vstopni_strani/S4_dokument_potrjeno_na_VRS_150920.pdf" TargetMode="External"/><Relationship Id="rId193" Type="http://schemas.openxmlformats.org/officeDocument/2006/relationships/image" Target="media/image121.png"/><Relationship Id="rId207" Type="http://schemas.openxmlformats.org/officeDocument/2006/relationships/hyperlink" Target="http://www.arhiv.iko.gov.si/si/o_inspektoratu/porocila_o_delu_inspektorata/" TargetMode="External"/><Relationship Id="rId228" Type="http://schemas.openxmlformats.org/officeDocument/2006/relationships/hyperlink" Target="http://www.mkgp.gov.si/si/" TargetMode="External"/><Relationship Id="rId249" Type="http://schemas.openxmlformats.org/officeDocument/2006/relationships/image" Target="media/image146.png"/><Relationship Id="rId13" Type="http://schemas.openxmlformats.org/officeDocument/2006/relationships/hyperlink" Target="http://www.uncsd2012.org/" TargetMode="External"/><Relationship Id="rId109" Type="http://schemas.openxmlformats.org/officeDocument/2006/relationships/hyperlink" Target="http://kazalci.arso.gov.si/?data=indicator&amp;ind_id=754" TargetMode="External"/><Relationship Id="rId260" Type="http://schemas.openxmlformats.org/officeDocument/2006/relationships/hyperlink" Target="https://sl.wikipedia.org/wiki/Potres" TargetMode="External"/><Relationship Id="rId281" Type="http://schemas.openxmlformats.org/officeDocument/2006/relationships/hyperlink" Target="https://sl.wikipedia.org/wiki/Ilirska_Bistrica" TargetMode="External"/><Relationship Id="rId316" Type="http://schemas.openxmlformats.org/officeDocument/2006/relationships/image" Target="media/image162.png"/><Relationship Id="rId337" Type="http://schemas.openxmlformats.org/officeDocument/2006/relationships/hyperlink" Target="http://www.euro.who.int/__data/assets/pdf_file/0017/43316/E92845.pdf" TargetMode="External"/><Relationship Id="rId34" Type="http://schemas.openxmlformats.org/officeDocument/2006/relationships/hyperlink" Target="http://www.umar.gov.si/fileadmin/user_upload/publikacije/pr/2014/POR_2014.pdf" TargetMode="External"/><Relationship Id="rId55" Type="http://schemas.openxmlformats.org/officeDocument/2006/relationships/hyperlink" Target="http://www.zrsvn.si/sl/informacija.asp?id_meta_type=65&amp;id_informacija=820" TargetMode="External"/><Relationship Id="rId76" Type="http://schemas.openxmlformats.org/officeDocument/2006/relationships/image" Target="media/image49.png"/><Relationship Id="rId97" Type="http://schemas.openxmlformats.org/officeDocument/2006/relationships/hyperlink" Target="http://www.uradni-list.si/1/content?id=120484" TargetMode="External"/><Relationship Id="rId120" Type="http://schemas.openxmlformats.org/officeDocument/2006/relationships/image" Target="media/image69.jpeg"/><Relationship Id="rId141" Type="http://schemas.openxmlformats.org/officeDocument/2006/relationships/image" Target="media/image74.png"/><Relationship Id="rId7" Type="http://schemas.openxmlformats.org/officeDocument/2006/relationships/endnotes" Target="endnotes.xml"/><Relationship Id="rId162" Type="http://schemas.openxmlformats.org/officeDocument/2006/relationships/image" Target="media/image93.png"/><Relationship Id="rId183" Type="http://schemas.openxmlformats.org/officeDocument/2006/relationships/image" Target="media/image111.png"/><Relationship Id="rId218" Type="http://schemas.openxmlformats.org/officeDocument/2006/relationships/chart" Target="charts/chart6.xml"/><Relationship Id="rId239" Type="http://schemas.openxmlformats.org/officeDocument/2006/relationships/image" Target="media/image137.jpeg"/><Relationship Id="rId250" Type="http://schemas.openxmlformats.org/officeDocument/2006/relationships/image" Target="media/image147.jpeg"/><Relationship Id="rId271" Type="http://schemas.openxmlformats.org/officeDocument/2006/relationships/hyperlink" Target="https://sl.wikipedia.org/w/index.php?title=Macesnikov_plaz&amp;action=edit&amp;redlink=1" TargetMode="External"/><Relationship Id="rId292" Type="http://schemas.openxmlformats.org/officeDocument/2006/relationships/image" Target="media/image158.png"/><Relationship Id="rId306" Type="http://schemas.openxmlformats.org/officeDocument/2006/relationships/hyperlink" Target="http://letsdoitworld.org" TargetMode="External"/><Relationship Id="rId24" Type="http://schemas.openxmlformats.org/officeDocument/2006/relationships/hyperlink" Target="http://www.arhiv.svps.gov.si/si/podnebni_ukrepi/podnebna_politika_v_sloveniji/podnebna_strategija/" TargetMode="External"/><Relationship Id="rId45" Type="http://schemas.openxmlformats.org/officeDocument/2006/relationships/image" Target="media/image21.png"/><Relationship Id="rId66" Type="http://schemas.openxmlformats.org/officeDocument/2006/relationships/image" Target="media/image39.png"/><Relationship Id="rId87" Type="http://schemas.openxmlformats.org/officeDocument/2006/relationships/image" Target="media/image58.png"/><Relationship Id="rId110" Type="http://schemas.openxmlformats.org/officeDocument/2006/relationships/hyperlink" Target="http://kazalci.arso.gov.si/?data=indicator&amp;ind_id=753" TargetMode="External"/><Relationship Id="rId131" Type="http://schemas.openxmlformats.org/officeDocument/2006/relationships/hyperlink" Target="http://www.uradni-list.si/1/objava.jsp?sop=2015-01-3842" TargetMode="External"/><Relationship Id="rId327" Type="http://schemas.openxmlformats.org/officeDocument/2006/relationships/hyperlink" Target="http://www.eea.europa.eu/publications/european-bathing-water-quality-2015" TargetMode="External"/><Relationship Id="rId348" Type="http://schemas.openxmlformats.org/officeDocument/2006/relationships/header" Target="header1.xml"/><Relationship Id="rId152" Type="http://schemas.openxmlformats.org/officeDocument/2006/relationships/image" Target="media/image83.png"/><Relationship Id="rId173" Type="http://schemas.openxmlformats.org/officeDocument/2006/relationships/hyperlink" Target="http://www.stat.si/StatWeb/Common/PrikaziDokument.ashx?IdDatoteke=8732" TargetMode="External"/><Relationship Id="rId194" Type="http://schemas.openxmlformats.org/officeDocument/2006/relationships/image" Target="media/image122.png"/><Relationship Id="rId208" Type="http://schemas.openxmlformats.org/officeDocument/2006/relationships/hyperlink" Target="http://www.inis.si/" TargetMode="External"/><Relationship Id="rId229" Type="http://schemas.openxmlformats.org/officeDocument/2006/relationships/hyperlink" Target="http://www.uvhvvr.gov.si/si/" TargetMode="External"/><Relationship Id="rId240" Type="http://schemas.openxmlformats.org/officeDocument/2006/relationships/hyperlink" Target="http://www.mojalbum.com/pgdljubno/intervencija-poplave-ljubno-kropa/predvajaj-veliko" TargetMode="External"/><Relationship Id="rId261" Type="http://schemas.openxmlformats.org/officeDocument/2006/relationships/hyperlink" Target="https://sl.wikipedia.org/wiki/Vulkan" TargetMode="External"/><Relationship Id="rId14" Type="http://schemas.openxmlformats.org/officeDocument/2006/relationships/image" Target="media/image6.png"/><Relationship Id="rId35" Type="http://schemas.openxmlformats.org/officeDocument/2006/relationships/image" Target="media/image11.png"/><Relationship Id="rId56" Type="http://schemas.openxmlformats.org/officeDocument/2006/relationships/image" Target="media/image29.png"/><Relationship Id="rId77" Type="http://schemas.openxmlformats.org/officeDocument/2006/relationships/image" Target="media/image50.png"/><Relationship Id="rId100" Type="http://schemas.openxmlformats.org/officeDocument/2006/relationships/hyperlink" Target="http://kazalci.arso.gov.si/?data=indicator&amp;ind_id=749" TargetMode="External"/><Relationship Id="rId282" Type="http://schemas.openxmlformats.org/officeDocument/2006/relationships/hyperlink" Target="https://sl.wikipedia.org/wiki/Volovja_reber" TargetMode="External"/><Relationship Id="rId317" Type="http://schemas.openxmlformats.org/officeDocument/2006/relationships/hyperlink" Target="http://kazalci.arso.gov.si/?data=indicator&amp;ind_id=684" TargetMode="External"/><Relationship Id="rId338" Type="http://schemas.openxmlformats.org/officeDocument/2006/relationships/hyperlink" Target="http://www.euro.who.int/__data/assets/pdf_file/0004/193108/REVIHAAP-Final-technical-report-final-version.pdf" TargetMode="External"/><Relationship Id="rId8" Type="http://schemas.openxmlformats.org/officeDocument/2006/relationships/image" Target="media/image1.png"/><Relationship Id="rId98" Type="http://schemas.openxmlformats.org/officeDocument/2006/relationships/hyperlink" Target="http://kazalci.arso.gov.si/?data=indicator&amp;ind_id=744" TargetMode="External"/><Relationship Id="rId121" Type="http://schemas.openxmlformats.org/officeDocument/2006/relationships/hyperlink" Target="http://kazalci.arso.gov.si/?data=indicator&amp;ind_id=789" TargetMode="External"/><Relationship Id="rId142" Type="http://schemas.openxmlformats.org/officeDocument/2006/relationships/image" Target="media/image75.png"/><Relationship Id="rId163" Type="http://schemas.openxmlformats.org/officeDocument/2006/relationships/image" Target="media/image94.png"/><Relationship Id="rId184" Type="http://schemas.openxmlformats.org/officeDocument/2006/relationships/image" Target="media/image112.png"/><Relationship Id="rId219" Type="http://schemas.openxmlformats.org/officeDocument/2006/relationships/hyperlink" Target="http://gmoinfo.jrc.ec.europa.eu/" TargetMode="External"/><Relationship Id="rId230" Type="http://schemas.openxmlformats.org/officeDocument/2006/relationships/hyperlink" Target="http://ec.europa.eu/food/plant/gmo/index_en.htm" TargetMode="External"/><Relationship Id="rId251" Type="http://schemas.openxmlformats.org/officeDocument/2006/relationships/hyperlink" Target="http://www.gis.si/poplave-2012" TargetMode="External"/><Relationship Id="rId25" Type="http://schemas.openxmlformats.org/officeDocument/2006/relationships/hyperlink" Target="http://agenda21culture.net/index.php/16-official-documentation-all/agenda-21-culture-all/437-cultural-policies-and-sustainable-development" TargetMode="External"/><Relationship Id="rId46" Type="http://schemas.openxmlformats.org/officeDocument/2006/relationships/image" Target="media/image22.png"/><Relationship Id="rId67" Type="http://schemas.openxmlformats.org/officeDocument/2006/relationships/image" Target="media/image40.png"/><Relationship Id="rId272" Type="http://schemas.openxmlformats.org/officeDocument/2006/relationships/hyperlink" Target="https://sl.wikipedia.org/wiki/Ol%C5%A1eva" TargetMode="External"/><Relationship Id="rId293" Type="http://schemas.openxmlformats.org/officeDocument/2006/relationships/hyperlink" Target="https://sl.wikipedia.org/wiki/Zemeljski_plaz" TargetMode="External"/><Relationship Id="rId307" Type="http://schemas.openxmlformats.org/officeDocument/2006/relationships/hyperlink" Target="http://www.eugreenoffice.eu/si" TargetMode="External"/><Relationship Id="rId328" Type="http://schemas.openxmlformats.org/officeDocument/2006/relationships/hyperlink" Target="http://www.eea.europa.eu/publications/quiet-areas-in-europe" TargetMode="External"/><Relationship Id="rId349" Type="http://schemas.openxmlformats.org/officeDocument/2006/relationships/header" Target="header2.xml"/><Relationship Id="rId20" Type="http://schemas.openxmlformats.org/officeDocument/2006/relationships/hyperlink" Target="http://www.planbzaslovenijo.si/upload/SRS/plan-b-zeleni-razvojni-preboj.pdf" TargetMode="External"/><Relationship Id="rId41" Type="http://schemas.openxmlformats.org/officeDocument/2006/relationships/image" Target="media/image17.png"/><Relationship Id="rId62" Type="http://schemas.openxmlformats.org/officeDocument/2006/relationships/image" Target="media/image35.png"/><Relationship Id="rId83" Type="http://schemas.openxmlformats.org/officeDocument/2006/relationships/image" Target="media/image56.png"/><Relationship Id="rId88" Type="http://schemas.openxmlformats.org/officeDocument/2006/relationships/hyperlink" Target="http://kazalci.arso.gov.si/?data=indicator&amp;ind_id=742" TargetMode="External"/><Relationship Id="rId111" Type="http://schemas.openxmlformats.org/officeDocument/2006/relationships/hyperlink" Target="http://kazalci.arso.gov.si/?data=indicator&amp;ind_id=687" TargetMode="External"/><Relationship Id="rId132" Type="http://schemas.openxmlformats.org/officeDocument/2006/relationships/hyperlink" Target="http://www.uradni-list.si/1/objava.jsp?sop=2010-01-5763" TargetMode="External"/><Relationship Id="rId153" Type="http://schemas.openxmlformats.org/officeDocument/2006/relationships/image" Target="media/image84.png"/><Relationship Id="rId174" Type="http://schemas.openxmlformats.org/officeDocument/2006/relationships/image" Target="media/image102.png"/><Relationship Id="rId179" Type="http://schemas.openxmlformats.org/officeDocument/2006/relationships/image" Target="media/image107.png"/><Relationship Id="rId195" Type="http://schemas.openxmlformats.org/officeDocument/2006/relationships/hyperlink" Target="https://www.eia.gov/tools/faqs/faq.cfm?id=73&amp;t=11" TargetMode="External"/><Relationship Id="rId209" Type="http://schemas.openxmlformats.org/officeDocument/2006/relationships/hyperlink" Target="http://www.mop.gov.si/si/zakonodaja_in_dokumenti/veljavni_predpisi/okolje/zakon_o_varstvu_okolja/svetlobno_onesnazevanje_elektromagnetna_sevanja/" TargetMode="External"/><Relationship Id="rId190" Type="http://schemas.openxmlformats.org/officeDocument/2006/relationships/image" Target="media/image118.png"/><Relationship Id="rId204" Type="http://schemas.openxmlformats.org/officeDocument/2006/relationships/hyperlink" Target="http://www.arso.gov.si/varstvo%20okolja/sevanja/" TargetMode="External"/><Relationship Id="rId220" Type="http://schemas.openxmlformats.org/officeDocument/2006/relationships/image" Target="media/image130.emf"/><Relationship Id="rId225" Type="http://schemas.openxmlformats.org/officeDocument/2006/relationships/hyperlink" Target="http://ec.europa.eu/food/dyna/gm_register/index_en.cfm" TargetMode="External"/><Relationship Id="rId241" Type="http://schemas.openxmlformats.org/officeDocument/2006/relationships/image" Target="media/image138.emf"/><Relationship Id="rId246" Type="http://schemas.openxmlformats.org/officeDocument/2006/relationships/image" Target="media/image143.emf"/><Relationship Id="rId267" Type="http://schemas.openxmlformats.org/officeDocument/2006/relationships/hyperlink" Target="https://sl.wikipedia.org/wiki/Log_pod_Mangartom" TargetMode="External"/><Relationship Id="rId288" Type="http://schemas.openxmlformats.org/officeDocument/2006/relationships/image" Target="media/image154.png"/><Relationship Id="rId15" Type="http://schemas.openxmlformats.org/officeDocument/2006/relationships/image" Target="media/image7.png"/><Relationship Id="rId36" Type="http://schemas.openxmlformats.org/officeDocument/2006/relationships/image" Target="media/image12.png"/><Relationship Id="rId57" Type="http://schemas.openxmlformats.org/officeDocument/2006/relationships/image" Target="media/image30.png"/><Relationship Id="rId106" Type="http://schemas.openxmlformats.org/officeDocument/2006/relationships/image" Target="media/image63.png"/><Relationship Id="rId127" Type="http://schemas.openxmlformats.org/officeDocument/2006/relationships/hyperlink" Target="http://www.uradni-list.si/1/objava.jsp?sop=2006-01-2381" TargetMode="External"/><Relationship Id="rId262" Type="http://schemas.openxmlformats.org/officeDocument/2006/relationships/hyperlink" Target="https://sl.wikipedia.org/wiki/Erozija" TargetMode="External"/><Relationship Id="rId283" Type="http://schemas.openxmlformats.org/officeDocument/2006/relationships/hyperlink" Target="https://sl.wikipedia.org/wiki/Sne%C5%BEnik" TargetMode="External"/><Relationship Id="rId313" Type="http://schemas.openxmlformats.org/officeDocument/2006/relationships/image" Target="media/image161.png"/><Relationship Id="rId318" Type="http://schemas.openxmlformats.org/officeDocument/2006/relationships/image" Target="media/image163.png"/><Relationship Id="rId339" Type="http://schemas.openxmlformats.org/officeDocument/2006/relationships/hyperlink" Target="http://www.who.int/gho/phe/outdoor_air_pollution/burden_text/en/" TargetMode="External"/><Relationship Id="rId10" Type="http://schemas.openxmlformats.org/officeDocument/2006/relationships/image" Target="media/image3.png"/><Relationship Id="rId31" Type="http://schemas.openxmlformats.org/officeDocument/2006/relationships/hyperlink" Target="http://register.consilium.europa.eu/doc/srv?l=SL&amp;f=ST%2010117%202006%20INIT" TargetMode="External"/><Relationship Id="rId52" Type="http://schemas.openxmlformats.org/officeDocument/2006/relationships/image" Target="media/image28.png"/><Relationship Id="rId73" Type="http://schemas.openxmlformats.org/officeDocument/2006/relationships/image" Target="media/image46.png"/><Relationship Id="rId78" Type="http://schemas.openxmlformats.org/officeDocument/2006/relationships/image" Target="media/image51.png"/><Relationship Id="rId94" Type="http://schemas.openxmlformats.org/officeDocument/2006/relationships/hyperlink" Target="http://kazalci.arso.gov.si/?data=indicator&amp;ind_id=706" TargetMode="External"/><Relationship Id="rId99" Type="http://schemas.openxmlformats.org/officeDocument/2006/relationships/image" Target="media/image59.png"/><Relationship Id="rId101" Type="http://schemas.openxmlformats.org/officeDocument/2006/relationships/hyperlink" Target="http://kazalci.arso.gov.si/?data=indicator&amp;ind_id=775" TargetMode="External"/><Relationship Id="rId122" Type="http://schemas.openxmlformats.org/officeDocument/2006/relationships/hyperlink" Target="http://kazalci.arso.gov.si/?data=indicator&amp;ind_id=777" TargetMode="External"/><Relationship Id="rId143" Type="http://schemas.openxmlformats.org/officeDocument/2006/relationships/image" Target="media/image76.png"/><Relationship Id="rId148" Type="http://schemas.openxmlformats.org/officeDocument/2006/relationships/image" Target="media/image81.png"/><Relationship Id="rId164" Type="http://schemas.openxmlformats.org/officeDocument/2006/relationships/image" Target="media/image95.png"/><Relationship Id="rId169" Type="http://schemas.openxmlformats.org/officeDocument/2006/relationships/image" Target="media/image100.png"/><Relationship Id="rId185" Type="http://schemas.openxmlformats.org/officeDocument/2006/relationships/image" Target="media/image113.png"/><Relationship Id="rId334" Type="http://schemas.openxmlformats.org/officeDocument/2006/relationships/hyperlink" Target="http://www.nijz.si/sl/publikacije/onesnazenost-zunanjega-zraka-z-ozonom-na-primorskem-obmocju-sip-v-obdobju-2007-2015-in" TargetMode="External"/><Relationship Id="rId35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08.png"/><Relationship Id="rId210" Type="http://schemas.openxmlformats.org/officeDocument/2006/relationships/hyperlink" Target="http://www.uradni-list.si/1/objava.jsp?sop=2015-01-2754" TargetMode="External"/><Relationship Id="rId215" Type="http://schemas.openxmlformats.org/officeDocument/2006/relationships/chart" Target="charts/chart3.xml"/><Relationship Id="rId236" Type="http://schemas.openxmlformats.org/officeDocument/2006/relationships/image" Target="media/image134.jpeg"/><Relationship Id="rId257" Type="http://schemas.openxmlformats.org/officeDocument/2006/relationships/hyperlink" Target="https://sl.wikipedia.org/w/index.php?title=Kamenje&amp;action=edit&amp;redlink=1" TargetMode="External"/><Relationship Id="rId278" Type="http://schemas.openxmlformats.org/officeDocument/2006/relationships/hyperlink" Target="https://sl.wikipedia.org/wiki/Podvolovljek" TargetMode="External"/><Relationship Id="rId26" Type="http://schemas.openxmlformats.org/officeDocument/2006/relationships/hyperlink" Target="http://www.zelenadelovnamesta.si/" TargetMode="External"/><Relationship Id="rId231" Type="http://schemas.openxmlformats.org/officeDocument/2006/relationships/hyperlink" Target="https://www.efsa.europa.eu/en/topics/topic/gmo" TargetMode="External"/><Relationship Id="rId252" Type="http://schemas.openxmlformats.org/officeDocument/2006/relationships/image" Target="media/image148.jpeg"/><Relationship Id="rId273" Type="http://schemas.openxmlformats.org/officeDocument/2006/relationships/hyperlink" Target="https://sl.wikipedia.org/w/index.php?title=Slano_blato&amp;action=edit&amp;redlink=1" TargetMode="External"/><Relationship Id="rId294" Type="http://schemas.openxmlformats.org/officeDocument/2006/relationships/hyperlink" Target="http://www.planet-zemlja.org/drugi-aktivni-projekti/zemljo-so-nam-posodili-otroci/" TargetMode="External"/><Relationship Id="rId308" Type="http://schemas.openxmlformats.org/officeDocument/2006/relationships/hyperlink" Target="http://www.cistazmaga.si/" TargetMode="External"/><Relationship Id="rId329" Type="http://schemas.openxmlformats.org/officeDocument/2006/relationships/hyperlink" Target="http://www.efsa.europa.eu/en/efsajournal/pub/724" TargetMode="External"/><Relationship Id="rId47" Type="http://schemas.openxmlformats.org/officeDocument/2006/relationships/image" Target="media/image23.png"/><Relationship Id="rId68" Type="http://schemas.openxmlformats.org/officeDocument/2006/relationships/image" Target="media/image41.png"/><Relationship Id="rId89" Type="http://schemas.openxmlformats.org/officeDocument/2006/relationships/hyperlink" Target="http://kazalci.arso.gov.si/?data=indicator&amp;ind_id=743" TargetMode="External"/><Relationship Id="rId112" Type="http://schemas.openxmlformats.org/officeDocument/2006/relationships/image" Target="media/image64.png"/><Relationship Id="rId133" Type="http://schemas.openxmlformats.org/officeDocument/2006/relationships/hyperlink" Target="http://www.uradni-list.si/1/objava.jsp?sop=2011-01-4203" TargetMode="External"/><Relationship Id="rId154" Type="http://schemas.openxmlformats.org/officeDocument/2006/relationships/image" Target="media/image85.png"/><Relationship Id="rId175" Type="http://schemas.openxmlformats.org/officeDocument/2006/relationships/image" Target="media/image103.png"/><Relationship Id="rId340" Type="http://schemas.openxmlformats.org/officeDocument/2006/relationships/hyperlink" Target="http://www.who.int/mediacentre/factsheets/fs266/en/" TargetMode="External"/><Relationship Id="rId196" Type="http://schemas.openxmlformats.org/officeDocument/2006/relationships/image" Target="media/image123.jpeg"/><Relationship Id="rId200" Type="http://schemas.openxmlformats.org/officeDocument/2006/relationships/image" Target="media/image127.jpeg"/><Relationship Id="rId16" Type="http://schemas.openxmlformats.org/officeDocument/2006/relationships/image" Target="media/image8.png"/><Relationship Id="rId221" Type="http://schemas.openxmlformats.org/officeDocument/2006/relationships/image" Target="media/image131.emf"/><Relationship Id="rId242" Type="http://schemas.openxmlformats.org/officeDocument/2006/relationships/image" Target="media/image139.emf"/><Relationship Id="rId263" Type="http://schemas.openxmlformats.org/officeDocument/2006/relationships/hyperlink" Target="https://sl.wikipedia.org/wiki/Ledenik" TargetMode="External"/><Relationship Id="rId284" Type="http://schemas.openxmlformats.org/officeDocument/2006/relationships/image" Target="media/image150.png"/><Relationship Id="rId319" Type="http://schemas.openxmlformats.org/officeDocument/2006/relationships/hyperlink" Target="http://kazalci.arso.gov.si/?data=indicator&amp;ind_id=725" TargetMode="External"/><Relationship Id="rId37" Type="http://schemas.openxmlformats.org/officeDocument/2006/relationships/image" Target="media/image13.png"/><Relationship Id="rId58" Type="http://schemas.openxmlformats.org/officeDocument/2006/relationships/image" Target="media/image31.png"/><Relationship Id="rId79" Type="http://schemas.openxmlformats.org/officeDocument/2006/relationships/image" Target="media/image52.png"/><Relationship Id="rId102" Type="http://schemas.openxmlformats.org/officeDocument/2006/relationships/image" Target="media/image60.png"/><Relationship Id="rId123" Type="http://schemas.openxmlformats.org/officeDocument/2006/relationships/hyperlink" Target="http://www.uradni-list.si/1/objava.jsp?sop=2010-01-5763" TargetMode="External"/><Relationship Id="rId144" Type="http://schemas.openxmlformats.org/officeDocument/2006/relationships/image" Target="media/image77.png"/><Relationship Id="rId330" Type="http://schemas.openxmlformats.org/officeDocument/2006/relationships/hyperlink" Target="https://www.efsa.europa.eu/en/efsajournal/pub/2832.%20Pridobljeno%2007" TargetMode="External"/><Relationship Id="rId90" Type="http://schemas.openxmlformats.org/officeDocument/2006/relationships/hyperlink" Target="http://kazalci.arso.gov.si/?data=indicator&amp;ind_id=699&amp;lang_id=302" TargetMode="External"/><Relationship Id="rId165" Type="http://schemas.openxmlformats.org/officeDocument/2006/relationships/image" Target="media/image96.png"/><Relationship Id="rId186" Type="http://schemas.openxmlformats.org/officeDocument/2006/relationships/image" Target="media/image114.png"/><Relationship Id="rId351" Type="http://schemas.openxmlformats.org/officeDocument/2006/relationships/header" Target="header3.xml"/><Relationship Id="rId211" Type="http://schemas.openxmlformats.org/officeDocument/2006/relationships/hyperlink" Target="http://www.uradni-list.si/1/objava.jsp?sop=2002-02-0073" TargetMode="External"/><Relationship Id="rId232" Type="http://schemas.openxmlformats.org/officeDocument/2006/relationships/hyperlink" Target="http://gmo-crl.jrc.ec.europa.eu/default.htm" TargetMode="External"/><Relationship Id="rId253" Type="http://schemas.openxmlformats.org/officeDocument/2006/relationships/hyperlink" Target="http://www.gis.si/poplave-2012" TargetMode="External"/><Relationship Id="rId274" Type="http://schemas.openxmlformats.org/officeDocument/2006/relationships/hyperlink" Target="https://sl.wikipedia.org/wiki/Lokavec,_Ajdov%C5%A1%C4%8Dina" TargetMode="External"/><Relationship Id="rId295" Type="http://schemas.openxmlformats.org/officeDocument/2006/relationships/hyperlink" Target="http://www.mop.gov.si/fileadmin/mop.gov.si/pageuploads/publikacije/odgovorna_potrosnja.pdf" TargetMode="External"/><Relationship Id="rId309" Type="http://schemas.openxmlformats.org/officeDocument/2006/relationships/hyperlink" Target="http://www.planbzaslovenijo.si/" TargetMode="External"/><Relationship Id="rId27" Type="http://schemas.openxmlformats.org/officeDocument/2006/relationships/hyperlink" Target="http://www.unep.org/greeneconomy/" TargetMode="External"/><Relationship Id="rId48" Type="http://schemas.openxmlformats.org/officeDocument/2006/relationships/image" Target="media/image24.png"/><Relationship Id="rId69" Type="http://schemas.openxmlformats.org/officeDocument/2006/relationships/image" Target="media/image42.png"/><Relationship Id="rId113" Type="http://schemas.openxmlformats.org/officeDocument/2006/relationships/hyperlink" Target="http://kazalci.arso.gov.si/?data=indicator&amp;ind_id=761" TargetMode="External"/><Relationship Id="rId134" Type="http://schemas.openxmlformats.org/officeDocument/2006/relationships/hyperlink" Target="http://www.uradni-list.si/1/objava.jsp?sop=2012-01-3943" TargetMode="External"/><Relationship Id="rId320" Type="http://schemas.openxmlformats.org/officeDocument/2006/relationships/image" Target="media/image164.png"/><Relationship Id="rId80" Type="http://schemas.openxmlformats.org/officeDocument/2006/relationships/image" Target="media/image53.png"/><Relationship Id="rId155" Type="http://schemas.openxmlformats.org/officeDocument/2006/relationships/image" Target="media/image86.png"/><Relationship Id="rId176" Type="http://schemas.openxmlformats.org/officeDocument/2006/relationships/image" Target="media/image104.png"/><Relationship Id="rId197" Type="http://schemas.openxmlformats.org/officeDocument/2006/relationships/image" Target="media/image124.emf"/><Relationship Id="rId341" Type="http://schemas.openxmlformats.org/officeDocument/2006/relationships/hyperlink" Target="http://www.who.int/foodsafety/publications/foodborne_disease/fergreport/en/" TargetMode="External"/><Relationship Id="rId201" Type="http://schemas.openxmlformats.org/officeDocument/2006/relationships/image" Target="media/image128.png"/><Relationship Id="rId222" Type="http://schemas.openxmlformats.org/officeDocument/2006/relationships/image" Target="media/image132.emf"/><Relationship Id="rId243" Type="http://schemas.openxmlformats.org/officeDocument/2006/relationships/image" Target="media/image140.png"/><Relationship Id="rId264" Type="http://schemas.openxmlformats.org/officeDocument/2006/relationships/hyperlink" Target="https://sl.wikipedia.org/wiki/Sila_te%C5%BEe" TargetMode="External"/><Relationship Id="rId285" Type="http://schemas.openxmlformats.org/officeDocument/2006/relationships/image" Target="media/image151.png"/><Relationship Id="rId17" Type="http://schemas.openxmlformats.org/officeDocument/2006/relationships/image" Target="media/image9.png"/><Relationship Id="rId38" Type="http://schemas.openxmlformats.org/officeDocument/2006/relationships/image" Target="media/image14.png"/><Relationship Id="rId59" Type="http://schemas.openxmlformats.org/officeDocument/2006/relationships/image" Target="media/image32.png"/><Relationship Id="rId103" Type="http://schemas.openxmlformats.org/officeDocument/2006/relationships/image" Target="media/image61.png"/><Relationship Id="rId124" Type="http://schemas.openxmlformats.org/officeDocument/2006/relationships/hyperlink" Target="http://www.uradni-list.si/1/objava.jsp?sop=2011-01-4203" TargetMode="External"/><Relationship Id="rId310" Type="http://schemas.openxmlformats.org/officeDocument/2006/relationships/image" Target="media/image159.png"/><Relationship Id="rId70" Type="http://schemas.openxmlformats.org/officeDocument/2006/relationships/image" Target="media/image43.png"/><Relationship Id="rId91" Type="http://schemas.openxmlformats.org/officeDocument/2006/relationships/hyperlink" Target="http://kazalci.arso.gov.si/?data=indicator&amp;ind_id=700&amp;lang_id=302" TargetMode="External"/><Relationship Id="rId145" Type="http://schemas.openxmlformats.org/officeDocument/2006/relationships/image" Target="media/image78.png"/><Relationship Id="rId166" Type="http://schemas.openxmlformats.org/officeDocument/2006/relationships/image" Target="media/image97.png"/><Relationship Id="rId187" Type="http://schemas.openxmlformats.org/officeDocument/2006/relationships/image" Target="media/image115.png"/><Relationship Id="rId331" Type="http://schemas.openxmlformats.org/officeDocument/2006/relationships/hyperlink" Target="http://eur-lex.europa.eu/legal-content/SL/TXT/PDF/?uri=CELEX:32013D1386&amp;from=EN" TargetMode="External"/><Relationship Id="rId352"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hyperlink" Target="http://www.uradni-list.si/1/objava.jsp?sop=2014-02-0017" TargetMode="External"/><Relationship Id="rId233" Type="http://schemas.openxmlformats.org/officeDocument/2006/relationships/hyperlink" Target="http://www.nib.si/gensko-spremenjeni-organizmi" TargetMode="External"/><Relationship Id="rId254" Type="http://schemas.openxmlformats.org/officeDocument/2006/relationships/image" Target="media/image149.png"/><Relationship Id="rId28" Type="http://schemas.openxmlformats.org/officeDocument/2006/relationships/hyperlink" Target="http://www.mko.gov.si/nc/si/medijsko_sredisce/novica/article/7268/" TargetMode="External"/><Relationship Id="rId49" Type="http://schemas.openxmlformats.org/officeDocument/2006/relationships/image" Target="media/image25.png"/><Relationship Id="rId114" Type="http://schemas.openxmlformats.org/officeDocument/2006/relationships/hyperlink" Target="http://kazalci.arso.gov.si/?data=indicator&amp;ind_id=781" TargetMode="External"/><Relationship Id="rId275" Type="http://schemas.openxmlformats.org/officeDocument/2006/relationships/hyperlink" Target="https://sl.wikipedia.org/wiki/Vipavska_dolina" TargetMode="External"/><Relationship Id="rId296" Type="http://schemas.openxmlformats.org/officeDocument/2006/relationships/hyperlink" Target="http://www.unesco.si/" TargetMode="External"/><Relationship Id="rId300" Type="http://schemas.openxmlformats.org/officeDocument/2006/relationships/hyperlink" Target="http://www.youtube.com/watch?v=Js4EHTrDhto&amp;playnext=1&amp;list=PLrBUOzJvWSgA8xIG3yWIsijjx8GtvMIWs&amp;feature=results_main" TargetMode="External"/><Relationship Id="rId60" Type="http://schemas.openxmlformats.org/officeDocument/2006/relationships/image" Target="media/image33.png"/><Relationship Id="rId81" Type="http://schemas.openxmlformats.org/officeDocument/2006/relationships/image" Target="media/image54.png"/><Relationship Id="rId135" Type="http://schemas.openxmlformats.org/officeDocument/2006/relationships/hyperlink" Target="http://www.uradni-list.si/1/objava.jsp?sop=2014-01-3642" TargetMode="External"/><Relationship Id="rId156" Type="http://schemas.openxmlformats.org/officeDocument/2006/relationships/image" Target="media/image87.png"/><Relationship Id="rId177" Type="http://schemas.openxmlformats.org/officeDocument/2006/relationships/image" Target="media/image105.png"/><Relationship Id="rId198" Type="http://schemas.openxmlformats.org/officeDocument/2006/relationships/image" Target="media/image125.png"/><Relationship Id="rId321" Type="http://schemas.openxmlformats.org/officeDocument/2006/relationships/image" Target="media/image165.png"/><Relationship Id="rId342" Type="http://schemas.openxmlformats.org/officeDocument/2006/relationships/hyperlink" Target="http://www.who.int/ipcs/publications/chemicals-public-health-impact/en/" TargetMode="External"/><Relationship Id="rId202" Type="http://schemas.openxmlformats.org/officeDocument/2006/relationships/image" Target="media/image129.png"/><Relationship Id="rId223" Type="http://schemas.openxmlformats.org/officeDocument/2006/relationships/image" Target="media/image133.emf"/><Relationship Id="rId244" Type="http://schemas.openxmlformats.org/officeDocument/2006/relationships/image" Target="media/image141.png"/><Relationship Id="rId18" Type="http://schemas.openxmlformats.org/officeDocument/2006/relationships/image" Target="media/image10.png"/><Relationship Id="rId39" Type="http://schemas.openxmlformats.org/officeDocument/2006/relationships/image" Target="media/image15.png"/><Relationship Id="rId265" Type="http://schemas.openxmlformats.org/officeDocument/2006/relationships/hyperlink" Target="https://sl.wikipedia.org/wiki/Slovenija" TargetMode="External"/><Relationship Id="rId286" Type="http://schemas.openxmlformats.org/officeDocument/2006/relationships/image" Target="media/image152.png"/><Relationship Id="rId50" Type="http://schemas.openxmlformats.org/officeDocument/2006/relationships/image" Target="media/image26.png"/><Relationship Id="rId104" Type="http://schemas.openxmlformats.org/officeDocument/2006/relationships/hyperlink" Target="http://kazalci.arso.gov.si/?data=indicator&amp;ind_id=775" TargetMode="External"/><Relationship Id="rId125" Type="http://schemas.openxmlformats.org/officeDocument/2006/relationships/hyperlink" Target="http://www.uradni-list.si/1/objava.jsp?sop=2012-01-3943" TargetMode="External"/><Relationship Id="rId146" Type="http://schemas.openxmlformats.org/officeDocument/2006/relationships/image" Target="media/image79.png"/><Relationship Id="rId167" Type="http://schemas.openxmlformats.org/officeDocument/2006/relationships/image" Target="media/image98.png"/><Relationship Id="rId188" Type="http://schemas.openxmlformats.org/officeDocument/2006/relationships/image" Target="media/image116.png"/><Relationship Id="rId311" Type="http://schemas.openxmlformats.org/officeDocument/2006/relationships/image" Target="media/image160.png"/><Relationship Id="rId332" Type="http://schemas.openxmlformats.org/officeDocument/2006/relationships/hyperlink" Target="http://www.iop.gov.si/fileadmin/iop.gov.si/pageuploads/5_O_INSPEKTORATU/Porocila_in_na%09crti_dela/Porocilo_IRSOP_2015.pdf" TargetMode="External"/><Relationship Id="rId353" Type="http://schemas.openxmlformats.org/officeDocument/2006/relationships/theme" Target="theme/theme1.xml"/><Relationship Id="rId71" Type="http://schemas.openxmlformats.org/officeDocument/2006/relationships/image" Target="media/image44.png"/><Relationship Id="rId92" Type="http://schemas.openxmlformats.org/officeDocument/2006/relationships/hyperlink" Target="http://kazalci.arso.gov.si/?data=indicator&amp;ind_id=746&amp;lang_id=302" TargetMode="External"/><Relationship Id="rId213" Type="http://schemas.openxmlformats.org/officeDocument/2006/relationships/chart" Target="charts/chart1.xml"/><Relationship Id="rId234" Type="http://schemas.openxmlformats.org/officeDocument/2006/relationships/hyperlink" Target="http://europa.eu/rapid/press-release_MEMO-13-952_sl.htm" TargetMode="External"/><Relationship Id="rId2" Type="http://schemas.openxmlformats.org/officeDocument/2006/relationships/numbering" Target="numbering.xml"/><Relationship Id="rId29" Type="http://schemas.openxmlformats.org/officeDocument/2006/relationships/hyperlink" Target="file:///C:\Users\darja.piciga\AppData\Local\Lokalni\Osebno\Dokumenti\V%20+%20I%20&amp;amp;%20U\%20http:\www.zelenaslovenija.si\zeleni-forum\forum-2014\predstavitve" TargetMode="External"/><Relationship Id="rId255" Type="http://schemas.openxmlformats.org/officeDocument/2006/relationships/hyperlink" Target="https://sl.wikipedia.org/w/index.php?title=Zemlja_(pedologija)&amp;action=edit&amp;redlink=1" TargetMode="External"/><Relationship Id="rId276" Type="http://schemas.openxmlformats.org/officeDocument/2006/relationships/hyperlink" Target="https://sl.wikipedia.org/wiki/Kose%C4%8D" TargetMode="External"/><Relationship Id="rId297" Type="http://schemas.openxmlformats.org/officeDocument/2006/relationships/hyperlink" Target="http://www.arso.gov.si/" TargetMode="External"/><Relationship Id="rId40" Type="http://schemas.openxmlformats.org/officeDocument/2006/relationships/image" Target="media/image16.png"/><Relationship Id="rId115" Type="http://schemas.openxmlformats.org/officeDocument/2006/relationships/hyperlink" Target="http://kazalci.arso.gov.si/?data=indicator&amp;ind_id=762" TargetMode="External"/><Relationship Id="rId136" Type="http://schemas.openxmlformats.org/officeDocument/2006/relationships/hyperlink" Target="http://www.uradni-list.si/1/objava.jsp?sop=2006-01-2381" TargetMode="External"/><Relationship Id="rId157" Type="http://schemas.openxmlformats.org/officeDocument/2006/relationships/image" Target="media/image88.png"/><Relationship Id="rId178" Type="http://schemas.openxmlformats.org/officeDocument/2006/relationships/image" Target="media/image106.png"/><Relationship Id="rId301" Type="http://schemas.openxmlformats.org/officeDocument/2006/relationships/hyperlink" Target="http://www.slovenija-co2.si" TargetMode="External"/><Relationship Id="rId322" Type="http://schemas.openxmlformats.org/officeDocument/2006/relationships/image" Target="media/image166.png"/><Relationship Id="rId343" Type="http://schemas.openxmlformats.org/officeDocument/2006/relationships/image" Target="media/image169.png"/><Relationship Id="rId61" Type="http://schemas.openxmlformats.org/officeDocument/2006/relationships/image" Target="media/image34.png"/><Relationship Id="rId82" Type="http://schemas.openxmlformats.org/officeDocument/2006/relationships/image" Target="media/image55.png"/><Relationship Id="rId199" Type="http://schemas.openxmlformats.org/officeDocument/2006/relationships/image" Target="media/image126.png"/><Relationship Id="rId203" Type="http://schemas.openxmlformats.org/officeDocument/2006/relationships/hyperlink" Target="http://www.iarc.fr/" TargetMode="External"/><Relationship Id="rId19" Type="http://schemas.openxmlformats.org/officeDocument/2006/relationships/hyperlink" Target="http://www.razvoj.si/UserFiles/File/Publikacije/CCC_Strategija-lto-bovec-2014.pdf" TargetMode="External"/><Relationship Id="rId224" Type="http://schemas.openxmlformats.org/officeDocument/2006/relationships/hyperlink" Target="http://gmoinfo.jrc.ec.europa.eu/" TargetMode="External"/><Relationship Id="rId245" Type="http://schemas.openxmlformats.org/officeDocument/2006/relationships/image" Target="media/image142.png"/><Relationship Id="rId266" Type="http://schemas.openxmlformats.org/officeDocument/2006/relationships/hyperlink" Target="https://sl.wikipedia.org/wiki/Zemeljski_plaz_Sto%C5%BEe_pod_Mangartom" TargetMode="External"/><Relationship Id="rId287" Type="http://schemas.openxmlformats.org/officeDocument/2006/relationships/image" Target="media/image153.png"/><Relationship Id="rId30" Type="http://schemas.openxmlformats.org/officeDocument/2006/relationships/hyperlink" Target="http://www.mzz.gov.si/si/zunanja_politika_in_mednarodno_pravo/globalni_izzivi/trajnostni_razvoj/" TargetMode="External"/><Relationship Id="rId105" Type="http://schemas.openxmlformats.org/officeDocument/2006/relationships/image" Target="media/image62.png"/><Relationship Id="rId126" Type="http://schemas.openxmlformats.org/officeDocument/2006/relationships/hyperlink" Target="http://www.uradni-list.si/1/objava.jsp?sop=2014-01-3642" TargetMode="External"/><Relationship Id="rId147" Type="http://schemas.openxmlformats.org/officeDocument/2006/relationships/image" Target="media/image80.png"/><Relationship Id="rId168" Type="http://schemas.openxmlformats.org/officeDocument/2006/relationships/image" Target="media/image99.png"/><Relationship Id="rId312" Type="http://schemas.openxmlformats.org/officeDocument/2006/relationships/hyperlink" Target="http://kazalci.arso.gov.si/?data=indicator&amp;ind_id=707" TargetMode="External"/><Relationship Id="rId333" Type="http://schemas.openxmlformats.org/officeDocument/2006/relationships/hyperlink" Target="http://www.nijz.si/sl/ocena-vpliva-onesnazenosti-zraka-z-delci-pm25-na-smrtnost-v-krajih-s-prekomerno-onesnazenim-zrakom" TargetMode="External"/><Relationship Id="rId51" Type="http://schemas.openxmlformats.org/officeDocument/2006/relationships/image" Target="media/image27.png"/><Relationship Id="rId72" Type="http://schemas.openxmlformats.org/officeDocument/2006/relationships/image" Target="media/image45.png"/><Relationship Id="rId93" Type="http://schemas.openxmlformats.org/officeDocument/2006/relationships/hyperlink" Target="http://kazalci.arso.gov.si/?data=indicator&amp;ind_id=711" TargetMode="External"/><Relationship Id="rId189" Type="http://schemas.openxmlformats.org/officeDocument/2006/relationships/image" Target="media/image117.png"/><Relationship Id="rId3" Type="http://schemas.openxmlformats.org/officeDocument/2006/relationships/styles" Target="styles.xml"/><Relationship Id="rId214" Type="http://schemas.openxmlformats.org/officeDocument/2006/relationships/chart" Target="charts/chart2.xml"/><Relationship Id="rId235" Type="http://schemas.openxmlformats.org/officeDocument/2006/relationships/hyperlink" Target="http://www.ki.si/novice/" TargetMode="External"/><Relationship Id="rId256" Type="http://schemas.openxmlformats.org/officeDocument/2006/relationships/hyperlink" Target="https://sl.wikipedia.org/w/index.php?title=Ilovica&amp;action=edit&amp;redlink=1" TargetMode="External"/><Relationship Id="rId277" Type="http://schemas.openxmlformats.org/officeDocument/2006/relationships/hyperlink" Target="https://sl.wikipedia.org/w/index.php?title=Rebernice&amp;action=edit&amp;redlink=1" TargetMode="External"/><Relationship Id="rId298" Type="http://schemas.openxmlformats.org/officeDocument/2006/relationships/hyperlink" Target="http://www.bioimpulse.eu/sl/" TargetMode="External"/><Relationship Id="rId116" Type="http://schemas.openxmlformats.org/officeDocument/2006/relationships/image" Target="media/image65.png"/><Relationship Id="rId137" Type="http://schemas.openxmlformats.org/officeDocument/2006/relationships/hyperlink" Target="http://www.uradni-list.si/1/objava.jsp?sop=2016-01-2518" TargetMode="External"/><Relationship Id="rId158" Type="http://schemas.openxmlformats.org/officeDocument/2006/relationships/image" Target="media/image89.png"/><Relationship Id="rId302" Type="http://schemas.openxmlformats.org/officeDocument/2006/relationships/hyperlink" Target="http://www.slovenija-co2.si/upload/SLO-CO2_Katalog_dobrih_praks_2015.pdf" TargetMode="External"/><Relationship Id="rId323" Type="http://schemas.openxmlformats.org/officeDocument/2006/relationships/image" Target="media/image167.png"/><Relationship Id="rId344" Type="http://schemas.openxmlformats.org/officeDocument/2006/relationships/image" Target="media/image170.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notes.xml.rels><?xml version="1.0" encoding="UTF-8" standalone="yes"?>
<Relationships xmlns="http://schemas.openxmlformats.org/package/2006/relationships"><Relationship Id="rId8" Type="http://schemas.openxmlformats.org/officeDocument/2006/relationships/hyperlink" Target="http://www.svrk.gov.si/fileadmin/svrk.gov.si/pageuploads/Dokumenti_za_objavo_na_vstopni_strani/S4_dokument_potrjeno_na_VRS_150920.pdf" TargetMode="External"/><Relationship Id="rId13" Type="http://schemas.openxmlformats.org/officeDocument/2006/relationships/hyperlink" Target="http://www.mko.gov.si/fileadmin/mko.gov.si/pageuploads/podrocja/voda/predhodna_ocena_poplavne_ogrozenosti.pdf" TargetMode="External"/><Relationship Id="rId18" Type="http://schemas.openxmlformats.org/officeDocument/2006/relationships/hyperlink" Target="http://www.vlada.si/delo_vlade/gradiva_v_obravnavi/gradivo_v_obravnavi/?tx_govpapers_pi1%5bsingle%5d=%2FMANDAT14%2FVLADNAGRADIVA.NSF%2F18a6b9887c33a0bdc12570e50034eb54%2F9c8344c750161d23c1257e03004a6935%3FOpenDocument&amp;cHash=1eaad496d6aac819cbd8f85acad323f3%5b21" TargetMode="External"/><Relationship Id="rId26" Type="http://schemas.openxmlformats.org/officeDocument/2006/relationships/hyperlink" Target="http://www.mop.gov.si/fileadmin/mop.gov.si/pageuploads/podrocja/voda/nzpo/NZPO_SLO_2015_12_08.pdf" TargetMode="External"/><Relationship Id="rId3" Type="http://schemas.openxmlformats.org/officeDocument/2006/relationships/hyperlink" Target="http://www.eu-skladi.si/kohezija-do-2013/ostalo/operativni-programi/op-2014-2020-december-konni" TargetMode="External"/><Relationship Id="rId21" Type="http://schemas.openxmlformats.org/officeDocument/2006/relationships/hyperlink" Target="http://www.mop.gov.si/fileadmin/mop.gov.si/pageuploads/podrocja/voda/predhodna_ocena_poplavne_ogrozenosti.pdf" TargetMode="External"/><Relationship Id="rId7" Type="http://schemas.openxmlformats.org/officeDocument/2006/relationships/hyperlink" Target="http://www.mop.gov.si/fileadmin/mop.gov.si/pageuploads/pomembni_dokumenti/opzg_akcijski_nacrt_in_nacrt_aktivnosti.pdf" TargetMode="External"/><Relationship Id="rId12" Type="http://schemas.openxmlformats.org/officeDocument/2006/relationships/hyperlink" Target="http://www.ipcc&#8208;nggip.iges.or.jp/public/2006gl/" TargetMode="External"/><Relationship Id="rId17" Type="http://schemas.openxmlformats.org/officeDocument/2006/relationships/hyperlink" Target="http://www.ess.gov.si/_files/5734/Sklep_Vlade_zled.pdf" TargetMode="External"/><Relationship Id="rId25" Type="http://schemas.openxmlformats.org/officeDocument/2006/relationships/hyperlink" Target="http://www.mop.gov.si/fileadmin/mop.gov.si/pageuploads/podrocja/voda/04_karta_kriterij_okolje.pdf" TargetMode="External"/><Relationship Id="rId2" Type="http://schemas.openxmlformats.org/officeDocument/2006/relationships/hyperlink" Target="http://www.eu-skladi.si/kohezija-do-2013/2014-2020/partnerski-sporazum-med-republiko-slovenijo-in-evropsko-komisijo" TargetMode="External"/><Relationship Id="rId16" Type="http://schemas.openxmlformats.org/officeDocument/2006/relationships/hyperlink" Target="http://www.ess.gov.si/_files/5734/Sklep_Vlade_zled.pdf" TargetMode="External"/><Relationship Id="rId20" Type="http://schemas.openxmlformats.org/officeDocument/2006/relationships/hyperlink" Target="http://www.arso.gov.si/vode/poro%C4%8Dila%20in%20publikacije/Poplave%205.%20-%206.%20november%202012.pdf" TargetMode="External"/><Relationship Id="rId29" Type="http://schemas.openxmlformats.org/officeDocument/2006/relationships/hyperlink" Target="http://www.mss.gov.si/fileadmin/mss.gov.si/pageuploads/podrocje/razvoj_solstva/trajnostni_razvoj/trajnostni_smernice_VITR.doc" TargetMode="External"/><Relationship Id="rId1" Type="http://schemas.openxmlformats.org/officeDocument/2006/relationships/hyperlink" Target="http://www.umanotera.org/publikacija/agenda-21-za-slovenijo-prispevek-nevladnih-organizacij/" TargetMode="External"/><Relationship Id="rId6" Type="http://schemas.openxmlformats.org/officeDocument/2006/relationships/hyperlink" Target="http://www.mop.gov.si/si/medijsko_sredisce/novica/browse/4/article/12447/6066/570ae0d4ae014ee5bbe6c801b4493721/" TargetMode="External"/><Relationship Id="rId11" Type="http://schemas.openxmlformats.org/officeDocument/2006/relationships/hyperlink" Target="http://cdr.eionet.europa.eu/si/eu/mmr/art07_inventory/ghg_inventory/envv2ezfg/SVN_2016_2014_13062016_144354_submitted.xlsx/manage_document" TargetMode="External"/><Relationship Id="rId24" Type="http://schemas.openxmlformats.org/officeDocument/2006/relationships/hyperlink" Target="http://www.mop.gov.si/fileadmin/mop.gov.si/pageuploads/podrocja/voda/03_karta_kriterij_kulturna_dediscina.pdf" TargetMode="External"/><Relationship Id="rId5" Type="http://schemas.openxmlformats.org/officeDocument/2006/relationships/hyperlink" Target="http://www.esdw.eu" TargetMode="External"/><Relationship Id="rId15" Type="http://schemas.openxmlformats.org/officeDocument/2006/relationships/hyperlink" Target="http://www.ess.gov.si/_files/5734/Sklep_Vlade_zled.pdf" TargetMode="External"/><Relationship Id="rId23" Type="http://schemas.openxmlformats.org/officeDocument/2006/relationships/hyperlink" Target="http://www.mop.gov.si/fileadmin/mop.gov.si/pageuploads/podrocja/voda/02_karta_kriterij_gospodarske_dejavnosti.pdf" TargetMode="External"/><Relationship Id="rId28" Type="http://schemas.openxmlformats.org/officeDocument/2006/relationships/hyperlink" Target="http://evode.arso.gov.si/" TargetMode="External"/><Relationship Id="rId10" Type="http://schemas.openxmlformats.org/officeDocument/2006/relationships/hyperlink" Target="http://ec.europa.eu/COMMFrontOffice/PublicOpinion/index.cfm/Survey/getSurveyDetail/instruments/FLASH/surveyKy/2088" TargetMode="External"/><Relationship Id="rId19" Type="http://schemas.openxmlformats.org/officeDocument/2006/relationships/hyperlink" Target="http://www.arso.gov.si/vode/poro%C4%8Dila%20in%20publikacije/Poplave%2017.%20-%2021.%20september%202010.pdf" TargetMode="External"/><Relationship Id="rId4" Type="http://schemas.openxmlformats.org/officeDocument/2006/relationships/hyperlink" Target="http://www.program-podezelja.si/sl/" TargetMode="External"/><Relationship Id="rId9" Type="http://schemas.openxmlformats.org/officeDocument/2006/relationships/hyperlink" Target="http://www.mgrt.gov.si/fileadmin/mgrt.gov.si/pageuploads/DPK/SIP/SIP_-_vladni_dokument.pdf" TargetMode="External"/><Relationship Id="rId14" Type="http://schemas.openxmlformats.org/officeDocument/2006/relationships/hyperlink" Target="http://www.ess.gov.si/_files/5734/Sklep_Vlade_zled.pdf%20%5b21" TargetMode="External"/><Relationship Id="rId22" Type="http://schemas.openxmlformats.org/officeDocument/2006/relationships/hyperlink" Target="http://www.mop.gov.si/fileadmin/mop.gov.si/pageuploads/podrocja/voda/01_karta_kriterij_zdravje_ljudi.pdf" TargetMode="External"/><Relationship Id="rId27" Type="http://schemas.openxmlformats.org/officeDocument/2006/relationships/hyperlink" Target="http://www.uradni-list.si/1/content?id=88381" TargetMode="External"/><Relationship Id="rId30" Type="http://schemas.openxmlformats.org/officeDocument/2006/relationships/hyperlink" Target="http://www.unece.org/?id=24444"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N:\Skupni\PredlogeMKO\MOP.dot" TargetMode="Externa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mop.sigov.si\dfs\Grupe\okolje\okolje\BIOTEHNOLOGIJA\1%20-%20NACIONALNO\1-%20ODDELEK%20ZA%20BIOTEHNOLOGIJO\OKOLJSKO%20POROCILO%202016\Slike\ZS+SO.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mop.sigov.si\dfs\Grupe\okolje\okolje\BIOTEHNOLOGIJA\1%20-%20NACIONALNO\1-%20ODDELEK%20ZA%20BIOTEHNOLOGIJO\OKOLJSKO%20POROCILO%202016\Slike\ZS+SO.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mop.sigov.si\dfs\Grupe\okolje\okolje\BIOTEHNOLOGIJA\1%20-%20NACIONALNO\1-%20ODDELEK%20ZA%20BIOTEHNOLOGIJO\OKOLJSKO%20POROCILO%202016\Slike\ZS+SO.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mop.sigov.si\dfs\Grupe\okolje\okolje\BIOTEHNOLOGIJA\1%20-%20NACIONALNO\1-%20ODDELEK%20ZA%20BIOTEHNOLOGIJO\OKOLJSKO%20POROCILO%202016\Slike\ZS+SO.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mop.sigov.si\dfs\Grupe\okolje\okolje\BIOTEHNOLOGIJA\1%20-%20NACIONALNO\1-%20ODDELEK%20ZA%20BIOTEHNOLOGIJO\OKOLJSKO%20POROCILO%202016\Slike\ZS+SO.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mop.sigov.si\dfs\Grupe\okolje\okolje\BIOTEHNOLOGIJA\1%20-%20NACIONALNO\1-%20ODDELEK%20ZA%20BIOTEHNOLOGIJO\OKOLJSKO%20POROCILO%202016\Slike\ZS+SO.xlsx" TargetMode="External"/><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i="1"/>
            </a:pPr>
            <a:r>
              <a:rPr lang="sl-SI" sz="1000" i="1"/>
              <a:t>ZAPRTI SISTEMI  ZA DELO Z GSO</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'ZS+DzGSO'!$K$4</c:f>
              <c:strCache>
                <c:ptCount val="1"/>
                <c:pt idx="0">
                  <c:v>Število zaprtih sistemov</c:v>
                </c:pt>
              </c:strCache>
            </c:strRef>
          </c:tx>
          <c:invertIfNegative val="0"/>
          <c:dPt>
            <c:idx val="0"/>
            <c:invertIfNegative val="0"/>
            <c:bubble3D val="0"/>
            <c:spPr>
              <a:solidFill>
                <a:srgbClr val="7030A0"/>
              </a:solidFill>
            </c:spPr>
          </c:dPt>
          <c:dPt>
            <c:idx val="1"/>
            <c:invertIfNegative val="0"/>
            <c:bubble3D val="0"/>
            <c:spPr>
              <a:solidFill>
                <a:srgbClr val="00B0F0"/>
              </a:solidFill>
            </c:spPr>
          </c:dPt>
          <c:dPt>
            <c:idx val="2"/>
            <c:invertIfNegative val="0"/>
            <c:bubble3D val="0"/>
            <c:spPr>
              <a:solidFill>
                <a:srgbClr val="00B050"/>
              </a:solidFill>
            </c:spPr>
          </c:dPt>
          <c:dPt>
            <c:idx val="3"/>
            <c:invertIfNegative val="0"/>
            <c:bubble3D val="0"/>
            <c:spPr>
              <a:solidFill>
                <a:schemeClr val="accent1">
                  <a:lumMod val="60000"/>
                  <a:lumOff val="40000"/>
                </a:schemeClr>
              </a:solidFill>
            </c:spPr>
          </c:dPt>
          <c:dPt>
            <c:idx val="4"/>
            <c:invertIfNegative val="0"/>
            <c:bubble3D val="0"/>
            <c:spPr>
              <a:solidFill>
                <a:srgbClr val="FF0000"/>
              </a:solidFill>
            </c:spPr>
          </c:dPt>
          <c:dLbls>
            <c:spPr>
              <a:noFill/>
              <a:ln>
                <a:noFill/>
              </a:ln>
              <a:effectLst/>
            </c:spPr>
            <c:txPr>
              <a:bodyPr/>
              <a:lstStyle/>
              <a:p>
                <a:pPr>
                  <a:defRPr sz="600"/>
                </a:pPr>
                <a:endParaRPr lang="sl-SI"/>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'ZS+DzGSO'!$J$5:$J$9</c:f>
              <c:strCache>
                <c:ptCount val="5"/>
                <c:pt idx="0">
                  <c:v>Univerze</c:v>
                </c:pt>
                <c:pt idx="1">
                  <c:v>Inštituti</c:v>
                </c:pt>
                <c:pt idx="2">
                  <c:v>Podjetja</c:v>
                </c:pt>
                <c:pt idx="3">
                  <c:v>Sole</c:v>
                </c:pt>
                <c:pt idx="4">
                  <c:v>SKUPAJ</c:v>
                </c:pt>
              </c:strCache>
            </c:strRef>
          </c:cat>
          <c:val>
            <c:numRef>
              <c:f>'ZS+DzGSO'!$K$5:$K$9</c:f>
              <c:numCache>
                <c:formatCode>General</c:formatCode>
                <c:ptCount val="5"/>
                <c:pt idx="0">
                  <c:v>26</c:v>
                </c:pt>
                <c:pt idx="1">
                  <c:v>26</c:v>
                </c:pt>
                <c:pt idx="2">
                  <c:v>13</c:v>
                </c:pt>
                <c:pt idx="3">
                  <c:v>1</c:v>
                </c:pt>
                <c:pt idx="4">
                  <c:v>66</c:v>
                </c:pt>
              </c:numCache>
            </c:numRef>
          </c:val>
        </c:ser>
        <c:dLbls>
          <c:showLegendKey val="0"/>
          <c:showVal val="0"/>
          <c:showCatName val="0"/>
          <c:showSerName val="0"/>
          <c:showPercent val="0"/>
          <c:showBubbleSize val="0"/>
        </c:dLbls>
        <c:gapWidth val="150"/>
        <c:shape val="box"/>
        <c:axId val="474936512"/>
        <c:axId val="474931024"/>
        <c:axId val="0"/>
      </c:bar3DChart>
      <c:catAx>
        <c:axId val="474936512"/>
        <c:scaling>
          <c:orientation val="minMax"/>
        </c:scaling>
        <c:delete val="0"/>
        <c:axPos val="b"/>
        <c:title>
          <c:tx>
            <c:rich>
              <a:bodyPr/>
              <a:lstStyle/>
              <a:p>
                <a:pPr>
                  <a:defRPr sz="800"/>
                </a:pPr>
                <a:r>
                  <a:rPr lang="sl-SI" sz="800"/>
                  <a:t>INSTITUCIJE</a:t>
                </a:r>
              </a:p>
            </c:rich>
          </c:tx>
          <c:overlay val="0"/>
        </c:title>
        <c:numFmt formatCode="General" sourceLinked="0"/>
        <c:majorTickMark val="none"/>
        <c:minorTickMark val="none"/>
        <c:tickLblPos val="nextTo"/>
        <c:txPr>
          <a:bodyPr/>
          <a:lstStyle/>
          <a:p>
            <a:pPr>
              <a:defRPr sz="600"/>
            </a:pPr>
            <a:endParaRPr lang="sl-SI"/>
          </a:p>
        </c:txPr>
        <c:crossAx val="474931024"/>
        <c:crosses val="autoZero"/>
        <c:auto val="1"/>
        <c:lblAlgn val="ctr"/>
        <c:lblOffset val="100"/>
        <c:noMultiLvlLbl val="0"/>
      </c:catAx>
      <c:valAx>
        <c:axId val="474931024"/>
        <c:scaling>
          <c:orientation val="minMax"/>
        </c:scaling>
        <c:delete val="0"/>
        <c:axPos val="l"/>
        <c:majorGridlines/>
        <c:title>
          <c:tx>
            <c:rich>
              <a:bodyPr/>
              <a:lstStyle/>
              <a:p>
                <a:pPr>
                  <a:defRPr sz="800"/>
                </a:pPr>
                <a:r>
                  <a:rPr lang="sl-SI" sz="800"/>
                  <a:t>ŠTEVILO ZAPRTIH</a:t>
                </a:r>
                <a:r>
                  <a:rPr lang="sl-SI" sz="800" baseline="0"/>
                  <a:t> SISTEMIOV ZA DELO Z GSO</a:t>
                </a:r>
                <a:endParaRPr lang="sl-SI" sz="800"/>
              </a:p>
            </c:rich>
          </c:tx>
          <c:overlay val="0"/>
        </c:title>
        <c:numFmt formatCode="General" sourceLinked="1"/>
        <c:majorTickMark val="out"/>
        <c:minorTickMark val="none"/>
        <c:tickLblPos val="nextTo"/>
        <c:txPr>
          <a:bodyPr/>
          <a:lstStyle/>
          <a:p>
            <a:pPr>
              <a:defRPr sz="600"/>
            </a:pPr>
            <a:endParaRPr lang="sl-SI"/>
          </a:p>
        </c:txPr>
        <c:crossAx val="474936512"/>
        <c:crosses val="autoZero"/>
        <c:crossBetween val="between"/>
      </c:valAx>
    </c:plotArea>
    <c:legend>
      <c:legendPos val="r"/>
      <c:overlay val="0"/>
      <c:txPr>
        <a:bodyPr/>
        <a:lstStyle/>
        <a:p>
          <a:pPr>
            <a:defRPr sz="600"/>
          </a:pPr>
          <a:endParaRPr lang="sl-SI"/>
        </a:p>
      </c:txPr>
    </c:legend>
    <c:plotVisOnly val="1"/>
    <c:dispBlanksAs val="gap"/>
    <c:showDLblsOverMax val="0"/>
  </c:chart>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pPr>
            <a:r>
              <a:rPr lang="sl-SI" sz="1000"/>
              <a:t>VARNOSTNI RAZREDI ZAPRTIH SISTEMOV ZA DELO Z GSO</a:t>
            </a:r>
          </a:p>
        </c:rich>
      </c:tx>
      <c:overlay val="0"/>
    </c:title>
    <c:autoTitleDeleted val="0"/>
    <c:view3D>
      <c:rotX val="15"/>
      <c:rotY val="20"/>
      <c:rAngAx val="1"/>
    </c:view3D>
    <c:floor>
      <c:thickness val="0"/>
    </c:floor>
    <c:sideWall>
      <c:thickness val="0"/>
    </c:sideWall>
    <c:backWall>
      <c:thickness val="0"/>
    </c:backWall>
    <c:plotArea>
      <c:layout/>
      <c:bar3DChart>
        <c:barDir val="bar"/>
        <c:grouping val="stacked"/>
        <c:varyColors val="0"/>
        <c:ser>
          <c:idx val="0"/>
          <c:order val="0"/>
          <c:tx>
            <c:strRef>
              <c:f>'ZS+DzGSO'!$O$4</c:f>
              <c:strCache>
                <c:ptCount val="1"/>
                <c:pt idx="0">
                  <c:v>I.VR</c:v>
                </c:pt>
              </c:strCache>
            </c:strRef>
          </c:tx>
          <c:spPr>
            <a:solidFill>
              <a:srgbClr val="00B0F0"/>
            </a:solidFill>
          </c:spPr>
          <c:invertIfNegative val="0"/>
          <c:dLbls>
            <c:spPr>
              <a:noFill/>
              <a:ln>
                <a:noFill/>
              </a:ln>
              <a:effectLst/>
            </c:spPr>
            <c:txPr>
              <a:bodyPr/>
              <a:lstStyle/>
              <a:p>
                <a:pPr>
                  <a:defRPr sz="600"/>
                </a:pPr>
                <a:endParaRPr lang="sl-SI"/>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'ZS+DzGSO'!$N$5:$N$9</c:f>
              <c:strCache>
                <c:ptCount val="5"/>
                <c:pt idx="0">
                  <c:v>Univerze</c:v>
                </c:pt>
                <c:pt idx="1">
                  <c:v>Inštituti</c:v>
                </c:pt>
                <c:pt idx="2">
                  <c:v>Podjetja</c:v>
                </c:pt>
                <c:pt idx="3">
                  <c:v>Sole</c:v>
                </c:pt>
                <c:pt idx="4">
                  <c:v>SKUPAJ</c:v>
                </c:pt>
              </c:strCache>
            </c:strRef>
          </c:cat>
          <c:val>
            <c:numRef>
              <c:f>'ZS+DzGSO'!$O$5:$O$9</c:f>
              <c:numCache>
                <c:formatCode>General</c:formatCode>
                <c:ptCount val="5"/>
                <c:pt idx="0">
                  <c:v>25</c:v>
                </c:pt>
                <c:pt idx="1">
                  <c:v>17</c:v>
                </c:pt>
                <c:pt idx="2">
                  <c:v>11</c:v>
                </c:pt>
                <c:pt idx="3">
                  <c:v>1</c:v>
                </c:pt>
                <c:pt idx="4">
                  <c:v>54</c:v>
                </c:pt>
              </c:numCache>
            </c:numRef>
          </c:val>
        </c:ser>
        <c:ser>
          <c:idx val="1"/>
          <c:order val="1"/>
          <c:tx>
            <c:strRef>
              <c:f>'ZS+DzGSO'!$P$4</c:f>
              <c:strCache>
                <c:ptCount val="1"/>
                <c:pt idx="0">
                  <c:v>II.VR</c:v>
                </c:pt>
              </c:strCache>
            </c:strRef>
          </c:tx>
          <c:spPr>
            <a:solidFill>
              <a:srgbClr val="FF0000"/>
            </a:solidFill>
          </c:spPr>
          <c:invertIfNegative val="0"/>
          <c:dLbls>
            <c:spPr>
              <a:noFill/>
              <a:ln>
                <a:noFill/>
              </a:ln>
              <a:effectLst/>
            </c:spPr>
            <c:txPr>
              <a:bodyPr/>
              <a:lstStyle/>
              <a:p>
                <a:pPr>
                  <a:defRPr sz="600"/>
                </a:pPr>
                <a:endParaRPr lang="sl-SI"/>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'ZS+DzGSO'!$N$5:$N$9</c:f>
              <c:strCache>
                <c:ptCount val="5"/>
                <c:pt idx="0">
                  <c:v>Univerze</c:v>
                </c:pt>
                <c:pt idx="1">
                  <c:v>Inštituti</c:v>
                </c:pt>
                <c:pt idx="2">
                  <c:v>Podjetja</c:v>
                </c:pt>
                <c:pt idx="3">
                  <c:v>Sole</c:v>
                </c:pt>
                <c:pt idx="4">
                  <c:v>SKUPAJ</c:v>
                </c:pt>
              </c:strCache>
            </c:strRef>
          </c:cat>
          <c:val>
            <c:numRef>
              <c:f>'ZS+DzGSO'!$P$5:$P$9</c:f>
              <c:numCache>
                <c:formatCode>General</c:formatCode>
                <c:ptCount val="5"/>
                <c:pt idx="0">
                  <c:v>1</c:v>
                </c:pt>
                <c:pt idx="1">
                  <c:v>9</c:v>
                </c:pt>
                <c:pt idx="2">
                  <c:v>2</c:v>
                </c:pt>
                <c:pt idx="3">
                  <c:v>0</c:v>
                </c:pt>
                <c:pt idx="4">
                  <c:v>12</c:v>
                </c:pt>
              </c:numCache>
            </c:numRef>
          </c:val>
        </c:ser>
        <c:dLbls>
          <c:showLegendKey val="0"/>
          <c:showVal val="0"/>
          <c:showCatName val="0"/>
          <c:showSerName val="0"/>
          <c:showPercent val="0"/>
          <c:showBubbleSize val="0"/>
        </c:dLbls>
        <c:gapWidth val="150"/>
        <c:shape val="cylinder"/>
        <c:axId val="474935336"/>
        <c:axId val="474929064"/>
        <c:axId val="0"/>
      </c:bar3DChart>
      <c:catAx>
        <c:axId val="474935336"/>
        <c:scaling>
          <c:orientation val="minMax"/>
        </c:scaling>
        <c:delete val="0"/>
        <c:axPos val="l"/>
        <c:title>
          <c:tx>
            <c:rich>
              <a:bodyPr/>
              <a:lstStyle/>
              <a:p>
                <a:pPr>
                  <a:defRPr sz="800"/>
                </a:pPr>
                <a:r>
                  <a:rPr lang="sl-SI" sz="800"/>
                  <a:t>INSTITUCIJE</a:t>
                </a:r>
              </a:p>
            </c:rich>
          </c:tx>
          <c:overlay val="0"/>
        </c:title>
        <c:numFmt formatCode="General" sourceLinked="0"/>
        <c:majorTickMark val="none"/>
        <c:minorTickMark val="none"/>
        <c:tickLblPos val="nextTo"/>
        <c:txPr>
          <a:bodyPr/>
          <a:lstStyle/>
          <a:p>
            <a:pPr>
              <a:defRPr sz="600"/>
            </a:pPr>
            <a:endParaRPr lang="sl-SI"/>
          </a:p>
        </c:txPr>
        <c:crossAx val="474929064"/>
        <c:crosses val="autoZero"/>
        <c:auto val="1"/>
        <c:lblAlgn val="ctr"/>
        <c:lblOffset val="100"/>
        <c:noMultiLvlLbl val="0"/>
      </c:catAx>
      <c:valAx>
        <c:axId val="474929064"/>
        <c:scaling>
          <c:orientation val="minMax"/>
        </c:scaling>
        <c:delete val="0"/>
        <c:axPos val="b"/>
        <c:majorGridlines/>
        <c:title>
          <c:tx>
            <c:rich>
              <a:bodyPr/>
              <a:lstStyle/>
              <a:p>
                <a:pPr>
                  <a:defRPr sz="800"/>
                </a:pPr>
                <a:r>
                  <a:rPr lang="sl-SI" sz="800"/>
                  <a:t>ŠTEVILO ZAPRTIH SISTEMOV ZA DELO Z GSO V VARNOSTNEM RAZREDU</a:t>
                </a:r>
              </a:p>
            </c:rich>
          </c:tx>
          <c:overlay val="0"/>
        </c:title>
        <c:numFmt formatCode="General" sourceLinked="1"/>
        <c:majorTickMark val="out"/>
        <c:minorTickMark val="none"/>
        <c:tickLblPos val="nextTo"/>
        <c:txPr>
          <a:bodyPr/>
          <a:lstStyle/>
          <a:p>
            <a:pPr>
              <a:defRPr sz="600"/>
            </a:pPr>
            <a:endParaRPr lang="sl-SI"/>
          </a:p>
        </c:txPr>
        <c:crossAx val="474935336"/>
        <c:crosses val="autoZero"/>
        <c:crossBetween val="between"/>
      </c:valAx>
    </c:plotArea>
    <c:legend>
      <c:legendPos val="r"/>
      <c:overlay val="0"/>
      <c:txPr>
        <a:bodyPr/>
        <a:lstStyle/>
        <a:p>
          <a:pPr>
            <a:defRPr sz="600"/>
          </a:pPr>
          <a:endParaRPr lang="sl-SI"/>
        </a:p>
      </c:txPr>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pPr>
            <a:r>
              <a:rPr lang="sl-SI" sz="1000"/>
              <a:t>DELO Z </a:t>
            </a:r>
            <a:r>
              <a:rPr lang="en-US" sz="1000"/>
              <a:t>GSO</a:t>
            </a:r>
            <a:r>
              <a:rPr lang="sl-SI" sz="1000"/>
              <a:t> V ZAPRTIH SISTEMIH</a:t>
            </a:r>
            <a:endParaRPr lang="en-US" sz="1000"/>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'ZS+DzGSO'!$K$30</c:f>
              <c:strCache>
                <c:ptCount val="1"/>
                <c:pt idx="0">
                  <c:v>DELO Z GSO</c:v>
                </c:pt>
              </c:strCache>
            </c:strRef>
          </c:tx>
          <c:invertIfNegative val="0"/>
          <c:dPt>
            <c:idx val="0"/>
            <c:invertIfNegative val="0"/>
            <c:bubble3D val="0"/>
            <c:spPr>
              <a:solidFill>
                <a:srgbClr val="7030A0"/>
              </a:solidFill>
            </c:spPr>
          </c:dPt>
          <c:dPt>
            <c:idx val="1"/>
            <c:invertIfNegative val="0"/>
            <c:bubble3D val="0"/>
            <c:spPr>
              <a:solidFill>
                <a:srgbClr val="00B0F0"/>
              </a:solidFill>
            </c:spPr>
          </c:dPt>
          <c:dPt>
            <c:idx val="2"/>
            <c:invertIfNegative val="0"/>
            <c:bubble3D val="0"/>
            <c:spPr>
              <a:solidFill>
                <a:srgbClr val="00B050"/>
              </a:solidFill>
            </c:spPr>
          </c:dPt>
          <c:dPt>
            <c:idx val="3"/>
            <c:invertIfNegative val="0"/>
            <c:bubble3D val="0"/>
            <c:spPr>
              <a:solidFill>
                <a:schemeClr val="bg1">
                  <a:lumMod val="75000"/>
                </a:schemeClr>
              </a:solidFill>
            </c:spPr>
          </c:dPt>
          <c:dPt>
            <c:idx val="4"/>
            <c:invertIfNegative val="0"/>
            <c:bubble3D val="0"/>
            <c:spPr>
              <a:solidFill>
                <a:srgbClr val="FF0000"/>
              </a:solidFill>
            </c:spPr>
          </c:dPt>
          <c:dLbls>
            <c:spPr>
              <a:noFill/>
              <a:ln>
                <a:noFill/>
              </a:ln>
              <a:effectLst/>
            </c:spPr>
            <c:txPr>
              <a:bodyPr/>
              <a:lstStyle/>
              <a:p>
                <a:pPr>
                  <a:defRPr sz="600"/>
                </a:pPr>
                <a:endParaRPr lang="sl-SI"/>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'ZS+DzGSO'!$J$31:$J$35</c:f>
              <c:strCache>
                <c:ptCount val="5"/>
                <c:pt idx="0">
                  <c:v>Univerze</c:v>
                </c:pt>
                <c:pt idx="1">
                  <c:v>Inštituti</c:v>
                </c:pt>
                <c:pt idx="2">
                  <c:v>Podjetja</c:v>
                </c:pt>
                <c:pt idx="3">
                  <c:v>Sole</c:v>
                </c:pt>
                <c:pt idx="4">
                  <c:v>SKUPAJ</c:v>
                </c:pt>
              </c:strCache>
            </c:strRef>
          </c:cat>
          <c:val>
            <c:numRef>
              <c:f>'ZS+DzGSO'!$K$31:$K$35</c:f>
              <c:numCache>
                <c:formatCode>General</c:formatCode>
                <c:ptCount val="5"/>
                <c:pt idx="0">
                  <c:v>28</c:v>
                </c:pt>
                <c:pt idx="1">
                  <c:v>32</c:v>
                </c:pt>
                <c:pt idx="2">
                  <c:v>20</c:v>
                </c:pt>
                <c:pt idx="3">
                  <c:v>0</c:v>
                </c:pt>
                <c:pt idx="4">
                  <c:v>80</c:v>
                </c:pt>
              </c:numCache>
            </c:numRef>
          </c:val>
        </c:ser>
        <c:dLbls>
          <c:showLegendKey val="0"/>
          <c:showVal val="0"/>
          <c:showCatName val="0"/>
          <c:showSerName val="0"/>
          <c:showPercent val="0"/>
          <c:showBubbleSize val="0"/>
        </c:dLbls>
        <c:gapWidth val="150"/>
        <c:shape val="box"/>
        <c:axId val="474929848"/>
        <c:axId val="474930240"/>
        <c:axId val="0"/>
      </c:bar3DChart>
      <c:catAx>
        <c:axId val="474929848"/>
        <c:scaling>
          <c:orientation val="minMax"/>
        </c:scaling>
        <c:delete val="0"/>
        <c:axPos val="b"/>
        <c:title>
          <c:tx>
            <c:rich>
              <a:bodyPr/>
              <a:lstStyle/>
              <a:p>
                <a:pPr>
                  <a:defRPr sz="800"/>
                </a:pPr>
                <a:r>
                  <a:rPr lang="sl-SI" sz="800"/>
                  <a:t>INSTITUCIJE</a:t>
                </a:r>
              </a:p>
            </c:rich>
          </c:tx>
          <c:overlay val="0"/>
        </c:title>
        <c:numFmt formatCode="General" sourceLinked="0"/>
        <c:majorTickMark val="none"/>
        <c:minorTickMark val="none"/>
        <c:tickLblPos val="nextTo"/>
        <c:txPr>
          <a:bodyPr/>
          <a:lstStyle/>
          <a:p>
            <a:pPr>
              <a:defRPr sz="800"/>
            </a:pPr>
            <a:endParaRPr lang="sl-SI"/>
          </a:p>
        </c:txPr>
        <c:crossAx val="474930240"/>
        <c:crosses val="autoZero"/>
        <c:auto val="1"/>
        <c:lblAlgn val="ctr"/>
        <c:lblOffset val="100"/>
        <c:noMultiLvlLbl val="0"/>
      </c:catAx>
      <c:valAx>
        <c:axId val="474930240"/>
        <c:scaling>
          <c:orientation val="minMax"/>
        </c:scaling>
        <c:delete val="0"/>
        <c:axPos val="l"/>
        <c:majorGridlines/>
        <c:title>
          <c:tx>
            <c:rich>
              <a:bodyPr/>
              <a:lstStyle/>
              <a:p>
                <a:pPr>
                  <a:defRPr sz="800"/>
                </a:pPr>
                <a:r>
                  <a:rPr lang="sl-SI" sz="800"/>
                  <a:t>ŠTEVILO</a:t>
                </a:r>
                <a:r>
                  <a:rPr lang="sl-SI" sz="800" baseline="0"/>
                  <a:t> DEL Z GSO V ZAPRTIH SISTEMIH</a:t>
                </a:r>
                <a:endParaRPr lang="sl-SI" sz="800"/>
              </a:p>
            </c:rich>
          </c:tx>
          <c:overlay val="0"/>
        </c:title>
        <c:numFmt formatCode="General" sourceLinked="1"/>
        <c:majorTickMark val="out"/>
        <c:minorTickMark val="none"/>
        <c:tickLblPos val="nextTo"/>
        <c:crossAx val="474929848"/>
        <c:crosses val="autoZero"/>
        <c:crossBetween val="between"/>
      </c:valAx>
    </c:plotArea>
    <c:legend>
      <c:legendPos val="r"/>
      <c:overlay val="0"/>
      <c:txPr>
        <a:bodyPr/>
        <a:lstStyle/>
        <a:p>
          <a:pPr>
            <a:defRPr sz="600"/>
          </a:pPr>
          <a:endParaRPr lang="sl-SI"/>
        </a:p>
      </c:txPr>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pPr>
            <a:r>
              <a:rPr lang="sl-SI" sz="1000"/>
              <a:t>VARNOSTNI RAZRED DELA Z GSO V ZAPRTEM SISTEMU</a:t>
            </a:r>
          </a:p>
        </c:rich>
      </c:tx>
      <c:overlay val="0"/>
    </c:title>
    <c:autoTitleDeleted val="0"/>
    <c:view3D>
      <c:rotX val="15"/>
      <c:rotY val="20"/>
      <c:rAngAx val="1"/>
    </c:view3D>
    <c:floor>
      <c:thickness val="0"/>
    </c:floor>
    <c:sideWall>
      <c:thickness val="0"/>
    </c:sideWall>
    <c:backWall>
      <c:thickness val="0"/>
    </c:backWall>
    <c:plotArea>
      <c:layout/>
      <c:bar3DChart>
        <c:barDir val="bar"/>
        <c:grouping val="stacked"/>
        <c:varyColors val="0"/>
        <c:ser>
          <c:idx val="0"/>
          <c:order val="0"/>
          <c:tx>
            <c:strRef>
              <c:f>'ZS+DzGSO'!$O$30</c:f>
              <c:strCache>
                <c:ptCount val="1"/>
                <c:pt idx="0">
                  <c:v>DELO I. VR</c:v>
                </c:pt>
              </c:strCache>
            </c:strRef>
          </c:tx>
          <c:spPr>
            <a:solidFill>
              <a:schemeClr val="tx2">
                <a:lumMod val="40000"/>
                <a:lumOff val="60000"/>
              </a:schemeClr>
            </a:solidFill>
          </c:spPr>
          <c:invertIfNegative val="0"/>
          <c:dLbls>
            <c:spPr>
              <a:noFill/>
              <a:ln>
                <a:noFill/>
              </a:ln>
              <a:effectLst/>
            </c:spPr>
            <c:txPr>
              <a:bodyPr/>
              <a:lstStyle/>
              <a:p>
                <a:pPr>
                  <a:defRPr sz="600"/>
                </a:pPr>
                <a:endParaRPr lang="sl-SI"/>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'ZS+DzGSO'!$N$31:$N$35</c:f>
              <c:strCache>
                <c:ptCount val="5"/>
                <c:pt idx="0">
                  <c:v>Univerze</c:v>
                </c:pt>
                <c:pt idx="1">
                  <c:v>Inštituti</c:v>
                </c:pt>
                <c:pt idx="2">
                  <c:v>Podjetja</c:v>
                </c:pt>
                <c:pt idx="3">
                  <c:v>Sole</c:v>
                </c:pt>
                <c:pt idx="4">
                  <c:v>SKUPAJ</c:v>
                </c:pt>
              </c:strCache>
            </c:strRef>
          </c:cat>
          <c:val>
            <c:numRef>
              <c:f>'ZS+DzGSO'!$O$31:$O$35</c:f>
              <c:numCache>
                <c:formatCode>General</c:formatCode>
                <c:ptCount val="5"/>
                <c:pt idx="0">
                  <c:v>25</c:v>
                </c:pt>
                <c:pt idx="1">
                  <c:v>17</c:v>
                </c:pt>
                <c:pt idx="2">
                  <c:v>11</c:v>
                </c:pt>
                <c:pt idx="3">
                  <c:v>1</c:v>
                </c:pt>
                <c:pt idx="4">
                  <c:v>54</c:v>
                </c:pt>
              </c:numCache>
            </c:numRef>
          </c:val>
        </c:ser>
        <c:ser>
          <c:idx val="1"/>
          <c:order val="1"/>
          <c:tx>
            <c:strRef>
              <c:f>'ZS+DzGSO'!$P$30</c:f>
              <c:strCache>
                <c:ptCount val="1"/>
                <c:pt idx="0">
                  <c:v>DELO II. VR</c:v>
                </c:pt>
              </c:strCache>
            </c:strRef>
          </c:tx>
          <c:spPr>
            <a:solidFill>
              <a:srgbClr val="FF0000"/>
            </a:solidFill>
          </c:spPr>
          <c:invertIfNegative val="0"/>
          <c:dLbls>
            <c:spPr>
              <a:noFill/>
              <a:ln>
                <a:noFill/>
              </a:ln>
              <a:effectLst/>
            </c:spPr>
            <c:txPr>
              <a:bodyPr/>
              <a:lstStyle/>
              <a:p>
                <a:pPr>
                  <a:defRPr sz="600"/>
                </a:pPr>
                <a:endParaRPr lang="sl-SI"/>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'ZS+DzGSO'!$N$31:$N$35</c:f>
              <c:strCache>
                <c:ptCount val="5"/>
                <c:pt idx="0">
                  <c:v>Univerze</c:v>
                </c:pt>
                <c:pt idx="1">
                  <c:v>Inštituti</c:v>
                </c:pt>
                <c:pt idx="2">
                  <c:v>Podjetja</c:v>
                </c:pt>
                <c:pt idx="3">
                  <c:v>Sole</c:v>
                </c:pt>
                <c:pt idx="4">
                  <c:v>SKUPAJ</c:v>
                </c:pt>
              </c:strCache>
            </c:strRef>
          </c:cat>
          <c:val>
            <c:numRef>
              <c:f>'ZS+DzGSO'!$P$31:$P$35</c:f>
              <c:numCache>
                <c:formatCode>General</c:formatCode>
                <c:ptCount val="5"/>
                <c:pt idx="0">
                  <c:v>3</c:v>
                </c:pt>
                <c:pt idx="1">
                  <c:v>14</c:v>
                </c:pt>
                <c:pt idx="2">
                  <c:v>9</c:v>
                </c:pt>
                <c:pt idx="3">
                  <c:v>0</c:v>
                </c:pt>
                <c:pt idx="4">
                  <c:v>26</c:v>
                </c:pt>
              </c:numCache>
            </c:numRef>
          </c:val>
        </c:ser>
        <c:dLbls>
          <c:showLegendKey val="0"/>
          <c:showVal val="0"/>
          <c:showCatName val="0"/>
          <c:showSerName val="0"/>
          <c:showPercent val="0"/>
          <c:showBubbleSize val="0"/>
        </c:dLbls>
        <c:gapWidth val="150"/>
        <c:shape val="cylinder"/>
        <c:axId val="474931808"/>
        <c:axId val="474932200"/>
        <c:axId val="0"/>
      </c:bar3DChart>
      <c:catAx>
        <c:axId val="474931808"/>
        <c:scaling>
          <c:orientation val="minMax"/>
        </c:scaling>
        <c:delete val="0"/>
        <c:axPos val="l"/>
        <c:title>
          <c:tx>
            <c:rich>
              <a:bodyPr/>
              <a:lstStyle/>
              <a:p>
                <a:pPr>
                  <a:defRPr sz="800"/>
                </a:pPr>
                <a:r>
                  <a:rPr lang="sl-SI" sz="800"/>
                  <a:t>INSITUCIJE</a:t>
                </a:r>
              </a:p>
            </c:rich>
          </c:tx>
          <c:overlay val="0"/>
        </c:title>
        <c:numFmt formatCode="General" sourceLinked="0"/>
        <c:majorTickMark val="none"/>
        <c:minorTickMark val="none"/>
        <c:tickLblPos val="nextTo"/>
        <c:txPr>
          <a:bodyPr/>
          <a:lstStyle/>
          <a:p>
            <a:pPr>
              <a:defRPr sz="600"/>
            </a:pPr>
            <a:endParaRPr lang="sl-SI"/>
          </a:p>
        </c:txPr>
        <c:crossAx val="474932200"/>
        <c:crosses val="autoZero"/>
        <c:auto val="1"/>
        <c:lblAlgn val="ctr"/>
        <c:lblOffset val="100"/>
        <c:noMultiLvlLbl val="0"/>
      </c:catAx>
      <c:valAx>
        <c:axId val="474932200"/>
        <c:scaling>
          <c:orientation val="minMax"/>
        </c:scaling>
        <c:delete val="0"/>
        <c:axPos val="b"/>
        <c:majorGridlines/>
        <c:title>
          <c:tx>
            <c:rich>
              <a:bodyPr/>
              <a:lstStyle/>
              <a:p>
                <a:pPr>
                  <a:defRPr sz="800"/>
                </a:pPr>
                <a:r>
                  <a:rPr lang="sl-SI" sz="800"/>
                  <a:t>ŠTEVILO DEL Z GSO</a:t>
                </a:r>
                <a:r>
                  <a:rPr lang="sl-SI" sz="800" baseline="0"/>
                  <a:t> V VARNOSTNEM RAZREDU</a:t>
                </a:r>
                <a:endParaRPr lang="sl-SI" sz="800"/>
              </a:p>
            </c:rich>
          </c:tx>
          <c:overlay val="0"/>
        </c:title>
        <c:numFmt formatCode="General" sourceLinked="1"/>
        <c:majorTickMark val="out"/>
        <c:minorTickMark val="none"/>
        <c:tickLblPos val="nextTo"/>
        <c:txPr>
          <a:bodyPr/>
          <a:lstStyle/>
          <a:p>
            <a:pPr>
              <a:defRPr sz="600"/>
            </a:pPr>
            <a:endParaRPr lang="sl-SI"/>
          </a:p>
        </c:txPr>
        <c:crossAx val="474931808"/>
        <c:crosses val="autoZero"/>
        <c:crossBetween val="between"/>
      </c:valAx>
    </c:plotArea>
    <c:legend>
      <c:legendPos val="r"/>
      <c:overlay val="0"/>
      <c:txPr>
        <a:bodyPr/>
        <a:lstStyle/>
        <a:p>
          <a:pPr>
            <a:defRPr sz="600"/>
          </a:pPr>
          <a:endParaRPr lang="sl-SI"/>
        </a:p>
      </c:txPr>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pPr>
            <a:r>
              <a:rPr lang="sl-SI" sz="1000"/>
              <a:t>Namerno sproščanje</a:t>
            </a:r>
            <a:r>
              <a:rPr lang="sl-SI" sz="1000" baseline="0"/>
              <a:t> GSO v okolje v poskusne namene v državah EU v obdobju 2006-2016</a:t>
            </a:r>
            <a:endParaRPr lang="sl-SI" sz="1000"/>
          </a:p>
        </c:rich>
      </c:tx>
      <c:overlay val="0"/>
    </c:title>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spPr>
            <a:solidFill>
              <a:srgbClr val="00B0F0"/>
            </a:solidFill>
          </c:spPr>
          <c:invertIfNegative val="0"/>
          <c:dPt>
            <c:idx val="0"/>
            <c:invertIfNegative val="0"/>
            <c:bubble3D val="0"/>
            <c:spPr>
              <a:solidFill>
                <a:srgbClr val="00B0F0"/>
              </a:solidFill>
              <a:ln>
                <a:solidFill>
                  <a:schemeClr val="accent1"/>
                </a:solidFill>
              </a:ln>
            </c:spPr>
          </c:dPt>
          <c:dLbls>
            <c:dLbl>
              <c:idx val="0"/>
              <c:layout>
                <c:manualLayout>
                  <c:x val="9.852216748768473E-3"/>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nchor="t" anchorCtr="0"/>
              <a:lstStyle/>
              <a:p>
                <a:pPr>
                  <a:defRPr sz="600"/>
                </a:pPr>
                <a:endParaRPr lang="sl-SI"/>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JRC!$P$66:$P$93</c:f>
              <c:strCache>
                <c:ptCount val="28"/>
                <c:pt idx="0">
                  <c:v>ES</c:v>
                </c:pt>
                <c:pt idx="1">
                  <c:v>DE</c:v>
                </c:pt>
                <c:pt idx="2">
                  <c:v>RO</c:v>
                </c:pt>
                <c:pt idx="3">
                  <c:v>FR</c:v>
                </c:pt>
                <c:pt idx="4">
                  <c:v>SE</c:v>
                </c:pt>
                <c:pt idx="5">
                  <c:v>NL</c:v>
                </c:pt>
                <c:pt idx="6">
                  <c:v>HU</c:v>
                </c:pt>
                <c:pt idx="7">
                  <c:v>CZ</c:v>
                </c:pt>
                <c:pt idx="8">
                  <c:v>UK</c:v>
                </c:pt>
                <c:pt idx="9">
                  <c:v>BE</c:v>
                </c:pt>
                <c:pt idx="10">
                  <c:v>PL</c:v>
                </c:pt>
                <c:pt idx="11">
                  <c:v>DK</c:v>
                </c:pt>
                <c:pt idx="12">
                  <c:v>SK</c:v>
                </c:pt>
                <c:pt idx="13">
                  <c:v>PT</c:v>
                </c:pt>
                <c:pt idx="14">
                  <c:v>IE</c:v>
                </c:pt>
                <c:pt idx="15">
                  <c:v>FI</c:v>
                </c:pt>
                <c:pt idx="16">
                  <c:v>IT</c:v>
                </c:pt>
                <c:pt idx="17">
                  <c:v>LT</c:v>
                </c:pt>
                <c:pt idx="18">
                  <c:v>SI</c:v>
                </c:pt>
                <c:pt idx="19">
                  <c:v>EE</c:v>
                </c:pt>
                <c:pt idx="20">
                  <c:v>AT</c:v>
                </c:pt>
                <c:pt idx="21">
                  <c:v>BG</c:v>
                </c:pt>
                <c:pt idx="22">
                  <c:v>CY</c:v>
                </c:pt>
                <c:pt idx="23">
                  <c:v>HR</c:v>
                </c:pt>
                <c:pt idx="24">
                  <c:v>EL</c:v>
                </c:pt>
                <c:pt idx="25">
                  <c:v>LV</c:v>
                </c:pt>
                <c:pt idx="26">
                  <c:v>LU</c:v>
                </c:pt>
                <c:pt idx="27">
                  <c:v>MT</c:v>
                </c:pt>
              </c:strCache>
            </c:strRef>
          </c:cat>
          <c:val>
            <c:numRef>
              <c:f>JRC!$Q$66:$Q$93</c:f>
              <c:numCache>
                <c:formatCode>General</c:formatCode>
                <c:ptCount val="28"/>
                <c:pt idx="0">
                  <c:v>362</c:v>
                </c:pt>
                <c:pt idx="1">
                  <c:v>73</c:v>
                </c:pt>
                <c:pt idx="2">
                  <c:v>58</c:v>
                </c:pt>
                <c:pt idx="3">
                  <c:v>53</c:v>
                </c:pt>
                <c:pt idx="4">
                  <c:v>53</c:v>
                </c:pt>
                <c:pt idx="5">
                  <c:v>51</c:v>
                </c:pt>
                <c:pt idx="6">
                  <c:v>29</c:v>
                </c:pt>
                <c:pt idx="7">
                  <c:v>30</c:v>
                </c:pt>
                <c:pt idx="8">
                  <c:v>19</c:v>
                </c:pt>
                <c:pt idx="9">
                  <c:v>15</c:v>
                </c:pt>
                <c:pt idx="10">
                  <c:v>15</c:v>
                </c:pt>
                <c:pt idx="11">
                  <c:v>16</c:v>
                </c:pt>
                <c:pt idx="12">
                  <c:v>16</c:v>
                </c:pt>
                <c:pt idx="13">
                  <c:v>13</c:v>
                </c:pt>
                <c:pt idx="14">
                  <c:v>8</c:v>
                </c:pt>
                <c:pt idx="15">
                  <c:v>6</c:v>
                </c:pt>
                <c:pt idx="16">
                  <c:v>3</c:v>
                </c:pt>
                <c:pt idx="17">
                  <c:v>2</c:v>
                </c:pt>
                <c:pt idx="18">
                  <c:v>2</c:v>
                </c:pt>
                <c:pt idx="19">
                  <c:v>1</c:v>
                </c:pt>
                <c:pt idx="20">
                  <c:v>0</c:v>
                </c:pt>
                <c:pt idx="21">
                  <c:v>0</c:v>
                </c:pt>
                <c:pt idx="22">
                  <c:v>0</c:v>
                </c:pt>
                <c:pt idx="23">
                  <c:v>0</c:v>
                </c:pt>
                <c:pt idx="24">
                  <c:v>0</c:v>
                </c:pt>
                <c:pt idx="25">
                  <c:v>0</c:v>
                </c:pt>
                <c:pt idx="26">
                  <c:v>0</c:v>
                </c:pt>
                <c:pt idx="27">
                  <c:v>0</c:v>
                </c:pt>
              </c:numCache>
            </c:numRef>
          </c:val>
        </c:ser>
        <c:dLbls>
          <c:showLegendKey val="0"/>
          <c:showVal val="1"/>
          <c:showCatName val="0"/>
          <c:showSerName val="0"/>
          <c:showPercent val="0"/>
          <c:showBubbleSize val="0"/>
        </c:dLbls>
        <c:gapWidth val="0"/>
        <c:gapDepth val="0"/>
        <c:shape val="cylinder"/>
        <c:axId val="474932984"/>
        <c:axId val="474933768"/>
        <c:axId val="0"/>
      </c:bar3DChart>
      <c:catAx>
        <c:axId val="474932984"/>
        <c:scaling>
          <c:orientation val="minMax"/>
        </c:scaling>
        <c:delete val="0"/>
        <c:axPos val="b"/>
        <c:title>
          <c:tx>
            <c:rich>
              <a:bodyPr/>
              <a:lstStyle/>
              <a:p>
                <a:pPr>
                  <a:defRPr sz="800"/>
                </a:pPr>
                <a:r>
                  <a:rPr lang="sl-SI" sz="800"/>
                  <a:t>Države članice EU</a:t>
                </a:r>
              </a:p>
            </c:rich>
          </c:tx>
          <c:overlay val="0"/>
        </c:title>
        <c:numFmt formatCode="General" sourceLinked="0"/>
        <c:majorTickMark val="none"/>
        <c:minorTickMark val="none"/>
        <c:tickLblPos val="nextTo"/>
        <c:txPr>
          <a:bodyPr/>
          <a:lstStyle/>
          <a:p>
            <a:pPr>
              <a:defRPr sz="600"/>
            </a:pPr>
            <a:endParaRPr lang="sl-SI"/>
          </a:p>
        </c:txPr>
        <c:crossAx val="474933768"/>
        <c:crosses val="autoZero"/>
        <c:auto val="1"/>
        <c:lblAlgn val="ctr"/>
        <c:lblOffset val="100"/>
        <c:noMultiLvlLbl val="0"/>
      </c:catAx>
      <c:valAx>
        <c:axId val="474933768"/>
        <c:scaling>
          <c:orientation val="minMax"/>
        </c:scaling>
        <c:delete val="0"/>
        <c:axPos val="l"/>
        <c:title>
          <c:tx>
            <c:rich>
              <a:bodyPr/>
              <a:lstStyle/>
              <a:p>
                <a:pPr>
                  <a:defRPr sz="800"/>
                </a:pPr>
                <a:r>
                  <a:rPr lang="sl-SI" sz="800"/>
                  <a:t>Število namernih sproščanj</a:t>
                </a:r>
                <a:r>
                  <a:rPr lang="sl-SI" sz="800" baseline="0"/>
                  <a:t> GSO v okolje v eksperimentalne namene</a:t>
                </a:r>
                <a:endParaRPr lang="sl-SI" sz="800"/>
              </a:p>
            </c:rich>
          </c:tx>
          <c:overlay val="0"/>
        </c:title>
        <c:numFmt formatCode="General" sourceLinked="1"/>
        <c:majorTickMark val="out"/>
        <c:minorTickMark val="none"/>
        <c:tickLblPos val="nextTo"/>
        <c:txPr>
          <a:bodyPr/>
          <a:lstStyle/>
          <a:p>
            <a:pPr>
              <a:defRPr sz="600"/>
            </a:pPr>
            <a:endParaRPr lang="sl-SI"/>
          </a:p>
        </c:txPr>
        <c:crossAx val="474932984"/>
        <c:crosses val="autoZero"/>
        <c:crossBetween val="between"/>
      </c:valAx>
    </c:plotArea>
    <c:plotVisOnly val="1"/>
    <c:dispBlanksAs val="gap"/>
    <c:showDLblsOverMax val="0"/>
  </c:chart>
  <c:externalData r:id="rId2">
    <c:autoUpdate val="0"/>
  </c:externalData>
  <c:userShapes r:id="rId3"/>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pPr>
            <a:r>
              <a:rPr lang="sl-SI" sz="1000"/>
              <a:t>Namerno sproščanje GSO v okolje v poskusne namene</a:t>
            </a:r>
          </a:p>
        </c:rich>
      </c:tx>
      <c:overlay val="0"/>
    </c:title>
    <c:autoTitleDeleted val="0"/>
    <c:view3D>
      <c:rotX val="15"/>
      <c:rotY val="20"/>
      <c:rAngAx val="0"/>
    </c:view3D>
    <c:floor>
      <c:thickness val="0"/>
    </c:floor>
    <c:sideWall>
      <c:thickness val="0"/>
    </c:sideWall>
    <c:backWall>
      <c:thickness val="0"/>
    </c:backWall>
    <c:plotArea>
      <c:layout/>
      <c:bar3DChart>
        <c:barDir val="col"/>
        <c:grouping val="standard"/>
        <c:varyColors val="0"/>
        <c:ser>
          <c:idx val="0"/>
          <c:order val="0"/>
          <c:tx>
            <c:strRef>
              <c:f>JRC!$B$97</c:f>
              <c:strCache>
                <c:ptCount val="1"/>
                <c:pt idx="0">
                  <c:v>2016</c:v>
                </c:pt>
              </c:strCache>
            </c:strRef>
          </c:tx>
          <c:invertIfNegative val="0"/>
          <c:cat>
            <c:strRef>
              <c:f>JRC!$A$98:$A$125</c:f>
              <c:strCache>
                <c:ptCount val="28"/>
                <c:pt idx="0">
                  <c:v>ES</c:v>
                </c:pt>
                <c:pt idx="1">
                  <c:v>DE</c:v>
                </c:pt>
                <c:pt idx="2">
                  <c:v>FR</c:v>
                </c:pt>
                <c:pt idx="3">
                  <c:v>SE</c:v>
                </c:pt>
                <c:pt idx="4">
                  <c:v>NL</c:v>
                </c:pt>
                <c:pt idx="5">
                  <c:v>RO</c:v>
                </c:pt>
                <c:pt idx="6">
                  <c:v>HU</c:v>
                </c:pt>
                <c:pt idx="7">
                  <c:v>CZ</c:v>
                </c:pt>
                <c:pt idx="8">
                  <c:v>UK</c:v>
                </c:pt>
                <c:pt idx="9">
                  <c:v>BE</c:v>
                </c:pt>
                <c:pt idx="10">
                  <c:v>PL</c:v>
                </c:pt>
                <c:pt idx="11">
                  <c:v>DK</c:v>
                </c:pt>
                <c:pt idx="12">
                  <c:v>PT</c:v>
                </c:pt>
                <c:pt idx="13">
                  <c:v>SK</c:v>
                </c:pt>
                <c:pt idx="14">
                  <c:v>IT</c:v>
                </c:pt>
                <c:pt idx="15">
                  <c:v>FI</c:v>
                </c:pt>
                <c:pt idx="16">
                  <c:v>IE</c:v>
                </c:pt>
                <c:pt idx="17">
                  <c:v>LT</c:v>
                </c:pt>
                <c:pt idx="18">
                  <c:v>SI</c:v>
                </c:pt>
                <c:pt idx="19">
                  <c:v>EE</c:v>
                </c:pt>
                <c:pt idx="20">
                  <c:v>AT</c:v>
                </c:pt>
                <c:pt idx="21">
                  <c:v>BG</c:v>
                </c:pt>
                <c:pt idx="22">
                  <c:v>CY</c:v>
                </c:pt>
                <c:pt idx="23">
                  <c:v>HR</c:v>
                </c:pt>
                <c:pt idx="24">
                  <c:v>EL</c:v>
                </c:pt>
                <c:pt idx="25">
                  <c:v>LV</c:v>
                </c:pt>
                <c:pt idx="26">
                  <c:v>LU</c:v>
                </c:pt>
                <c:pt idx="27">
                  <c:v>MT</c:v>
                </c:pt>
              </c:strCache>
            </c:strRef>
          </c:cat>
          <c:val>
            <c:numRef>
              <c:f>JRC!$B$98:$B$125</c:f>
              <c:numCache>
                <c:formatCode>General</c:formatCode>
                <c:ptCount val="28"/>
                <c:pt idx="0">
                  <c:v>5</c:v>
                </c:pt>
                <c:pt idx="1">
                  <c:v>5</c:v>
                </c:pt>
                <c:pt idx="2">
                  <c:v>1</c:v>
                </c:pt>
                <c:pt idx="3">
                  <c:v>3</c:v>
                </c:pt>
                <c:pt idx="4">
                  <c:v>2</c:v>
                </c:pt>
                <c:pt idx="6">
                  <c:v>1</c:v>
                </c:pt>
                <c:pt idx="7">
                  <c:v>2</c:v>
                </c:pt>
                <c:pt idx="8">
                  <c:v>3</c:v>
                </c:pt>
                <c:pt idx="9">
                  <c:v>0</c:v>
                </c:pt>
                <c:pt idx="10">
                  <c:v>0</c:v>
                </c:pt>
                <c:pt idx="11">
                  <c:v>0</c:v>
                </c:pt>
                <c:pt idx="12">
                  <c:v>2</c:v>
                </c:pt>
                <c:pt idx="13">
                  <c:v>0</c:v>
                </c:pt>
                <c:pt idx="14">
                  <c:v>1</c:v>
                </c:pt>
                <c:pt idx="15">
                  <c:v>0</c:v>
                </c:pt>
                <c:pt idx="16">
                  <c:v>0</c:v>
                </c:pt>
                <c:pt idx="17">
                  <c:v>0</c:v>
                </c:pt>
                <c:pt idx="18">
                  <c:v>0</c:v>
                </c:pt>
                <c:pt idx="19">
                  <c:v>0</c:v>
                </c:pt>
                <c:pt idx="20">
                  <c:v>0</c:v>
                </c:pt>
                <c:pt idx="21">
                  <c:v>0</c:v>
                </c:pt>
                <c:pt idx="22">
                  <c:v>0</c:v>
                </c:pt>
                <c:pt idx="23">
                  <c:v>0</c:v>
                </c:pt>
                <c:pt idx="24">
                  <c:v>0</c:v>
                </c:pt>
                <c:pt idx="25">
                  <c:v>0</c:v>
                </c:pt>
                <c:pt idx="26">
                  <c:v>0</c:v>
                </c:pt>
                <c:pt idx="27">
                  <c:v>0</c:v>
                </c:pt>
              </c:numCache>
            </c:numRef>
          </c:val>
        </c:ser>
        <c:ser>
          <c:idx val="1"/>
          <c:order val="1"/>
          <c:tx>
            <c:strRef>
              <c:f>JRC!$C$97</c:f>
              <c:strCache>
                <c:ptCount val="1"/>
                <c:pt idx="0">
                  <c:v>2015</c:v>
                </c:pt>
              </c:strCache>
            </c:strRef>
          </c:tx>
          <c:invertIfNegative val="0"/>
          <c:cat>
            <c:strRef>
              <c:f>JRC!$A$98:$A$125</c:f>
              <c:strCache>
                <c:ptCount val="28"/>
                <c:pt idx="0">
                  <c:v>ES</c:v>
                </c:pt>
                <c:pt idx="1">
                  <c:v>DE</c:v>
                </c:pt>
                <c:pt idx="2">
                  <c:v>FR</c:v>
                </c:pt>
                <c:pt idx="3">
                  <c:v>SE</c:v>
                </c:pt>
                <c:pt idx="4">
                  <c:v>NL</c:v>
                </c:pt>
                <c:pt idx="5">
                  <c:v>RO</c:v>
                </c:pt>
                <c:pt idx="6">
                  <c:v>HU</c:v>
                </c:pt>
                <c:pt idx="7">
                  <c:v>CZ</c:v>
                </c:pt>
                <c:pt idx="8">
                  <c:v>UK</c:v>
                </c:pt>
                <c:pt idx="9">
                  <c:v>BE</c:v>
                </c:pt>
                <c:pt idx="10">
                  <c:v>PL</c:v>
                </c:pt>
                <c:pt idx="11">
                  <c:v>DK</c:v>
                </c:pt>
                <c:pt idx="12">
                  <c:v>PT</c:v>
                </c:pt>
                <c:pt idx="13">
                  <c:v>SK</c:v>
                </c:pt>
                <c:pt idx="14">
                  <c:v>IT</c:v>
                </c:pt>
                <c:pt idx="15">
                  <c:v>FI</c:v>
                </c:pt>
                <c:pt idx="16">
                  <c:v>IE</c:v>
                </c:pt>
                <c:pt idx="17">
                  <c:v>LT</c:v>
                </c:pt>
                <c:pt idx="18">
                  <c:v>SI</c:v>
                </c:pt>
                <c:pt idx="19">
                  <c:v>EE</c:v>
                </c:pt>
                <c:pt idx="20">
                  <c:v>AT</c:v>
                </c:pt>
                <c:pt idx="21">
                  <c:v>BG</c:v>
                </c:pt>
                <c:pt idx="22">
                  <c:v>CY</c:v>
                </c:pt>
                <c:pt idx="23">
                  <c:v>HR</c:v>
                </c:pt>
                <c:pt idx="24">
                  <c:v>EL</c:v>
                </c:pt>
                <c:pt idx="25">
                  <c:v>LV</c:v>
                </c:pt>
                <c:pt idx="26">
                  <c:v>LU</c:v>
                </c:pt>
                <c:pt idx="27">
                  <c:v>MT</c:v>
                </c:pt>
              </c:strCache>
            </c:strRef>
          </c:cat>
          <c:val>
            <c:numRef>
              <c:f>JRC!$C$98:$C$125</c:f>
              <c:numCache>
                <c:formatCode>General</c:formatCode>
                <c:ptCount val="28"/>
                <c:pt idx="0">
                  <c:v>15</c:v>
                </c:pt>
                <c:pt idx="1">
                  <c:v>8</c:v>
                </c:pt>
                <c:pt idx="2">
                  <c:v>8</c:v>
                </c:pt>
                <c:pt idx="3">
                  <c:v>4</c:v>
                </c:pt>
                <c:pt idx="4">
                  <c:v>10</c:v>
                </c:pt>
                <c:pt idx="5">
                  <c:v>0</c:v>
                </c:pt>
                <c:pt idx="6">
                  <c:v>1</c:v>
                </c:pt>
                <c:pt idx="7">
                  <c:v>0</c:v>
                </c:pt>
                <c:pt idx="8">
                  <c:v>0</c:v>
                </c:pt>
                <c:pt idx="9">
                  <c:v>2</c:v>
                </c:pt>
                <c:pt idx="10">
                  <c:v>0</c:v>
                </c:pt>
                <c:pt idx="11">
                  <c:v>0</c:v>
                </c:pt>
                <c:pt idx="12">
                  <c:v>0</c:v>
                </c:pt>
                <c:pt idx="13">
                  <c:v>0</c:v>
                </c:pt>
                <c:pt idx="14">
                  <c:v>0</c:v>
                </c:pt>
                <c:pt idx="15">
                  <c:v>1</c:v>
                </c:pt>
                <c:pt idx="16">
                  <c:v>0</c:v>
                </c:pt>
                <c:pt idx="17">
                  <c:v>0</c:v>
                </c:pt>
                <c:pt idx="18">
                  <c:v>0</c:v>
                </c:pt>
                <c:pt idx="19">
                  <c:v>0</c:v>
                </c:pt>
                <c:pt idx="20">
                  <c:v>0</c:v>
                </c:pt>
                <c:pt idx="21">
                  <c:v>0</c:v>
                </c:pt>
                <c:pt idx="22">
                  <c:v>0</c:v>
                </c:pt>
                <c:pt idx="23">
                  <c:v>0</c:v>
                </c:pt>
                <c:pt idx="24">
                  <c:v>0</c:v>
                </c:pt>
                <c:pt idx="25">
                  <c:v>0</c:v>
                </c:pt>
                <c:pt idx="26">
                  <c:v>0</c:v>
                </c:pt>
                <c:pt idx="27">
                  <c:v>0</c:v>
                </c:pt>
              </c:numCache>
            </c:numRef>
          </c:val>
        </c:ser>
        <c:ser>
          <c:idx val="2"/>
          <c:order val="2"/>
          <c:tx>
            <c:strRef>
              <c:f>JRC!$D$97</c:f>
              <c:strCache>
                <c:ptCount val="1"/>
                <c:pt idx="0">
                  <c:v>2014</c:v>
                </c:pt>
              </c:strCache>
            </c:strRef>
          </c:tx>
          <c:invertIfNegative val="0"/>
          <c:cat>
            <c:strRef>
              <c:f>JRC!$A$98:$A$125</c:f>
              <c:strCache>
                <c:ptCount val="28"/>
                <c:pt idx="0">
                  <c:v>ES</c:v>
                </c:pt>
                <c:pt idx="1">
                  <c:v>DE</c:v>
                </c:pt>
                <c:pt idx="2">
                  <c:v>FR</c:v>
                </c:pt>
                <c:pt idx="3">
                  <c:v>SE</c:v>
                </c:pt>
                <c:pt idx="4">
                  <c:v>NL</c:v>
                </c:pt>
                <c:pt idx="5">
                  <c:v>RO</c:v>
                </c:pt>
                <c:pt idx="6">
                  <c:v>HU</c:v>
                </c:pt>
                <c:pt idx="7">
                  <c:v>CZ</c:v>
                </c:pt>
                <c:pt idx="8">
                  <c:v>UK</c:v>
                </c:pt>
                <c:pt idx="9">
                  <c:v>BE</c:v>
                </c:pt>
                <c:pt idx="10">
                  <c:v>PL</c:v>
                </c:pt>
                <c:pt idx="11">
                  <c:v>DK</c:v>
                </c:pt>
                <c:pt idx="12">
                  <c:v>PT</c:v>
                </c:pt>
                <c:pt idx="13">
                  <c:v>SK</c:v>
                </c:pt>
                <c:pt idx="14">
                  <c:v>IT</c:v>
                </c:pt>
                <c:pt idx="15">
                  <c:v>FI</c:v>
                </c:pt>
                <c:pt idx="16">
                  <c:v>IE</c:v>
                </c:pt>
                <c:pt idx="17">
                  <c:v>LT</c:v>
                </c:pt>
                <c:pt idx="18">
                  <c:v>SI</c:v>
                </c:pt>
                <c:pt idx="19">
                  <c:v>EE</c:v>
                </c:pt>
                <c:pt idx="20">
                  <c:v>AT</c:v>
                </c:pt>
                <c:pt idx="21">
                  <c:v>BG</c:v>
                </c:pt>
                <c:pt idx="22">
                  <c:v>CY</c:v>
                </c:pt>
                <c:pt idx="23">
                  <c:v>HR</c:v>
                </c:pt>
                <c:pt idx="24">
                  <c:v>EL</c:v>
                </c:pt>
                <c:pt idx="25">
                  <c:v>LV</c:v>
                </c:pt>
                <c:pt idx="26">
                  <c:v>LU</c:v>
                </c:pt>
                <c:pt idx="27">
                  <c:v>MT</c:v>
                </c:pt>
              </c:strCache>
            </c:strRef>
          </c:cat>
          <c:val>
            <c:numRef>
              <c:f>JRC!$D$98:$D$125</c:f>
              <c:numCache>
                <c:formatCode>General</c:formatCode>
                <c:ptCount val="28"/>
                <c:pt idx="0">
                  <c:v>9</c:v>
                </c:pt>
                <c:pt idx="1">
                  <c:v>5</c:v>
                </c:pt>
                <c:pt idx="2">
                  <c:v>0</c:v>
                </c:pt>
                <c:pt idx="3">
                  <c:v>6</c:v>
                </c:pt>
                <c:pt idx="4">
                  <c:v>3</c:v>
                </c:pt>
                <c:pt idx="5">
                  <c:v>0</c:v>
                </c:pt>
                <c:pt idx="6">
                  <c:v>1</c:v>
                </c:pt>
                <c:pt idx="7">
                  <c:v>1</c:v>
                </c:pt>
                <c:pt idx="8">
                  <c:v>1</c:v>
                </c:pt>
                <c:pt idx="9">
                  <c:v>2</c:v>
                </c:pt>
                <c:pt idx="10">
                  <c:v>1</c:v>
                </c:pt>
                <c:pt idx="11">
                  <c:v>0</c:v>
                </c:pt>
                <c:pt idx="12">
                  <c:v>0</c:v>
                </c:pt>
                <c:pt idx="13">
                  <c:v>0</c:v>
                </c:pt>
                <c:pt idx="14">
                  <c:v>0</c:v>
                </c:pt>
                <c:pt idx="15">
                  <c:v>0</c:v>
                </c:pt>
                <c:pt idx="16">
                  <c:v>2</c:v>
                </c:pt>
                <c:pt idx="17">
                  <c:v>0</c:v>
                </c:pt>
                <c:pt idx="18">
                  <c:v>1</c:v>
                </c:pt>
                <c:pt idx="19">
                  <c:v>0</c:v>
                </c:pt>
                <c:pt idx="20">
                  <c:v>0</c:v>
                </c:pt>
                <c:pt idx="21">
                  <c:v>0</c:v>
                </c:pt>
                <c:pt idx="22">
                  <c:v>0</c:v>
                </c:pt>
                <c:pt idx="23">
                  <c:v>0</c:v>
                </c:pt>
                <c:pt idx="24">
                  <c:v>0</c:v>
                </c:pt>
                <c:pt idx="25">
                  <c:v>0</c:v>
                </c:pt>
                <c:pt idx="26">
                  <c:v>0</c:v>
                </c:pt>
                <c:pt idx="27">
                  <c:v>0</c:v>
                </c:pt>
              </c:numCache>
            </c:numRef>
          </c:val>
        </c:ser>
        <c:ser>
          <c:idx val="3"/>
          <c:order val="3"/>
          <c:tx>
            <c:strRef>
              <c:f>JRC!$E$97</c:f>
              <c:strCache>
                <c:ptCount val="1"/>
                <c:pt idx="0">
                  <c:v>2013</c:v>
                </c:pt>
              </c:strCache>
            </c:strRef>
          </c:tx>
          <c:invertIfNegative val="0"/>
          <c:cat>
            <c:strRef>
              <c:f>JRC!$A$98:$A$125</c:f>
              <c:strCache>
                <c:ptCount val="28"/>
                <c:pt idx="0">
                  <c:v>ES</c:v>
                </c:pt>
                <c:pt idx="1">
                  <c:v>DE</c:v>
                </c:pt>
                <c:pt idx="2">
                  <c:v>FR</c:v>
                </c:pt>
                <c:pt idx="3">
                  <c:v>SE</c:v>
                </c:pt>
                <c:pt idx="4">
                  <c:v>NL</c:v>
                </c:pt>
                <c:pt idx="5">
                  <c:v>RO</c:v>
                </c:pt>
                <c:pt idx="6">
                  <c:v>HU</c:v>
                </c:pt>
                <c:pt idx="7">
                  <c:v>CZ</c:v>
                </c:pt>
                <c:pt idx="8">
                  <c:v>UK</c:v>
                </c:pt>
                <c:pt idx="9">
                  <c:v>BE</c:v>
                </c:pt>
                <c:pt idx="10">
                  <c:v>PL</c:v>
                </c:pt>
                <c:pt idx="11">
                  <c:v>DK</c:v>
                </c:pt>
                <c:pt idx="12">
                  <c:v>PT</c:v>
                </c:pt>
                <c:pt idx="13">
                  <c:v>SK</c:v>
                </c:pt>
                <c:pt idx="14">
                  <c:v>IT</c:v>
                </c:pt>
                <c:pt idx="15">
                  <c:v>FI</c:v>
                </c:pt>
                <c:pt idx="16">
                  <c:v>IE</c:v>
                </c:pt>
                <c:pt idx="17">
                  <c:v>LT</c:v>
                </c:pt>
                <c:pt idx="18">
                  <c:v>SI</c:v>
                </c:pt>
                <c:pt idx="19">
                  <c:v>EE</c:v>
                </c:pt>
                <c:pt idx="20">
                  <c:v>AT</c:v>
                </c:pt>
                <c:pt idx="21">
                  <c:v>BG</c:v>
                </c:pt>
                <c:pt idx="22">
                  <c:v>CY</c:v>
                </c:pt>
                <c:pt idx="23">
                  <c:v>HR</c:v>
                </c:pt>
                <c:pt idx="24">
                  <c:v>EL</c:v>
                </c:pt>
                <c:pt idx="25">
                  <c:v>LV</c:v>
                </c:pt>
                <c:pt idx="26">
                  <c:v>LU</c:v>
                </c:pt>
                <c:pt idx="27">
                  <c:v>MT</c:v>
                </c:pt>
              </c:strCache>
            </c:strRef>
          </c:cat>
          <c:val>
            <c:numRef>
              <c:f>JRC!$E$98:$E$125</c:f>
              <c:numCache>
                <c:formatCode>General</c:formatCode>
                <c:ptCount val="28"/>
                <c:pt idx="0">
                  <c:v>19</c:v>
                </c:pt>
                <c:pt idx="1">
                  <c:v>2</c:v>
                </c:pt>
                <c:pt idx="2">
                  <c:v>7</c:v>
                </c:pt>
                <c:pt idx="3">
                  <c:v>1</c:v>
                </c:pt>
                <c:pt idx="4">
                  <c:v>1</c:v>
                </c:pt>
                <c:pt idx="5">
                  <c:v>1</c:v>
                </c:pt>
                <c:pt idx="6">
                  <c:v>1</c:v>
                </c:pt>
                <c:pt idx="7">
                  <c:v>1</c:v>
                </c:pt>
                <c:pt idx="8">
                  <c:v>2</c:v>
                </c:pt>
                <c:pt idx="9">
                  <c:v>1</c:v>
                </c:pt>
                <c:pt idx="10">
                  <c:v>1</c:v>
                </c:pt>
                <c:pt idx="11">
                  <c:v>0</c:v>
                </c:pt>
                <c:pt idx="12">
                  <c:v>0</c:v>
                </c:pt>
                <c:pt idx="13">
                  <c:v>1</c:v>
                </c:pt>
                <c:pt idx="14">
                  <c:v>0</c:v>
                </c:pt>
                <c:pt idx="15">
                  <c:v>1</c:v>
                </c:pt>
                <c:pt idx="16">
                  <c:v>1</c:v>
                </c:pt>
                <c:pt idx="17">
                  <c:v>0</c:v>
                </c:pt>
                <c:pt idx="18">
                  <c:v>0</c:v>
                </c:pt>
                <c:pt idx="19">
                  <c:v>0</c:v>
                </c:pt>
                <c:pt idx="20">
                  <c:v>0</c:v>
                </c:pt>
                <c:pt idx="21">
                  <c:v>0</c:v>
                </c:pt>
                <c:pt idx="22">
                  <c:v>0</c:v>
                </c:pt>
                <c:pt idx="23">
                  <c:v>0</c:v>
                </c:pt>
                <c:pt idx="24">
                  <c:v>0</c:v>
                </c:pt>
                <c:pt idx="25">
                  <c:v>0</c:v>
                </c:pt>
                <c:pt idx="26">
                  <c:v>0</c:v>
                </c:pt>
                <c:pt idx="27">
                  <c:v>0</c:v>
                </c:pt>
              </c:numCache>
            </c:numRef>
          </c:val>
        </c:ser>
        <c:ser>
          <c:idx val="4"/>
          <c:order val="4"/>
          <c:tx>
            <c:strRef>
              <c:f>JRC!$F$97</c:f>
              <c:strCache>
                <c:ptCount val="1"/>
                <c:pt idx="0">
                  <c:v>2012</c:v>
                </c:pt>
              </c:strCache>
            </c:strRef>
          </c:tx>
          <c:invertIfNegative val="0"/>
          <c:cat>
            <c:strRef>
              <c:f>JRC!$A$98:$A$125</c:f>
              <c:strCache>
                <c:ptCount val="28"/>
                <c:pt idx="0">
                  <c:v>ES</c:v>
                </c:pt>
                <c:pt idx="1">
                  <c:v>DE</c:v>
                </c:pt>
                <c:pt idx="2">
                  <c:v>FR</c:v>
                </c:pt>
                <c:pt idx="3">
                  <c:v>SE</c:v>
                </c:pt>
                <c:pt idx="4">
                  <c:v>NL</c:v>
                </c:pt>
                <c:pt idx="5">
                  <c:v>RO</c:v>
                </c:pt>
                <c:pt idx="6">
                  <c:v>HU</c:v>
                </c:pt>
                <c:pt idx="7">
                  <c:v>CZ</c:v>
                </c:pt>
                <c:pt idx="8">
                  <c:v>UK</c:v>
                </c:pt>
                <c:pt idx="9">
                  <c:v>BE</c:v>
                </c:pt>
                <c:pt idx="10">
                  <c:v>PL</c:v>
                </c:pt>
                <c:pt idx="11">
                  <c:v>DK</c:v>
                </c:pt>
                <c:pt idx="12">
                  <c:v>PT</c:v>
                </c:pt>
                <c:pt idx="13">
                  <c:v>SK</c:v>
                </c:pt>
                <c:pt idx="14">
                  <c:v>IT</c:v>
                </c:pt>
                <c:pt idx="15">
                  <c:v>FI</c:v>
                </c:pt>
                <c:pt idx="16">
                  <c:v>IE</c:v>
                </c:pt>
                <c:pt idx="17">
                  <c:v>LT</c:v>
                </c:pt>
                <c:pt idx="18">
                  <c:v>SI</c:v>
                </c:pt>
                <c:pt idx="19">
                  <c:v>EE</c:v>
                </c:pt>
                <c:pt idx="20">
                  <c:v>AT</c:v>
                </c:pt>
                <c:pt idx="21">
                  <c:v>BG</c:v>
                </c:pt>
                <c:pt idx="22">
                  <c:v>CY</c:v>
                </c:pt>
                <c:pt idx="23">
                  <c:v>HR</c:v>
                </c:pt>
                <c:pt idx="24">
                  <c:v>EL</c:v>
                </c:pt>
                <c:pt idx="25">
                  <c:v>LV</c:v>
                </c:pt>
                <c:pt idx="26">
                  <c:v>LU</c:v>
                </c:pt>
                <c:pt idx="27">
                  <c:v>MT</c:v>
                </c:pt>
              </c:strCache>
            </c:strRef>
          </c:cat>
          <c:val>
            <c:numRef>
              <c:f>JRC!$F$98:$F$125</c:f>
              <c:numCache>
                <c:formatCode>General</c:formatCode>
                <c:ptCount val="28"/>
                <c:pt idx="0">
                  <c:v>35</c:v>
                </c:pt>
                <c:pt idx="1">
                  <c:v>2</c:v>
                </c:pt>
                <c:pt idx="2">
                  <c:v>0</c:v>
                </c:pt>
                <c:pt idx="3">
                  <c:v>3</c:v>
                </c:pt>
                <c:pt idx="4">
                  <c:v>0</c:v>
                </c:pt>
                <c:pt idx="5">
                  <c:v>0</c:v>
                </c:pt>
                <c:pt idx="6">
                  <c:v>2</c:v>
                </c:pt>
                <c:pt idx="7">
                  <c:v>2</c:v>
                </c:pt>
                <c:pt idx="9">
                  <c:v>2</c:v>
                </c:pt>
                <c:pt idx="10">
                  <c:v>0</c:v>
                </c:pt>
                <c:pt idx="11">
                  <c:v>1</c:v>
                </c:pt>
                <c:pt idx="12">
                  <c:v>0</c:v>
                </c:pt>
                <c:pt idx="13">
                  <c:v>1</c:v>
                </c:pt>
                <c:pt idx="14">
                  <c:v>0</c:v>
                </c:pt>
                <c:pt idx="15">
                  <c:v>0</c:v>
                </c:pt>
                <c:pt idx="16">
                  <c:v>1</c:v>
                </c:pt>
                <c:pt idx="17">
                  <c:v>0</c:v>
                </c:pt>
                <c:pt idx="18">
                  <c:v>0</c:v>
                </c:pt>
                <c:pt idx="19">
                  <c:v>1</c:v>
                </c:pt>
                <c:pt idx="20">
                  <c:v>0</c:v>
                </c:pt>
                <c:pt idx="21">
                  <c:v>0</c:v>
                </c:pt>
                <c:pt idx="22">
                  <c:v>0</c:v>
                </c:pt>
                <c:pt idx="23">
                  <c:v>0</c:v>
                </c:pt>
                <c:pt idx="24">
                  <c:v>0</c:v>
                </c:pt>
                <c:pt idx="25">
                  <c:v>0</c:v>
                </c:pt>
                <c:pt idx="26">
                  <c:v>0</c:v>
                </c:pt>
                <c:pt idx="27">
                  <c:v>0</c:v>
                </c:pt>
              </c:numCache>
            </c:numRef>
          </c:val>
        </c:ser>
        <c:ser>
          <c:idx val="5"/>
          <c:order val="5"/>
          <c:tx>
            <c:strRef>
              <c:f>JRC!$G$97</c:f>
              <c:strCache>
                <c:ptCount val="1"/>
                <c:pt idx="0">
                  <c:v>2011</c:v>
                </c:pt>
              </c:strCache>
            </c:strRef>
          </c:tx>
          <c:invertIfNegative val="0"/>
          <c:cat>
            <c:strRef>
              <c:f>JRC!$A$98:$A$125</c:f>
              <c:strCache>
                <c:ptCount val="28"/>
                <c:pt idx="0">
                  <c:v>ES</c:v>
                </c:pt>
                <c:pt idx="1">
                  <c:v>DE</c:v>
                </c:pt>
                <c:pt idx="2">
                  <c:v>FR</c:v>
                </c:pt>
                <c:pt idx="3">
                  <c:v>SE</c:v>
                </c:pt>
                <c:pt idx="4">
                  <c:v>NL</c:v>
                </c:pt>
                <c:pt idx="5">
                  <c:v>RO</c:v>
                </c:pt>
                <c:pt idx="6">
                  <c:v>HU</c:v>
                </c:pt>
                <c:pt idx="7">
                  <c:v>CZ</c:v>
                </c:pt>
                <c:pt idx="8">
                  <c:v>UK</c:v>
                </c:pt>
                <c:pt idx="9">
                  <c:v>BE</c:v>
                </c:pt>
                <c:pt idx="10">
                  <c:v>PL</c:v>
                </c:pt>
                <c:pt idx="11">
                  <c:v>DK</c:v>
                </c:pt>
                <c:pt idx="12">
                  <c:v>PT</c:v>
                </c:pt>
                <c:pt idx="13">
                  <c:v>SK</c:v>
                </c:pt>
                <c:pt idx="14">
                  <c:v>IT</c:v>
                </c:pt>
                <c:pt idx="15">
                  <c:v>FI</c:v>
                </c:pt>
                <c:pt idx="16">
                  <c:v>IE</c:v>
                </c:pt>
                <c:pt idx="17">
                  <c:v>LT</c:v>
                </c:pt>
                <c:pt idx="18">
                  <c:v>SI</c:v>
                </c:pt>
                <c:pt idx="19">
                  <c:v>EE</c:v>
                </c:pt>
                <c:pt idx="20">
                  <c:v>AT</c:v>
                </c:pt>
                <c:pt idx="21">
                  <c:v>BG</c:v>
                </c:pt>
                <c:pt idx="22">
                  <c:v>CY</c:v>
                </c:pt>
                <c:pt idx="23">
                  <c:v>HR</c:v>
                </c:pt>
                <c:pt idx="24">
                  <c:v>EL</c:v>
                </c:pt>
                <c:pt idx="25">
                  <c:v>LV</c:v>
                </c:pt>
                <c:pt idx="26">
                  <c:v>LU</c:v>
                </c:pt>
                <c:pt idx="27">
                  <c:v>MT</c:v>
                </c:pt>
              </c:strCache>
            </c:strRef>
          </c:cat>
          <c:val>
            <c:numRef>
              <c:f>JRC!$G$98:$G$125</c:f>
              <c:numCache>
                <c:formatCode>General</c:formatCode>
                <c:ptCount val="28"/>
                <c:pt idx="0">
                  <c:v>28</c:v>
                </c:pt>
                <c:pt idx="1">
                  <c:v>10</c:v>
                </c:pt>
                <c:pt idx="2">
                  <c:v>0</c:v>
                </c:pt>
                <c:pt idx="3">
                  <c:v>8</c:v>
                </c:pt>
                <c:pt idx="4">
                  <c:v>4</c:v>
                </c:pt>
                <c:pt idx="5">
                  <c:v>5</c:v>
                </c:pt>
                <c:pt idx="6">
                  <c:v>1</c:v>
                </c:pt>
                <c:pt idx="7">
                  <c:v>4</c:v>
                </c:pt>
                <c:pt idx="8">
                  <c:v>3</c:v>
                </c:pt>
                <c:pt idx="9">
                  <c:v>1</c:v>
                </c:pt>
                <c:pt idx="10">
                  <c:v>2</c:v>
                </c:pt>
                <c:pt idx="11">
                  <c:v>2</c:v>
                </c:pt>
                <c:pt idx="12">
                  <c:v>0</c:v>
                </c:pt>
                <c:pt idx="13">
                  <c:v>2</c:v>
                </c:pt>
                <c:pt idx="14">
                  <c:v>0</c:v>
                </c:pt>
                <c:pt idx="15">
                  <c:v>0</c:v>
                </c:pt>
                <c:pt idx="16">
                  <c:v>2</c:v>
                </c:pt>
                <c:pt idx="17">
                  <c:v>0</c:v>
                </c:pt>
                <c:pt idx="18">
                  <c:v>0</c:v>
                </c:pt>
                <c:pt idx="19">
                  <c:v>0</c:v>
                </c:pt>
                <c:pt idx="20">
                  <c:v>0</c:v>
                </c:pt>
                <c:pt idx="21">
                  <c:v>0</c:v>
                </c:pt>
                <c:pt idx="22">
                  <c:v>0</c:v>
                </c:pt>
                <c:pt idx="23">
                  <c:v>0</c:v>
                </c:pt>
                <c:pt idx="24">
                  <c:v>0</c:v>
                </c:pt>
                <c:pt idx="25">
                  <c:v>0</c:v>
                </c:pt>
                <c:pt idx="26">
                  <c:v>0</c:v>
                </c:pt>
                <c:pt idx="27">
                  <c:v>0</c:v>
                </c:pt>
              </c:numCache>
            </c:numRef>
          </c:val>
        </c:ser>
        <c:ser>
          <c:idx val="6"/>
          <c:order val="6"/>
          <c:tx>
            <c:strRef>
              <c:f>JRC!$H$97</c:f>
              <c:strCache>
                <c:ptCount val="1"/>
                <c:pt idx="0">
                  <c:v>2010</c:v>
                </c:pt>
              </c:strCache>
            </c:strRef>
          </c:tx>
          <c:invertIfNegative val="0"/>
          <c:cat>
            <c:strRef>
              <c:f>JRC!$A$98:$A$125</c:f>
              <c:strCache>
                <c:ptCount val="28"/>
                <c:pt idx="0">
                  <c:v>ES</c:v>
                </c:pt>
                <c:pt idx="1">
                  <c:v>DE</c:v>
                </c:pt>
                <c:pt idx="2">
                  <c:v>FR</c:v>
                </c:pt>
                <c:pt idx="3">
                  <c:v>SE</c:v>
                </c:pt>
                <c:pt idx="4">
                  <c:v>NL</c:v>
                </c:pt>
                <c:pt idx="5">
                  <c:v>RO</c:v>
                </c:pt>
                <c:pt idx="6">
                  <c:v>HU</c:v>
                </c:pt>
                <c:pt idx="7">
                  <c:v>CZ</c:v>
                </c:pt>
                <c:pt idx="8">
                  <c:v>UK</c:v>
                </c:pt>
                <c:pt idx="9">
                  <c:v>BE</c:v>
                </c:pt>
                <c:pt idx="10">
                  <c:v>PL</c:v>
                </c:pt>
                <c:pt idx="11">
                  <c:v>DK</c:v>
                </c:pt>
                <c:pt idx="12">
                  <c:v>PT</c:v>
                </c:pt>
                <c:pt idx="13">
                  <c:v>SK</c:v>
                </c:pt>
                <c:pt idx="14">
                  <c:v>IT</c:v>
                </c:pt>
                <c:pt idx="15">
                  <c:v>FI</c:v>
                </c:pt>
                <c:pt idx="16">
                  <c:v>IE</c:v>
                </c:pt>
                <c:pt idx="17">
                  <c:v>LT</c:v>
                </c:pt>
                <c:pt idx="18">
                  <c:v>SI</c:v>
                </c:pt>
                <c:pt idx="19">
                  <c:v>EE</c:v>
                </c:pt>
                <c:pt idx="20">
                  <c:v>AT</c:v>
                </c:pt>
                <c:pt idx="21">
                  <c:v>BG</c:v>
                </c:pt>
                <c:pt idx="22">
                  <c:v>CY</c:v>
                </c:pt>
                <c:pt idx="23">
                  <c:v>HR</c:v>
                </c:pt>
                <c:pt idx="24">
                  <c:v>EL</c:v>
                </c:pt>
                <c:pt idx="25">
                  <c:v>LV</c:v>
                </c:pt>
                <c:pt idx="26">
                  <c:v>LU</c:v>
                </c:pt>
                <c:pt idx="27">
                  <c:v>MT</c:v>
                </c:pt>
              </c:strCache>
            </c:strRef>
          </c:cat>
          <c:val>
            <c:numRef>
              <c:f>JRC!$H$98:$H$125</c:f>
              <c:numCache>
                <c:formatCode>General</c:formatCode>
                <c:ptCount val="28"/>
                <c:pt idx="0">
                  <c:v>49</c:v>
                </c:pt>
                <c:pt idx="1">
                  <c:v>3</c:v>
                </c:pt>
                <c:pt idx="2">
                  <c:v>1</c:v>
                </c:pt>
                <c:pt idx="3">
                  <c:v>6</c:v>
                </c:pt>
                <c:pt idx="4">
                  <c:v>5</c:v>
                </c:pt>
                <c:pt idx="5">
                  <c:v>8</c:v>
                </c:pt>
                <c:pt idx="6">
                  <c:v>2</c:v>
                </c:pt>
                <c:pt idx="7">
                  <c:v>4</c:v>
                </c:pt>
                <c:pt idx="8">
                  <c:v>3</c:v>
                </c:pt>
                <c:pt idx="9">
                  <c:v>2</c:v>
                </c:pt>
                <c:pt idx="10">
                  <c:v>2</c:v>
                </c:pt>
                <c:pt idx="12">
                  <c:v>1</c:v>
                </c:pt>
                <c:pt idx="13">
                  <c:v>4</c:v>
                </c:pt>
                <c:pt idx="14">
                  <c:v>1</c:v>
                </c:pt>
                <c:pt idx="16">
                  <c:v>1</c:v>
                </c:pt>
                <c:pt idx="17">
                  <c:v>0</c:v>
                </c:pt>
                <c:pt idx="18">
                  <c:v>0</c:v>
                </c:pt>
                <c:pt idx="19">
                  <c:v>0</c:v>
                </c:pt>
                <c:pt idx="20">
                  <c:v>0</c:v>
                </c:pt>
                <c:pt idx="21">
                  <c:v>0</c:v>
                </c:pt>
                <c:pt idx="22">
                  <c:v>0</c:v>
                </c:pt>
                <c:pt idx="23">
                  <c:v>0</c:v>
                </c:pt>
                <c:pt idx="24">
                  <c:v>0</c:v>
                </c:pt>
                <c:pt idx="25">
                  <c:v>0</c:v>
                </c:pt>
                <c:pt idx="26">
                  <c:v>0</c:v>
                </c:pt>
                <c:pt idx="27">
                  <c:v>0</c:v>
                </c:pt>
              </c:numCache>
            </c:numRef>
          </c:val>
        </c:ser>
        <c:ser>
          <c:idx val="7"/>
          <c:order val="7"/>
          <c:tx>
            <c:strRef>
              <c:f>JRC!$I$97</c:f>
              <c:strCache>
                <c:ptCount val="1"/>
                <c:pt idx="0">
                  <c:v>2009</c:v>
                </c:pt>
              </c:strCache>
            </c:strRef>
          </c:tx>
          <c:invertIfNegative val="0"/>
          <c:cat>
            <c:strRef>
              <c:f>JRC!$A$98:$A$125</c:f>
              <c:strCache>
                <c:ptCount val="28"/>
                <c:pt idx="0">
                  <c:v>ES</c:v>
                </c:pt>
                <c:pt idx="1">
                  <c:v>DE</c:v>
                </c:pt>
                <c:pt idx="2">
                  <c:v>FR</c:v>
                </c:pt>
                <c:pt idx="3">
                  <c:v>SE</c:v>
                </c:pt>
                <c:pt idx="4">
                  <c:v>NL</c:v>
                </c:pt>
                <c:pt idx="5">
                  <c:v>RO</c:v>
                </c:pt>
                <c:pt idx="6">
                  <c:v>HU</c:v>
                </c:pt>
                <c:pt idx="7">
                  <c:v>CZ</c:v>
                </c:pt>
                <c:pt idx="8">
                  <c:v>UK</c:v>
                </c:pt>
                <c:pt idx="9">
                  <c:v>BE</c:v>
                </c:pt>
                <c:pt idx="10">
                  <c:v>PL</c:v>
                </c:pt>
                <c:pt idx="11">
                  <c:v>DK</c:v>
                </c:pt>
                <c:pt idx="12">
                  <c:v>PT</c:v>
                </c:pt>
                <c:pt idx="13">
                  <c:v>SK</c:v>
                </c:pt>
                <c:pt idx="14">
                  <c:v>IT</c:v>
                </c:pt>
                <c:pt idx="15">
                  <c:v>FI</c:v>
                </c:pt>
                <c:pt idx="16">
                  <c:v>IE</c:v>
                </c:pt>
                <c:pt idx="17">
                  <c:v>LT</c:v>
                </c:pt>
                <c:pt idx="18">
                  <c:v>SI</c:v>
                </c:pt>
                <c:pt idx="19">
                  <c:v>EE</c:v>
                </c:pt>
                <c:pt idx="20">
                  <c:v>AT</c:v>
                </c:pt>
                <c:pt idx="21">
                  <c:v>BG</c:v>
                </c:pt>
                <c:pt idx="22">
                  <c:v>CY</c:v>
                </c:pt>
                <c:pt idx="23">
                  <c:v>HR</c:v>
                </c:pt>
                <c:pt idx="24">
                  <c:v>EL</c:v>
                </c:pt>
                <c:pt idx="25">
                  <c:v>LV</c:v>
                </c:pt>
                <c:pt idx="26">
                  <c:v>LU</c:v>
                </c:pt>
                <c:pt idx="27">
                  <c:v>MT</c:v>
                </c:pt>
              </c:strCache>
            </c:strRef>
          </c:cat>
          <c:val>
            <c:numRef>
              <c:f>JRC!$I$98:$I$125</c:f>
              <c:numCache>
                <c:formatCode>General</c:formatCode>
                <c:ptCount val="28"/>
                <c:pt idx="0">
                  <c:v>65</c:v>
                </c:pt>
                <c:pt idx="1">
                  <c:v>8</c:v>
                </c:pt>
                <c:pt idx="2">
                  <c:v>2</c:v>
                </c:pt>
                <c:pt idx="3">
                  <c:v>5</c:v>
                </c:pt>
                <c:pt idx="4">
                  <c:v>4</c:v>
                </c:pt>
                <c:pt idx="5">
                  <c:v>21</c:v>
                </c:pt>
                <c:pt idx="6">
                  <c:v>1</c:v>
                </c:pt>
                <c:pt idx="7">
                  <c:v>4</c:v>
                </c:pt>
                <c:pt idx="8">
                  <c:v>1</c:v>
                </c:pt>
                <c:pt idx="9">
                  <c:v>1</c:v>
                </c:pt>
                <c:pt idx="10">
                  <c:v>2</c:v>
                </c:pt>
                <c:pt idx="11">
                  <c:v>4</c:v>
                </c:pt>
                <c:pt idx="12">
                  <c:v>1</c:v>
                </c:pt>
                <c:pt idx="13">
                  <c:v>3</c:v>
                </c:pt>
                <c:pt idx="14">
                  <c:v>1</c:v>
                </c:pt>
                <c:pt idx="15">
                  <c:v>2</c:v>
                </c:pt>
                <c:pt idx="16">
                  <c:v>0</c:v>
                </c:pt>
                <c:pt idx="17">
                  <c:v>0</c:v>
                </c:pt>
                <c:pt idx="18">
                  <c:v>1</c:v>
                </c:pt>
                <c:pt idx="19">
                  <c:v>0</c:v>
                </c:pt>
                <c:pt idx="20">
                  <c:v>0</c:v>
                </c:pt>
                <c:pt idx="21">
                  <c:v>0</c:v>
                </c:pt>
                <c:pt idx="22">
                  <c:v>0</c:v>
                </c:pt>
                <c:pt idx="23">
                  <c:v>0</c:v>
                </c:pt>
                <c:pt idx="24">
                  <c:v>0</c:v>
                </c:pt>
                <c:pt idx="25">
                  <c:v>0</c:v>
                </c:pt>
                <c:pt idx="26">
                  <c:v>0</c:v>
                </c:pt>
                <c:pt idx="27">
                  <c:v>0</c:v>
                </c:pt>
              </c:numCache>
            </c:numRef>
          </c:val>
        </c:ser>
        <c:ser>
          <c:idx val="8"/>
          <c:order val="8"/>
          <c:tx>
            <c:strRef>
              <c:f>JRC!$J$97</c:f>
              <c:strCache>
                <c:ptCount val="1"/>
                <c:pt idx="0">
                  <c:v>2008</c:v>
                </c:pt>
              </c:strCache>
            </c:strRef>
          </c:tx>
          <c:invertIfNegative val="0"/>
          <c:cat>
            <c:strRef>
              <c:f>JRC!$A$98:$A$125</c:f>
              <c:strCache>
                <c:ptCount val="28"/>
                <c:pt idx="0">
                  <c:v>ES</c:v>
                </c:pt>
                <c:pt idx="1">
                  <c:v>DE</c:v>
                </c:pt>
                <c:pt idx="2">
                  <c:v>FR</c:v>
                </c:pt>
                <c:pt idx="3">
                  <c:v>SE</c:v>
                </c:pt>
                <c:pt idx="4">
                  <c:v>NL</c:v>
                </c:pt>
                <c:pt idx="5">
                  <c:v>RO</c:v>
                </c:pt>
                <c:pt idx="6">
                  <c:v>HU</c:v>
                </c:pt>
                <c:pt idx="7">
                  <c:v>CZ</c:v>
                </c:pt>
                <c:pt idx="8">
                  <c:v>UK</c:v>
                </c:pt>
                <c:pt idx="9">
                  <c:v>BE</c:v>
                </c:pt>
                <c:pt idx="10">
                  <c:v>PL</c:v>
                </c:pt>
                <c:pt idx="11">
                  <c:v>DK</c:v>
                </c:pt>
                <c:pt idx="12">
                  <c:v>PT</c:v>
                </c:pt>
                <c:pt idx="13">
                  <c:v>SK</c:v>
                </c:pt>
                <c:pt idx="14">
                  <c:v>IT</c:v>
                </c:pt>
                <c:pt idx="15">
                  <c:v>FI</c:v>
                </c:pt>
                <c:pt idx="16">
                  <c:v>IE</c:v>
                </c:pt>
                <c:pt idx="17">
                  <c:v>LT</c:v>
                </c:pt>
                <c:pt idx="18">
                  <c:v>SI</c:v>
                </c:pt>
                <c:pt idx="19">
                  <c:v>EE</c:v>
                </c:pt>
                <c:pt idx="20">
                  <c:v>AT</c:v>
                </c:pt>
                <c:pt idx="21">
                  <c:v>BG</c:v>
                </c:pt>
                <c:pt idx="22">
                  <c:v>CY</c:v>
                </c:pt>
                <c:pt idx="23">
                  <c:v>HR</c:v>
                </c:pt>
                <c:pt idx="24">
                  <c:v>EL</c:v>
                </c:pt>
                <c:pt idx="25">
                  <c:v>LV</c:v>
                </c:pt>
                <c:pt idx="26">
                  <c:v>LU</c:v>
                </c:pt>
                <c:pt idx="27">
                  <c:v>MT</c:v>
                </c:pt>
              </c:strCache>
            </c:strRef>
          </c:cat>
          <c:val>
            <c:numRef>
              <c:f>JRC!$J$98:$J$125</c:f>
              <c:numCache>
                <c:formatCode>General</c:formatCode>
                <c:ptCount val="28"/>
                <c:pt idx="0">
                  <c:v>50</c:v>
                </c:pt>
                <c:pt idx="1">
                  <c:v>7</c:v>
                </c:pt>
                <c:pt idx="2">
                  <c:v>0</c:v>
                </c:pt>
                <c:pt idx="3">
                  <c:v>6</c:v>
                </c:pt>
                <c:pt idx="4">
                  <c:v>8</c:v>
                </c:pt>
                <c:pt idx="5">
                  <c:v>9</c:v>
                </c:pt>
                <c:pt idx="6">
                  <c:v>3</c:v>
                </c:pt>
                <c:pt idx="7">
                  <c:v>3</c:v>
                </c:pt>
                <c:pt idx="8">
                  <c:v>3</c:v>
                </c:pt>
                <c:pt idx="9">
                  <c:v>3</c:v>
                </c:pt>
                <c:pt idx="10">
                  <c:v>3</c:v>
                </c:pt>
                <c:pt idx="11">
                  <c:v>2</c:v>
                </c:pt>
                <c:pt idx="12">
                  <c:v>2</c:v>
                </c:pt>
                <c:pt idx="13">
                  <c:v>4</c:v>
                </c:pt>
                <c:pt idx="14">
                  <c:v>0</c:v>
                </c:pt>
                <c:pt idx="15">
                  <c:v>2</c:v>
                </c:pt>
                <c:pt idx="16">
                  <c:v>0</c:v>
                </c:pt>
                <c:pt idx="17">
                  <c:v>0</c:v>
                </c:pt>
                <c:pt idx="18">
                  <c:v>0</c:v>
                </c:pt>
                <c:pt idx="19">
                  <c:v>0</c:v>
                </c:pt>
                <c:pt idx="20">
                  <c:v>0</c:v>
                </c:pt>
                <c:pt idx="21">
                  <c:v>0</c:v>
                </c:pt>
                <c:pt idx="22">
                  <c:v>0</c:v>
                </c:pt>
                <c:pt idx="23">
                  <c:v>0</c:v>
                </c:pt>
                <c:pt idx="24">
                  <c:v>0</c:v>
                </c:pt>
                <c:pt idx="25">
                  <c:v>0</c:v>
                </c:pt>
                <c:pt idx="26">
                  <c:v>0</c:v>
                </c:pt>
                <c:pt idx="27">
                  <c:v>0</c:v>
                </c:pt>
              </c:numCache>
            </c:numRef>
          </c:val>
        </c:ser>
        <c:ser>
          <c:idx val="9"/>
          <c:order val="9"/>
          <c:tx>
            <c:strRef>
              <c:f>JRC!$K$97</c:f>
              <c:strCache>
                <c:ptCount val="1"/>
                <c:pt idx="0">
                  <c:v>2007</c:v>
                </c:pt>
              </c:strCache>
            </c:strRef>
          </c:tx>
          <c:invertIfNegative val="0"/>
          <c:cat>
            <c:strRef>
              <c:f>JRC!$A$98:$A$125</c:f>
              <c:strCache>
                <c:ptCount val="28"/>
                <c:pt idx="0">
                  <c:v>ES</c:v>
                </c:pt>
                <c:pt idx="1">
                  <c:v>DE</c:v>
                </c:pt>
                <c:pt idx="2">
                  <c:v>FR</c:v>
                </c:pt>
                <c:pt idx="3">
                  <c:v>SE</c:v>
                </c:pt>
                <c:pt idx="4">
                  <c:v>NL</c:v>
                </c:pt>
                <c:pt idx="5">
                  <c:v>RO</c:v>
                </c:pt>
                <c:pt idx="6">
                  <c:v>HU</c:v>
                </c:pt>
                <c:pt idx="7">
                  <c:v>CZ</c:v>
                </c:pt>
                <c:pt idx="8">
                  <c:v>UK</c:v>
                </c:pt>
                <c:pt idx="9">
                  <c:v>BE</c:v>
                </c:pt>
                <c:pt idx="10">
                  <c:v>PL</c:v>
                </c:pt>
                <c:pt idx="11">
                  <c:v>DK</c:v>
                </c:pt>
                <c:pt idx="12">
                  <c:v>PT</c:v>
                </c:pt>
                <c:pt idx="13">
                  <c:v>SK</c:v>
                </c:pt>
                <c:pt idx="14">
                  <c:v>IT</c:v>
                </c:pt>
                <c:pt idx="15">
                  <c:v>FI</c:v>
                </c:pt>
                <c:pt idx="16">
                  <c:v>IE</c:v>
                </c:pt>
                <c:pt idx="17">
                  <c:v>LT</c:v>
                </c:pt>
                <c:pt idx="18">
                  <c:v>SI</c:v>
                </c:pt>
                <c:pt idx="19">
                  <c:v>EE</c:v>
                </c:pt>
                <c:pt idx="20">
                  <c:v>AT</c:v>
                </c:pt>
                <c:pt idx="21">
                  <c:v>BG</c:v>
                </c:pt>
                <c:pt idx="22">
                  <c:v>CY</c:v>
                </c:pt>
                <c:pt idx="23">
                  <c:v>HR</c:v>
                </c:pt>
                <c:pt idx="24">
                  <c:v>EL</c:v>
                </c:pt>
                <c:pt idx="25">
                  <c:v>LV</c:v>
                </c:pt>
                <c:pt idx="26">
                  <c:v>LU</c:v>
                </c:pt>
                <c:pt idx="27">
                  <c:v>MT</c:v>
                </c:pt>
              </c:strCache>
            </c:strRef>
          </c:cat>
          <c:val>
            <c:numRef>
              <c:f>JRC!$K$98:$K$125</c:f>
              <c:numCache>
                <c:formatCode>General</c:formatCode>
                <c:ptCount val="28"/>
                <c:pt idx="0">
                  <c:v>36</c:v>
                </c:pt>
                <c:pt idx="1">
                  <c:v>12</c:v>
                </c:pt>
                <c:pt idx="2">
                  <c:v>2</c:v>
                </c:pt>
                <c:pt idx="3">
                  <c:v>5</c:v>
                </c:pt>
                <c:pt idx="4">
                  <c:v>5</c:v>
                </c:pt>
                <c:pt idx="5">
                  <c:v>14</c:v>
                </c:pt>
                <c:pt idx="6">
                  <c:v>7</c:v>
                </c:pt>
                <c:pt idx="7">
                  <c:v>3</c:v>
                </c:pt>
                <c:pt idx="8">
                  <c:v>1</c:v>
                </c:pt>
                <c:pt idx="9">
                  <c:v>1</c:v>
                </c:pt>
                <c:pt idx="10">
                  <c:v>1</c:v>
                </c:pt>
                <c:pt idx="11">
                  <c:v>5</c:v>
                </c:pt>
                <c:pt idx="12">
                  <c:v>2</c:v>
                </c:pt>
                <c:pt idx="13">
                  <c:v>0</c:v>
                </c:pt>
                <c:pt idx="14">
                  <c:v>0</c:v>
                </c:pt>
                <c:pt idx="15">
                  <c:v>0</c:v>
                </c:pt>
                <c:pt idx="16">
                  <c:v>0</c:v>
                </c:pt>
                <c:pt idx="17">
                  <c:v>1</c:v>
                </c:pt>
                <c:pt idx="18">
                  <c:v>0</c:v>
                </c:pt>
                <c:pt idx="19">
                  <c:v>0</c:v>
                </c:pt>
                <c:pt idx="20">
                  <c:v>0</c:v>
                </c:pt>
                <c:pt idx="21">
                  <c:v>0</c:v>
                </c:pt>
                <c:pt idx="22">
                  <c:v>0</c:v>
                </c:pt>
                <c:pt idx="23">
                  <c:v>0</c:v>
                </c:pt>
                <c:pt idx="24">
                  <c:v>0</c:v>
                </c:pt>
                <c:pt idx="25">
                  <c:v>0</c:v>
                </c:pt>
                <c:pt idx="26">
                  <c:v>0</c:v>
                </c:pt>
                <c:pt idx="27">
                  <c:v>0</c:v>
                </c:pt>
              </c:numCache>
            </c:numRef>
          </c:val>
        </c:ser>
        <c:ser>
          <c:idx val="10"/>
          <c:order val="10"/>
          <c:tx>
            <c:strRef>
              <c:f>JRC!$L$97</c:f>
              <c:strCache>
                <c:ptCount val="1"/>
                <c:pt idx="0">
                  <c:v>2006</c:v>
                </c:pt>
              </c:strCache>
            </c:strRef>
          </c:tx>
          <c:invertIfNegative val="0"/>
          <c:cat>
            <c:strRef>
              <c:f>JRC!$A$98:$A$125</c:f>
              <c:strCache>
                <c:ptCount val="28"/>
                <c:pt idx="0">
                  <c:v>ES</c:v>
                </c:pt>
                <c:pt idx="1">
                  <c:v>DE</c:v>
                </c:pt>
                <c:pt idx="2">
                  <c:v>FR</c:v>
                </c:pt>
                <c:pt idx="3">
                  <c:v>SE</c:v>
                </c:pt>
                <c:pt idx="4">
                  <c:v>NL</c:v>
                </c:pt>
                <c:pt idx="5">
                  <c:v>RO</c:v>
                </c:pt>
                <c:pt idx="6">
                  <c:v>HU</c:v>
                </c:pt>
                <c:pt idx="7">
                  <c:v>CZ</c:v>
                </c:pt>
                <c:pt idx="8">
                  <c:v>UK</c:v>
                </c:pt>
                <c:pt idx="9">
                  <c:v>BE</c:v>
                </c:pt>
                <c:pt idx="10">
                  <c:v>PL</c:v>
                </c:pt>
                <c:pt idx="11">
                  <c:v>DK</c:v>
                </c:pt>
                <c:pt idx="12">
                  <c:v>PT</c:v>
                </c:pt>
                <c:pt idx="13">
                  <c:v>SK</c:v>
                </c:pt>
                <c:pt idx="14">
                  <c:v>IT</c:v>
                </c:pt>
                <c:pt idx="15">
                  <c:v>FI</c:v>
                </c:pt>
                <c:pt idx="16">
                  <c:v>IE</c:v>
                </c:pt>
                <c:pt idx="17">
                  <c:v>LT</c:v>
                </c:pt>
                <c:pt idx="18">
                  <c:v>SI</c:v>
                </c:pt>
                <c:pt idx="19">
                  <c:v>EE</c:v>
                </c:pt>
                <c:pt idx="20">
                  <c:v>AT</c:v>
                </c:pt>
                <c:pt idx="21">
                  <c:v>BG</c:v>
                </c:pt>
                <c:pt idx="22">
                  <c:v>CY</c:v>
                </c:pt>
                <c:pt idx="23">
                  <c:v>HR</c:v>
                </c:pt>
                <c:pt idx="24">
                  <c:v>EL</c:v>
                </c:pt>
                <c:pt idx="25">
                  <c:v>LV</c:v>
                </c:pt>
                <c:pt idx="26">
                  <c:v>LU</c:v>
                </c:pt>
                <c:pt idx="27">
                  <c:v>MT</c:v>
                </c:pt>
              </c:strCache>
            </c:strRef>
          </c:cat>
          <c:val>
            <c:numRef>
              <c:f>JRC!$L$98:$L$125</c:f>
              <c:numCache>
                <c:formatCode>General</c:formatCode>
                <c:ptCount val="28"/>
                <c:pt idx="0">
                  <c:v>51</c:v>
                </c:pt>
                <c:pt idx="1">
                  <c:v>11</c:v>
                </c:pt>
                <c:pt idx="2">
                  <c:v>32</c:v>
                </c:pt>
                <c:pt idx="3">
                  <c:v>6</c:v>
                </c:pt>
                <c:pt idx="4">
                  <c:v>9</c:v>
                </c:pt>
                <c:pt idx="5">
                  <c:v>0</c:v>
                </c:pt>
                <c:pt idx="6">
                  <c:v>9</c:v>
                </c:pt>
                <c:pt idx="7">
                  <c:v>6</c:v>
                </c:pt>
                <c:pt idx="8">
                  <c:v>2</c:v>
                </c:pt>
                <c:pt idx="9">
                  <c:v>0</c:v>
                </c:pt>
                <c:pt idx="10">
                  <c:v>3</c:v>
                </c:pt>
                <c:pt idx="11">
                  <c:v>2</c:v>
                </c:pt>
                <c:pt idx="12">
                  <c:v>5</c:v>
                </c:pt>
                <c:pt idx="13">
                  <c:v>1</c:v>
                </c:pt>
                <c:pt idx="14">
                  <c:v>0</c:v>
                </c:pt>
                <c:pt idx="15">
                  <c:v>0</c:v>
                </c:pt>
                <c:pt idx="16">
                  <c:v>1</c:v>
                </c:pt>
                <c:pt idx="17">
                  <c:v>1</c:v>
                </c:pt>
                <c:pt idx="18">
                  <c:v>0</c:v>
                </c:pt>
                <c:pt idx="19">
                  <c:v>0</c:v>
                </c:pt>
                <c:pt idx="20">
                  <c:v>0</c:v>
                </c:pt>
                <c:pt idx="21">
                  <c:v>0</c:v>
                </c:pt>
                <c:pt idx="22">
                  <c:v>0</c:v>
                </c:pt>
                <c:pt idx="23">
                  <c:v>0</c:v>
                </c:pt>
                <c:pt idx="24">
                  <c:v>0</c:v>
                </c:pt>
                <c:pt idx="25">
                  <c:v>0</c:v>
                </c:pt>
                <c:pt idx="26">
                  <c:v>0</c:v>
                </c:pt>
                <c:pt idx="27">
                  <c:v>0</c:v>
                </c:pt>
              </c:numCache>
            </c:numRef>
          </c:val>
        </c:ser>
        <c:dLbls>
          <c:showLegendKey val="0"/>
          <c:showVal val="0"/>
          <c:showCatName val="0"/>
          <c:showSerName val="0"/>
          <c:showPercent val="0"/>
          <c:showBubbleSize val="0"/>
        </c:dLbls>
        <c:gapWidth val="75"/>
        <c:shape val="box"/>
        <c:axId val="416609120"/>
        <c:axId val="416609512"/>
        <c:axId val="477489760"/>
      </c:bar3DChart>
      <c:catAx>
        <c:axId val="416609120"/>
        <c:scaling>
          <c:orientation val="minMax"/>
        </c:scaling>
        <c:delete val="0"/>
        <c:axPos val="b"/>
        <c:title>
          <c:tx>
            <c:rich>
              <a:bodyPr/>
              <a:lstStyle/>
              <a:p>
                <a:pPr algn="ctr">
                  <a:defRPr sz="800"/>
                </a:pPr>
                <a:r>
                  <a:rPr lang="sl-SI" sz="800"/>
                  <a:t>Države </a:t>
                </a:r>
                <a:r>
                  <a:rPr lang="sl-SI" sz="800" u="none"/>
                  <a:t>članice EU</a:t>
                </a:r>
                <a:endParaRPr lang="en-US" sz="800" u="none"/>
              </a:p>
            </c:rich>
          </c:tx>
          <c:layout>
            <c:manualLayout>
              <c:xMode val="edge"/>
              <c:yMode val="edge"/>
              <c:x val="0.37535057199857369"/>
              <c:y val="0.77496611591583842"/>
            </c:manualLayout>
          </c:layout>
          <c:overlay val="0"/>
        </c:title>
        <c:numFmt formatCode="General" sourceLinked="0"/>
        <c:majorTickMark val="none"/>
        <c:minorTickMark val="none"/>
        <c:tickLblPos val="nextTo"/>
        <c:txPr>
          <a:bodyPr/>
          <a:lstStyle/>
          <a:p>
            <a:pPr>
              <a:defRPr sz="600"/>
            </a:pPr>
            <a:endParaRPr lang="sl-SI"/>
          </a:p>
        </c:txPr>
        <c:crossAx val="416609512"/>
        <c:crosses val="autoZero"/>
        <c:auto val="1"/>
        <c:lblAlgn val="ctr"/>
        <c:lblOffset val="100"/>
        <c:noMultiLvlLbl val="0"/>
      </c:catAx>
      <c:valAx>
        <c:axId val="416609512"/>
        <c:scaling>
          <c:orientation val="minMax"/>
          <c:max val="70"/>
          <c:min val="0"/>
        </c:scaling>
        <c:delete val="0"/>
        <c:axPos val="l"/>
        <c:majorGridlines/>
        <c:title>
          <c:tx>
            <c:rich>
              <a:bodyPr rot="-5400000" vert="horz"/>
              <a:lstStyle/>
              <a:p>
                <a:pPr>
                  <a:defRPr sz="800"/>
                </a:pPr>
                <a:r>
                  <a:rPr lang="sl-SI" sz="800"/>
                  <a:t>Število namernih sproščanj GSO v okolje v experimentalne namene</a:t>
                </a:r>
                <a:endParaRPr lang="en-US" sz="800"/>
              </a:p>
            </c:rich>
          </c:tx>
          <c:overlay val="0"/>
        </c:title>
        <c:numFmt formatCode="General" sourceLinked="1"/>
        <c:majorTickMark val="none"/>
        <c:minorTickMark val="none"/>
        <c:tickLblPos val="nextTo"/>
        <c:spPr>
          <a:ln w="9525">
            <a:noFill/>
          </a:ln>
        </c:spPr>
        <c:txPr>
          <a:bodyPr/>
          <a:lstStyle/>
          <a:p>
            <a:pPr>
              <a:defRPr sz="600"/>
            </a:pPr>
            <a:endParaRPr lang="sl-SI"/>
          </a:p>
        </c:txPr>
        <c:crossAx val="416609120"/>
        <c:crosses val="autoZero"/>
        <c:crossBetween val="between"/>
      </c:valAx>
      <c:serAx>
        <c:axId val="477489760"/>
        <c:scaling>
          <c:orientation val="minMax"/>
        </c:scaling>
        <c:delete val="0"/>
        <c:axPos val="b"/>
        <c:majorTickMark val="out"/>
        <c:minorTickMark val="none"/>
        <c:tickLblPos val="nextTo"/>
        <c:txPr>
          <a:bodyPr/>
          <a:lstStyle/>
          <a:p>
            <a:pPr>
              <a:defRPr sz="600"/>
            </a:pPr>
            <a:endParaRPr lang="sl-SI"/>
          </a:p>
        </c:txPr>
        <c:crossAx val="416609512"/>
        <c:crosses val="autoZero"/>
        <c:tickLblSkip val="2"/>
      </c:serAx>
    </c:plotArea>
    <c:legend>
      <c:legendPos val="b"/>
      <c:overlay val="0"/>
      <c:txPr>
        <a:bodyPr/>
        <a:lstStyle/>
        <a:p>
          <a:pPr>
            <a:defRPr sz="600"/>
          </a:pPr>
          <a:endParaRPr lang="sl-SI"/>
        </a:p>
      </c:txPr>
    </c:legend>
    <c:plotVisOnly val="1"/>
    <c:dispBlanksAs val="gap"/>
    <c:showDLblsOverMax val="0"/>
  </c:chart>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0.13052</cdr:x>
      <cdr:y>0.33241</cdr:y>
    </cdr:from>
    <cdr:to>
      <cdr:x>0.72764</cdr:x>
      <cdr:y>0.42105</cdr:y>
    </cdr:to>
    <cdr:sp macro="" textlink="">
      <cdr:nvSpPr>
        <cdr:cNvPr id="2" name="Zaobljeni pravokotnik 1"/>
        <cdr:cNvSpPr/>
      </cdr:nvSpPr>
      <cdr:spPr>
        <a:xfrm xmlns:a="http://schemas.openxmlformats.org/drawingml/2006/main">
          <a:off x="611656" y="928754"/>
          <a:ext cx="2798294" cy="247660"/>
        </a:xfrm>
        <a:prstGeom xmlns:a="http://schemas.openxmlformats.org/drawingml/2006/main" prst="roundRect">
          <a:avLst/>
        </a:prstGeom>
        <a:noFill xmlns:a="http://schemas.openxmlformats.org/drawingml/2006/main"/>
        <a:ln xmlns:a="http://schemas.openxmlformats.org/drawingml/2006/main" w="3175">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rtl="0"/>
          <a:r>
            <a:rPr lang="sl-SI" sz="800" b="1" i="1" baseline="0">
              <a:solidFill>
                <a:schemeClr val="tx1"/>
              </a:solidFill>
              <a:effectLst/>
              <a:latin typeface="Arial" panose="020B0604020202020204" pitchFamily="34" charset="0"/>
              <a:ea typeface="+mn-ea"/>
              <a:cs typeface="Arial" panose="020B0604020202020204" pitchFamily="34" charset="0"/>
            </a:rPr>
            <a:t>3.4 zaprtega sistema / 100 000 prebivalcev</a:t>
          </a:r>
          <a:endParaRPr lang="sl-SI" sz="800">
            <a:solidFill>
              <a:schemeClr val="tx1"/>
            </a:solidFill>
            <a:effectLst/>
            <a:latin typeface="Arial" panose="020B0604020202020204" pitchFamily="34" charset="0"/>
            <a:cs typeface="Arial" panose="020B0604020202020204" pitchFamily="34"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0.71359</cdr:x>
      <cdr:y>0.73444</cdr:y>
    </cdr:from>
    <cdr:to>
      <cdr:x>0.71481</cdr:x>
      <cdr:y>0.90041</cdr:y>
    </cdr:to>
    <cdr:cxnSp macro="">
      <cdr:nvCxnSpPr>
        <cdr:cNvPr id="2" name="Raven povezovalnik 1"/>
        <cdr:cNvCxnSpPr/>
      </cdr:nvCxnSpPr>
      <cdr:spPr>
        <a:xfrm xmlns:a="http://schemas.openxmlformats.org/drawingml/2006/main">
          <a:off x="3702050" y="2247900"/>
          <a:ext cx="6350" cy="508000"/>
        </a:xfrm>
        <a:prstGeom xmlns:a="http://schemas.openxmlformats.org/drawingml/2006/main" prst="line">
          <a:avLst/>
        </a:prstGeom>
        <a:ln xmlns:a="http://schemas.openxmlformats.org/drawingml/2006/main">
          <a:solidFill>
            <a:srgbClr val="FF0000"/>
          </a:solidFill>
          <a:prstDash val="sysDot"/>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3.xml><?xml version="1.0" encoding="utf-8"?>
<c:userShapes xmlns:c="http://schemas.openxmlformats.org/drawingml/2006/chart">
  <cdr:relSizeAnchor xmlns:cdr="http://schemas.openxmlformats.org/drawingml/2006/chartDrawing">
    <cdr:from>
      <cdr:x>0.63525</cdr:x>
      <cdr:y>0.51025</cdr:y>
    </cdr:from>
    <cdr:to>
      <cdr:x>0.73807</cdr:x>
      <cdr:y>0.7459</cdr:y>
    </cdr:to>
    <cdr:cxnSp macro="">
      <cdr:nvCxnSpPr>
        <cdr:cNvPr id="2" name="Raven povezovalnik 1"/>
        <cdr:cNvCxnSpPr/>
      </cdr:nvCxnSpPr>
      <cdr:spPr>
        <a:xfrm xmlns:a="http://schemas.openxmlformats.org/drawingml/2006/main" flipV="1">
          <a:off x="3295650" y="1581150"/>
          <a:ext cx="533400" cy="730250"/>
        </a:xfrm>
        <a:prstGeom xmlns:a="http://schemas.openxmlformats.org/drawingml/2006/main" prst="line">
          <a:avLst/>
        </a:prstGeom>
        <a:ln xmlns:a="http://schemas.openxmlformats.org/drawingml/2006/main">
          <a:solidFill>
            <a:srgbClr val="FF0000"/>
          </a:solidFill>
          <a:prstDash val="sysDot"/>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ova tema">
  <a:themeElements>
    <a:clrScheme name="Sivin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03CD51-9B81-4422-BA1A-EA6D23464F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MOP.dot</Template>
  <TotalTime>1</TotalTime>
  <Pages>21</Pages>
  <Words>98525</Words>
  <Characters>561593</Characters>
  <Application>Microsoft Office Word</Application>
  <DocSecurity>0</DocSecurity>
  <Lines>4679</Lines>
  <Paragraphs>1317</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Številka:</vt:lpstr>
      <vt:lpstr>Številka:</vt:lpstr>
    </vt:vector>
  </TitlesOfParts>
  <Company>Indea d.o.o.</Company>
  <LinksUpToDate>false</LinksUpToDate>
  <CharactersWithSpaces>658801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Številka:</dc:title>
  <dc:creator>Branka Vidic-Krmec</dc:creator>
  <cp:lastModifiedBy>Barbara Bernard Vukadin</cp:lastModifiedBy>
  <cp:revision>2</cp:revision>
  <cp:lastPrinted>2017-02-20T06:52:00Z</cp:lastPrinted>
  <dcterms:created xsi:type="dcterms:W3CDTF">2020-11-18T11:43:00Z</dcterms:created>
  <dcterms:modified xsi:type="dcterms:W3CDTF">2020-11-18T11:43:00Z</dcterms:modified>
</cp:coreProperties>
</file>