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79A" w:rsidRDefault="003720E5" w:rsidP="003720E5">
      <w:pPr>
        <w:tabs>
          <w:tab w:val="left" w:pos="2805"/>
        </w:tabs>
        <w:rPr>
          <w:rFonts w:ascii="Arial" w:hAnsi="Arial" w:cs="Arial"/>
          <w:b/>
          <w:spacing w:val="60"/>
          <w:sz w:val="28"/>
          <w:szCs w:val="28"/>
        </w:rPr>
      </w:pPr>
      <w:r>
        <w:rPr>
          <w:rFonts w:ascii="Arial" w:hAnsi="Arial" w:cs="Arial"/>
          <w:b/>
          <w:spacing w:val="60"/>
          <w:sz w:val="28"/>
          <w:szCs w:val="28"/>
        </w:rPr>
        <w:tab/>
      </w:r>
    </w:p>
    <w:p w:rsidR="00A96CCF" w:rsidRPr="00C87497" w:rsidRDefault="005029B1" w:rsidP="005029B1">
      <w:pPr>
        <w:jc w:val="center"/>
        <w:rPr>
          <w:rFonts w:ascii="Arial" w:hAnsi="Arial" w:cs="Arial"/>
          <w:b/>
          <w:spacing w:val="60"/>
          <w:sz w:val="28"/>
          <w:szCs w:val="28"/>
        </w:rPr>
      </w:pPr>
      <w:r w:rsidRPr="00C87497">
        <w:rPr>
          <w:rFonts w:ascii="Arial" w:hAnsi="Arial" w:cs="Arial"/>
          <w:b/>
          <w:spacing w:val="60"/>
          <w:sz w:val="28"/>
          <w:szCs w:val="28"/>
        </w:rPr>
        <w:t>VABILO</w:t>
      </w:r>
    </w:p>
    <w:p w:rsidR="008C3323" w:rsidRDefault="00F34307" w:rsidP="00F34307">
      <w:pPr>
        <w:jc w:val="center"/>
        <w:rPr>
          <w:rFonts w:ascii="Arial" w:hAnsi="Arial" w:cs="Arial"/>
          <w:b/>
        </w:rPr>
      </w:pPr>
      <w:r w:rsidRPr="003C07E1">
        <w:rPr>
          <w:rFonts w:ascii="Arial" w:hAnsi="Arial" w:cs="Arial"/>
          <w:b/>
        </w:rPr>
        <w:t xml:space="preserve">na </w:t>
      </w:r>
    </w:p>
    <w:p w:rsidR="00F34307" w:rsidRPr="003C07E1" w:rsidRDefault="00F34307" w:rsidP="00F34307">
      <w:pPr>
        <w:jc w:val="center"/>
        <w:rPr>
          <w:rFonts w:ascii="Arial" w:hAnsi="Arial" w:cs="Arial"/>
          <w:b/>
        </w:rPr>
      </w:pPr>
      <w:r w:rsidRPr="003C07E1">
        <w:rPr>
          <w:rFonts w:ascii="Arial" w:hAnsi="Arial" w:cs="Arial"/>
          <w:b/>
        </w:rPr>
        <w:t>predstavitev evropskega poročila SOER 2015 v Sloveniji s poudarkom na zelenem gospodarstvu</w:t>
      </w:r>
    </w:p>
    <w:p w:rsidR="00F34307" w:rsidRPr="003C07E1" w:rsidRDefault="00F34307" w:rsidP="00F34307">
      <w:pPr>
        <w:jc w:val="center"/>
        <w:rPr>
          <w:rFonts w:ascii="Arial" w:hAnsi="Arial" w:cs="Arial"/>
          <w:b/>
        </w:rPr>
      </w:pPr>
      <w:r w:rsidRPr="003C07E1">
        <w:rPr>
          <w:rFonts w:ascii="Arial" w:hAnsi="Arial" w:cs="Arial"/>
          <w:b/>
        </w:rPr>
        <w:t>petek, 5. junij 2015</w:t>
      </w:r>
    </w:p>
    <w:p w:rsidR="00F34307" w:rsidRDefault="00F34307" w:rsidP="00F34307">
      <w:pPr>
        <w:jc w:val="center"/>
        <w:rPr>
          <w:rFonts w:ascii="Arial" w:hAnsi="Arial" w:cs="Arial"/>
          <w:b/>
        </w:rPr>
      </w:pPr>
      <w:proofErr w:type="spellStart"/>
      <w:r w:rsidRPr="003C07E1">
        <w:rPr>
          <w:rFonts w:ascii="Arial" w:hAnsi="Arial" w:cs="Arial"/>
          <w:b/>
        </w:rPr>
        <w:t>City</w:t>
      </w:r>
      <w:proofErr w:type="spellEnd"/>
      <w:r w:rsidRPr="003C07E1">
        <w:rPr>
          <w:rFonts w:ascii="Arial" w:hAnsi="Arial" w:cs="Arial"/>
          <w:b/>
        </w:rPr>
        <w:t xml:space="preserve"> Hotel, Dalmatinova 15, Ljubljana</w:t>
      </w:r>
    </w:p>
    <w:p w:rsidR="00AD279A" w:rsidRPr="003C07E1" w:rsidRDefault="00A215C0" w:rsidP="00F3430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AD279A">
        <w:rPr>
          <w:rFonts w:ascii="Arial" w:hAnsi="Arial" w:cs="Arial"/>
          <w:b/>
        </w:rPr>
        <w:t>d 9.00 do 14.00</w:t>
      </w:r>
    </w:p>
    <w:p w:rsidR="00F34307" w:rsidRPr="003C07E1" w:rsidRDefault="00F34307" w:rsidP="00F34307">
      <w:pPr>
        <w:rPr>
          <w:rFonts w:ascii="Times New Roman" w:hAnsi="Times New Roman" w:cs="Times New Roman"/>
        </w:rPr>
      </w:pPr>
      <w:r w:rsidRPr="003C07E1">
        <w:rPr>
          <w:rFonts w:ascii="Times New Roman" w:hAnsi="Times New Roman" w:cs="Times New Roman"/>
        </w:rPr>
        <w:t>Ob svetovnem dnevu okolja</w:t>
      </w:r>
      <w:r w:rsidR="006F70C5">
        <w:rPr>
          <w:rFonts w:ascii="Times New Roman" w:hAnsi="Times New Roman" w:cs="Times New Roman"/>
        </w:rPr>
        <w:t>,</w:t>
      </w:r>
      <w:r w:rsidRPr="003C07E1">
        <w:rPr>
          <w:rFonts w:ascii="Times New Roman" w:hAnsi="Times New Roman" w:cs="Times New Roman"/>
        </w:rPr>
        <w:t xml:space="preserve"> 5. </w:t>
      </w:r>
      <w:r w:rsidR="00C87497">
        <w:rPr>
          <w:rFonts w:ascii="Times New Roman" w:hAnsi="Times New Roman" w:cs="Times New Roman"/>
        </w:rPr>
        <w:t>j</w:t>
      </w:r>
      <w:r w:rsidRPr="003C07E1">
        <w:rPr>
          <w:rFonts w:ascii="Times New Roman" w:hAnsi="Times New Roman" w:cs="Times New Roman"/>
        </w:rPr>
        <w:t>unija</w:t>
      </w:r>
      <w:r w:rsidR="006F70C5">
        <w:rPr>
          <w:rFonts w:ascii="Times New Roman" w:hAnsi="Times New Roman" w:cs="Times New Roman"/>
        </w:rPr>
        <w:t xml:space="preserve">, </w:t>
      </w:r>
      <w:r w:rsidR="006F70C5" w:rsidRPr="003C07E1">
        <w:rPr>
          <w:rFonts w:ascii="Times New Roman" w:hAnsi="Times New Roman" w:cs="Times New Roman"/>
        </w:rPr>
        <w:t>vas</w:t>
      </w:r>
      <w:r w:rsidRPr="003C07E1">
        <w:rPr>
          <w:rFonts w:ascii="Times New Roman" w:hAnsi="Times New Roman" w:cs="Times New Roman"/>
        </w:rPr>
        <w:t xml:space="preserve"> </w:t>
      </w:r>
      <w:r w:rsidR="00A215C0">
        <w:rPr>
          <w:rFonts w:ascii="Times New Roman" w:hAnsi="Times New Roman" w:cs="Times New Roman"/>
        </w:rPr>
        <w:t xml:space="preserve">skupaj z Evropsko agencijo za okolje </w:t>
      </w:r>
      <w:r w:rsidRPr="003C07E1">
        <w:rPr>
          <w:rFonts w:ascii="Times New Roman" w:hAnsi="Times New Roman" w:cs="Times New Roman"/>
        </w:rPr>
        <w:t xml:space="preserve">vabimo na predstavitev evropskega poročila </w:t>
      </w:r>
      <w:r w:rsidR="00D67D9B">
        <w:rPr>
          <w:rFonts w:ascii="Times New Roman" w:hAnsi="Times New Roman" w:cs="Times New Roman"/>
        </w:rPr>
        <w:t xml:space="preserve">o okolju, </w:t>
      </w:r>
      <w:r w:rsidRPr="003C07E1">
        <w:rPr>
          <w:rFonts w:ascii="Times New Roman" w:hAnsi="Times New Roman" w:cs="Times New Roman"/>
        </w:rPr>
        <w:t xml:space="preserve">SOER 2015. </w:t>
      </w:r>
    </w:p>
    <w:p w:rsidR="00F34307" w:rsidRDefault="00F34307" w:rsidP="00F34307">
      <w:pPr>
        <w:rPr>
          <w:rFonts w:ascii="Times New Roman" w:hAnsi="Times New Roman" w:cs="Times New Roman"/>
        </w:rPr>
      </w:pPr>
      <w:r w:rsidRPr="003C07E1">
        <w:rPr>
          <w:rFonts w:ascii="Times New Roman" w:hAnsi="Times New Roman" w:cs="Times New Roman"/>
        </w:rPr>
        <w:t>Evropsko poročilo SOER 2015 je eno najbolj odmevnih okoljskih poročil v Evropi.</w:t>
      </w:r>
      <w:r w:rsidR="00D67D9B">
        <w:rPr>
          <w:rFonts w:ascii="Times New Roman" w:hAnsi="Times New Roman" w:cs="Times New Roman"/>
        </w:rPr>
        <w:t xml:space="preserve"> Pripravlja ga Evropska agencija za okolje vsakih pet let</w:t>
      </w:r>
      <w:r w:rsidR="00C87497">
        <w:rPr>
          <w:rFonts w:ascii="Times New Roman" w:hAnsi="Times New Roman" w:cs="Times New Roman"/>
        </w:rPr>
        <w:t>.</w:t>
      </w:r>
      <w:r w:rsidRPr="003C07E1">
        <w:rPr>
          <w:rFonts w:ascii="Times New Roman" w:hAnsi="Times New Roman" w:cs="Times New Roman"/>
        </w:rPr>
        <w:t xml:space="preserve"> Uraden izid </w:t>
      </w:r>
      <w:r w:rsidR="00D67D9B">
        <w:rPr>
          <w:rFonts w:ascii="Times New Roman" w:hAnsi="Times New Roman" w:cs="Times New Roman"/>
        </w:rPr>
        <w:t>letošnjega poročila je potekal v</w:t>
      </w:r>
      <w:r w:rsidRPr="003C07E1">
        <w:rPr>
          <w:rFonts w:ascii="Times New Roman" w:hAnsi="Times New Roman" w:cs="Times New Roman"/>
        </w:rPr>
        <w:t xml:space="preserve"> Bruslju </w:t>
      </w:r>
      <w:r w:rsidR="00A215C0">
        <w:rPr>
          <w:rFonts w:ascii="Times New Roman" w:hAnsi="Times New Roman" w:cs="Times New Roman"/>
        </w:rPr>
        <w:t>3</w:t>
      </w:r>
      <w:r w:rsidRPr="003C07E1">
        <w:rPr>
          <w:rFonts w:ascii="Times New Roman" w:hAnsi="Times New Roman" w:cs="Times New Roman"/>
        </w:rPr>
        <w:t xml:space="preserve">. marca 2015. </w:t>
      </w:r>
    </w:p>
    <w:p w:rsidR="00F34307" w:rsidRDefault="00F34307" w:rsidP="00F34307">
      <w:pPr>
        <w:rPr>
          <w:rFonts w:ascii="Times New Roman" w:hAnsi="Times New Roman" w:cs="Times New Roman"/>
        </w:rPr>
      </w:pPr>
      <w:r w:rsidRPr="003C07E1">
        <w:rPr>
          <w:rFonts w:ascii="Times New Roman" w:hAnsi="Times New Roman" w:cs="Times New Roman"/>
        </w:rPr>
        <w:t xml:space="preserve">Poročilo </w:t>
      </w:r>
      <w:r w:rsidR="00B42E28" w:rsidRPr="003C07E1">
        <w:rPr>
          <w:rFonts w:ascii="Times New Roman" w:hAnsi="Times New Roman" w:cs="Times New Roman"/>
        </w:rPr>
        <w:t>daje jasna opozorila o tveganjih</w:t>
      </w:r>
      <w:r w:rsidR="005F3380">
        <w:rPr>
          <w:rFonts w:ascii="Times New Roman" w:hAnsi="Times New Roman" w:cs="Times New Roman"/>
        </w:rPr>
        <w:t xml:space="preserve"> in</w:t>
      </w:r>
      <w:r w:rsidR="00B42E28" w:rsidRPr="003C07E1">
        <w:rPr>
          <w:rFonts w:ascii="Times New Roman" w:hAnsi="Times New Roman" w:cs="Times New Roman"/>
        </w:rPr>
        <w:t xml:space="preserve"> preobremenjenosti okolja, k</w:t>
      </w:r>
      <w:r w:rsidR="005F3380">
        <w:rPr>
          <w:rFonts w:ascii="Times New Roman" w:hAnsi="Times New Roman" w:cs="Times New Roman"/>
        </w:rPr>
        <w:t>ar</w:t>
      </w:r>
      <w:r w:rsidR="00B42E28" w:rsidRPr="003C07E1">
        <w:rPr>
          <w:rFonts w:ascii="Times New Roman" w:hAnsi="Times New Roman" w:cs="Times New Roman"/>
        </w:rPr>
        <w:t xml:space="preserve"> vpliva </w:t>
      </w:r>
      <w:r w:rsidR="005F3380">
        <w:rPr>
          <w:rFonts w:ascii="Times New Roman" w:hAnsi="Times New Roman" w:cs="Times New Roman"/>
        </w:rPr>
        <w:t>tako</w:t>
      </w:r>
      <w:r w:rsidR="00B42E28" w:rsidRPr="003C07E1">
        <w:rPr>
          <w:rFonts w:ascii="Times New Roman" w:hAnsi="Times New Roman" w:cs="Times New Roman"/>
        </w:rPr>
        <w:t xml:space="preserve"> na zdravje </w:t>
      </w:r>
      <w:r w:rsidR="005F3380">
        <w:rPr>
          <w:rFonts w:ascii="Times New Roman" w:hAnsi="Times New Roman" w:cs="Times New Roman"/>
        </w:rPr>
        <w:t>kot</w:t>
      </w:r>
      <w:r w:rsidR="00B42E28" w:rsidRPr="003C07E1">
        <w:rPr>
          <w:rFonts w:ascii="Times New Roman" w:hAnsi="Times New Roman" w:cs="Times New Roman"/>
        </w:rPr>
        <w:t xml:space="preserve"> blaginjo ljudi. </w:t>
      </w:r>
      <w:r w:rsidR="005F3380">
        <w:rPr>
          <w:rFonts w:ascii="Times New Roman" w:hAnsi="Times New Roman" w:cs="Times New Roman"/>
        </w:rPr>
        <w:t>Podaja</w:t>
      </w:r>
      <w:r w:rsidR="00B42E28" w:rsidRPr="003C07E1">
        <w:rPr>
          <w:rFonts w:ascii="Times New Roman" w:hAnsi="Times New Roman" w:cs="Times New Roman"/>
        </w:rPr>
        <w:t xml:space="preserve"> celostno oceno okolja v Evropi, ki vključuje podatke na svetovni, regionalni in nacionalni ravni ter primerjave med državami.</w:t>
      </w:r>
      <w:r w:rsidR="005F3380">
        <w:rPr>
          <w:rFonts w:ascii="Times New Roman" w:hAnsi="Times New Roman" w:cs="Times New Roman"/>
        </w:rPr>
        <w:t xml:space="preserve"> </w:t>
      </w:r>
      <w:r w:rsidR="008E3839">
        <w:rPr>
          <w:rFonts w:ascii="Times New Roman" w:hAnsi="Times New Roman" w:cs="Times New Roman"/>
        </w:rPr>
        <w:t xml:space="preserve">Podaja tudi </w:t>
      </w:r>
      <w:proofErr w:type="spellStart"/>
      <w:r w:rsidR="008E3839">
        <w:rPr>
          <w:rFonts w:ascii="Times New Roman" w:hAnsi="Times New Roman" w:cs="Times New Roman"/>
        </w:rPr>
        <w:t>izglede</w:t>
      </w:r>
      <w:proofErr w:type="spellEnd"/>
      <w:r w:rsidR="008E3839">
        <w:rPr>
          <w:rFonts w:ascii="Times New Roman" w:hAnsi="Times New Roman" w:cs="Times New Roman"/>
        </w:rPr>
        <w:t xml:space="preserve"> za razvoj okolja v naslednjih letih.</w:t>
      </w:r>
    </w:p>
    <w:p w:rsidR="008E3839" w:rsidRPr="003C07E1" w:rsidRDefault="00C87497" w:rsidP="008E38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okviru predstavitve bomo izpostavili vidike razvoja zelenega gospodarstva</w:t>
      </w:r>
      <w:r w:rsidR="008E3839">
        <w:rPr>
          <w:rFonts w:ascii="Times New Roman" w:hAnsi="Times New Roman" w:cs="Times New Roman"/>
        </w:rPr>
        <w:t xml:space="preserve">. Ta poudarja gospodarski razvoj, ki </w:t>
      </w:r>
      <w:r w:rsidR="008E3839" w:rsidRPr="003C07E1">
        <w:rPr>
          <w:rFonts w:ascii="Times New Roman" w:hAnsi="Times New Roman" w:cs="Times New Roman"/>
        </w:rPr>
        <w:t>gospodarno ravna z viri, upošteva okoljske omejitve in je družbeno pravičen. Zahteva sočasno prizadevanje za doseganje gospodarskih, okoljskih in družbenih ciljev. Pri zelenem gospodars</w:t>
      </w:r>
      <w:r w:rsidR="008E3839">
        <w:rPr>
          <w:rFonts w:ascii="Times New Roman" w:hAnsi="Times New Roman" w:cs="Times New Roman"/>
        </w:rPr>
        <w:t>t</w:t>
      </w:r>
      <w:r w:rsidR="008E3839" w:rsidRPr="003C07E1">
        <w:rPr>
          <w:rFonts w:ascii="Times New Roman" w:hAnsi="Times New Roman" w:cs="Times New Roman"/>
        </w:rPr>
        <w:t>vu, ki je širši koncept od krožnega</w:t>
      </w:r>
      <w:r w:rsidR="008E3839">
        <w:rPr>
          <w:rFonts w:ascii="Times New Roman" w:hAnsi="Times New Roman" w:cs="Times New Roman"/>
        </w:rPr>
        <w:t xml:space="preserve"> gospodarstva je bistveno trajno upravljanje z vodo, energijo, hrano in materiali. S tem </w:t>
      </w:r>
      <w:r w:rsidR="008E3839" w:rsidRPr="003C07E1">
        <w:rPr>
          <w:rFonts w:ascii="Times New Roman" w:hAnsi="Times New Roman" w:cs="Times New Roman"/>
        </w:rPr>
        <w:t>bomo izboljša</w:t>
      </w:r>
      <w:r w:rsidR="008E3839">
        <w:rPr>
          <w:rFonts w:ascii="Times New Roman" w:hAnsi="Times New Roman" w:cs="Times New Roman"/>
        </w:rPr>
        <w:t>l</w:t>
      </w:r>
      <w:r w:rsidR="008E3839" w:rsidRPr="003C07E1">
        <w:rPr>
          <w:rFonts w:ascii="Times New Roman" w:hAnsi="Times New Roman" w:cs="Times New Roman"/>
        </w:rPr>
        <w:t>i odpornost ekosistemov in</w:t>
      </w:r>
      <w:r w:rsidR="008E3839">
        <w:rPr>
          <w:rFonts w:ascii="Times New Roman" w:hAnsi="Times New Roman" w:cs="Times New Roman"/>
        </w:rPr>
        <w:t xml:space="preserve"> zagotovili blaginjo ljudem</w:t>
      </w:r>
      <w:r w:rsidR="008E3839" w:rsidRPr="003C07E1">
        <w:rPr>
          <w:rFonts w:ascii="Times New Roman" w:hAnsi="Times New Roman" w:cs="Times New Roman"/>
        </w:rPr>
        <w:t xml:space="preserve">. Upošteva tudi širše gospodarske in družbene vidike, kot so konkurenčnost in družbena neenakost </w:t>
      </w:r>
      <w:r w:rsidR="008E3839">
        <w:rPr>
          <w:rFonts w:ascii="Times New Roman" w:hAnsi="Times New Roman" w:cs="Times New Roman"/>
        </w:rPr>
        <w:t>z vidika</w:t>
      </w:r>
      <w:r w:rsidR="008E3839" w:rsidRPr="003C07E1">
        <w:rPr>
          <w:rFonts w:ascii="Times New Roman" w:hAnsi="Times New Roman" w:cs="Times New Roman"/>
        </w:rPr>
        <w:t xml:space="preserve"> izpostavljenosti okoljskim pritiskom in dostop do zelenih površin.</w:t>
      </w:r>
    </w:p>
    <w:p w:rsidR="003C07E1" w:rsidRDefault="00B3325C" w:rsidP="00F343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okviru dogodka bomo poskušali osvetliti predvsem naslednja vprašanja</w:t>
      </w:r>
      <w:r w:rsidR="003C07E1">
        <w:rPr>
          <w:rFonts w:ascii="Times New Roman" w:hAnsi="Times New Roman" w:cs="Times New Roman"/>
        </w:rPr>
        <w:t>:</w:t>
      </w:r>
    </w:p>
    <w:p w:rsidR="003C07E1" w:rsidRDefault="003C07E1" w:rsidP="000809F8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</w:rPr>
      </w:pPr>
      <w:r w:rsidRPr="000809F8">
        <w:rPr>
          <w:rFonts w:ascii="Times New Roman" w:hAnsi="Times New Roman" w:cs="Times New Roman"/>
        </w:rPr>
        <w:t>Kaj kažejo trendi v Evropi?</w:t>
      </w:r>
    </w:p>
    <w:p w:rsidR="008E3839" w:rsidRDefault="008E3839" w:rsidP="000809F8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Katere okoljske politike so uspešne</w:t>
      </w:r>
      <w:r w:rsidR="00EC5C87">
        <w:rPr>
          <w:rFonts w:ascii="Times New Roman" w:hAnsi="Times New Roman" w:cs="Times New Roman"/>
        </w:rPr>
        <w:t xml:space="preserve">, katere niso </w:t>
      </w:r>
      <w:r>
        <w:rPr>
          <w:rFonts w:ascii="Times New Roman" w:hAnsi="Times New Roman" w:cs="Times New Roman"/>
        </w:rPr>
        <w:t>in zakaj</w:t>
      </w:r>
      <w:r w:rsidR="00EC5C87">
        <w:rPr>
          <w:rFonts w:ascii="Times New Roman" w:hAnsi="Times New Roman" w:cs="Times New Roman"/>
        </w:rPr>
        <w:t>?</w:t>
      </w:r>
    </w:p>
    <w:p w:rsidR="00EC5C87" w:rsidRPr="000809F8" w:rsidRDefault="00EC5C87" w:rsidP="000809F8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Kateri so ključni izzivi za nadaljnjih 5 in več let z upoštevanjem globalnih </w:t>
      </w:r>
      <w:proofErr w:type="spellStart"/>
      <w:r>
        <w:rPr>
          <w:rFonts w:ascii="Times New Roman" w:hAnsi="Times New Roman" w:cs="Times New Roman"/>
        </w:rPr>
        <w:t>megatrendov</w:t>
      </w:r>
      <w:proofErr w:type="spellEnd"/>
      <w:r>
        <w:rPr>
          <w:rFonts w:ascii="Times New Roman" w:hAnsi="Times New Roman" w:cs="Times New Roman"/>
        </w:rPr>
        <w:t>?</w:t>
      </w:r>
    </w:p>
    <w:p w:rsidR="003C07E1" w:rsidRDefault="008C3323" w:rsidP="000809F8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3C07E1" w:rsidRPr="000809F8">
        <w:rPr>
          <w:rFonts w:ascii="Times New Roman" w:hAnsi="Times New Roman" w:cs="Times New Roman"/>
        </w:rPr>
        <w:t>ako lahko napredek spremljamo?</w:t>
      </w:r>
    </w:p>
    <w:p w:rsidR="00EC5C87" w:rsidRPr="000809F8" w:rsidRDefault="00EC5C87" w:rsidP="00EC5C87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Znamo razbrati potenciale</w:t>
      </w:r>
      <w:r w:rsidRPr="000809F8">
        <w:rPr>
          <w:rFonts w:ascii="Times New Roman" w:hAnsi="Times New Roman" w:cs="Times New Roman"/>
        </w:rPr>
        <w:t xml:space="preserve"> Slovenije?</w:t>
      </w:r>
    </w:p>
    <w:p w:rsidR="00F816CE" w:rsidRPr="000809F8" w:rsidRDefault="008C3323" w:rsidP="000809F8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3C07E1" w:rsidRPr="000809F8">
        <w:rPr>
          <w:rFonts w:ascii="Times New Roman" w:hAnsi="Times New Roman" w:cs="Times New Roman"/>
        </w:rPr>
        <w:t>do so akterji, ki bi lahko vplivali na hitrejše pozitivne spremembe</w:t>
      </w:r>
      <w:r w:rsidR="000809F8" w:rsidRPr="000809F8">
        <w:rPr>
          <w:rFonts w:ascii="Times New Roman" w:hAnsi="Times New Roman" w:cs="Times New Roman"/>
        </w:rPr>
        <w:t>?</w:t>
      </w:r>
    </w:p>
    <w:p w:rsidR="0091093A" w:rsidRPr="003C07E1" w:rsidRDefault="0091093A" w:rsidP="00F34307">
      <w:pPr>
        <w:rPr>
          <w:rFonts w:ascii="Times New Roman" w:hAnsi="Times New Roman" w:cs="Times New Roman"/>
        </w:rPr>
      </w:pPr>
      <w:r w:rsidRPr="003C07E1">
        <w:rPr>
          <w:rFonts w:ascii="Times New Roman" w:hAnsi="Times New Roman" w:cs="Times New Roman"/>
        </w:rPr>
        <w:t xml:space="preserve">Predstavitev bomo </w:t>
      </w:r>
      <w:r w:rsidR="00F816CE" w:rsidRPr="003C07E1">
        <w:rPr>
          <w:rFonts w:ascii="Times New Roman" w:hAnsi="Times New Roman" w:cs="Times New Roman"/>
        </w:rPr>
        <w:t>zaokrožili</w:t>
      </w:r>
      <w:r w:rsidRPr="003C07E1">
        <w:rPr>
          <w:rFonts w:ascii="Times New Roman" w:hAnsi="Times New Roman" w:cs="Times New Roman"/>
        </w:rPr>
        <w:t xml:space="preserve"> z okroglo miz</w:t>
      </w:r>
      <w:r w:rsidR="00F816CE" w:rsidRPr="003C07E1">
        <w:rPr>
          <w:rFonts w:ascii="Times New Roman" w:hAnsi="Times New Roman" w:cs="Times New Roman"/>
        </w:rPr>
        <w:t xml:space="preserve">o na temo zelenega gospodarstva z gosti iz tujine ter domačimi strokovnjaki z različnih področij. </w:t>
      </w:r>
    </w:p>
    <w:p w:rsidR="0091093A" w:rsidRPr="003C07E1" w:rsidRDefault="0091093A" w:rsidP="00F34307">
      <w:pPr>
        <w:rPr>
          <w:rFonts w:ascii="Times New Roman" w:hAnsi="Times New Roman" w:cs="Times New Roman"/>
        </w:rPr>
      </w:pPr>
      <w:r w:rsidRPr="003C07E1">
        <w:rPr>
          <w:rFonts w:ascii="Times New Roman" w:hAnsi="Times New Roman" w:cs="Times New Roman"/>
        </w:rPr>
        <w:t>Vabljeni!</w:t>
      </w:r>
    </w:p>
    <w:p w:rsidR="00113524" w:rsidRDefault="00D019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91093A" w:rsidRPr="003C07E1">
        <w:rPr>
          <w:rFonts w:ascii="Times New Roman" w:hAnsi="Times New Roman" w:cs="Times New Roman"/>
        </w:rPr>
        <w:t xml:space="preserve">ogodek je brezplačen, svojo udeležbo prosim potrdite na: </w:t>
      </w:r>
      <w:hyperlink r:id="rId7" w:history="1">
        <w:r w:rsidR="000C6E1F">
          <w:rPr>
            <w:rFonts w:ascii="Tms Rmn" w:hAnsi="Tms Rmn" w:cs="Tms Rmn"/>
            <w:color w:val="0000FF"/>
            <w:sz w:val="24"/>
            <w:szCs w:val="24"/>
            <w:u w:val="single"/>
          </w:rPr>
          <w:t>evropsko.okolje@</w:t>
        </w:r>
        <w:proofErr w:type="spellStart"/>
        <w:r w:rsidR="000C6E1F">
          <w:rPr>
            <w:rFonts w:ascii="Tms Rmn" w:hAnsi="Tms Rmn" w:cs="Tms Rmn"/>
            <w:color w:val="0000FF"/>
            <w:sz w:val="24"/>
            <w:szCs w:val="24"/>
            <w:u w:val="single"/>
          </w:rPr>
          <w:t>epr</w:t>
        </w:r>
        <w:proofErr w:type="spellEnd"/>
        <w:r w:rsidR="000C6E1F">
          <w:rPr>
            <w:rFonts w:ascii="Tms Rmn" w:hAnsi="Tms Rmn" w:cs="Tms Rmn"/>
            <w:color w:val="0000FF"/>
            <w:sz w:val="24"/>
            <w:szCs w:val="24"/>
            <w:u w:val="single"/>
          </w:rPr>
          <w:t>.si</w:t>
        </w:r>
      </w:hyperlink>
      <w:r w:rsidR="008E3839">
        <w:rPr>
          <w:rFonts w:ascii="Times New Roman" w:hAnsi="Times New Roman" w:cs="Times New Roman"/>
        </w:rPr>
        <w:t>.</w:t>
      </w:r>
      <w:r w:rsidR="00113524">
        <w:rPr>
          <w:rFonts w:ascii="Times New Roman" w:hAnsi="Times New Roman" w:cs="Times New Roman"/>
        </w:rPr>
        <w:br w:type="page"/>
      </w:r>
    </w:p>
    <w:p w:rsidR="00D02802" w:rsidRPr="00057392" w:rsidRDefault="00B25603" w:rsidP="000C6E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Predviden dnevni red</w:t>
      </w:r>
      <w:r w:rsidR="00D02802" w:rsidRPr="00057392">
        <w:rPr>
          <w:rFonts w:ascii="Times New Roman" w:hAnsi="Times New Roman" w:cs="Times New Roman"/>
          <w:b/>
        </w:rPr>
        <w:t>:</w:t>
      </w:r>
    </w:p>
    <w:tbl>
      <w:tblPr>
        <w:tblStyle w:val="Tabela-mrea"/>
        <w:tblW w:w="9782" w:type="dxa"/>
        <w:tblInd w:w="-176" w:type="dxa"/>
        <w:tblLook w:val="04A0"/>
      </w:tblPr>
      <w:tblGrid>
        <w:gridCol w:w="1277"/>
        <w:gridCol w:w="2976"/>
        <w:gridCol w:w="5529"/>
      </w:tblGrid>
      <w:tr w:rsidR="00D02802" w:rsidTr="00057392">
        <w:tc>
          <w:tcPr>
            <w:tcW w:w="1277" w:type="dxa"/>
            <w:shd w:val="clear" w:color="auto" w:fill="B5DAE7"/>
          </w:tcPr>
          <w:p w:rsidR="00D02802" w:rsidRPr="00D02802" w:rsidRDefault="00D02802" w:rsidP="00AD279A">
            <w:pPr>
              <w:jc w:val="center"/>
              <w:rPr>
                <w:rFonts w:ascii="Arial" w:hAnsi="Arial" w:cs="Arial"/>
              </w:rPr>
            </w:pPr>
            <w:r w:rsidRPr="00D02802">
              <w:rPr>
                <w:rFonts w:ascii="Arial" w:hAnsi="Arial" w:cs="Arial"/>
              </w:rPr>
              <w:t>9.00</w:t>
            </w:r>
          </w:p>
        </w:tc>
        <w:tc>
          <w:tcPr>
            <w:tcW w:w="2976" w:type="dxa"/>
            <w:shd w:val="clear" w:color="auto" w:fill="B5DAE7"/>
          </w:tcPr>
          <w:p w:rsidR="00D02802" w:rsidRPr="00D02802" w:rsidRDefault="00D02802" w:rsidP="00AD279A">
            <w:pPr>
              <w:rPr>
                <w:rFonts w:ascii="Arial" w:hAnsi="Arial" w:cs="Arial"/>
              </w:rPr>
            </w:pPr>
            <w:r w:rsidRPr="00D02802">
              <w:rPr>
                <w:rFonts w:ascii="Arial" w:hAnsi="Arial" w:cs="Arial"/>
              </w:rPr>
              <w:t>Registracija in jutranja kava</w:t>
            </w:r>
          </w:p>
        </w:tc>
        <w:tc>
          <w:tcPr>
            <w:tcW w:w="5529" w:type="dxa"/>
            <w:shd w:val="clear" w:color="auto" w:fill="B5DAE7"/>
          </w:tcPr>
          <w:p w:rsidR="00D02802" w:rsidRPr="00D02802" w:rsidRDefault="00D02802" w:rsidP="00AD279A">
            <w:pPr>
              <w:jc w:val="center"/>
              <w:rPr>
                <w:rFonts w:ascii="Arial" w:hAnsi="Arial" w:cs="Arial"/>
              </w:rPr>
            </w:pPr>
          </w:p>
        </w:tc>
      </w:tr>
      <w:tr w:rsidR="00D02802" w:rsidTr="00AD279A">
        <w:trPr>
          <w:trHeight w:val="1224"/>
        </w:trPr>
        <w:tc>
          <w:tcPr>
            <w:tcW w:w="1277" w:type="dxa"/>
          </w:tcPr>
          <w:p w:rsidR="00D02802" w:rsidRPr="00D02802" w:rsidRDefault="00D02802" w:rsidP="00AD279A">
            <w:pPr>
              <w:jc w:val="center"/>
              <w:rPr>
                <w:rFonts w:ascii="Arial" w:hAnsi="Arial" w:cs="Arial"/>
              </w:rPr>
            </w:pPr>
            <w:r w:rsidRPr="00D02802">
              <w:rPr>
                <w:rFonts w:ascii="Arial" w:hAnsi="Arial" w:cs="Arial"/>
              </w:rPr>
              <w:t>9.30</w:t>
            </w:r>
          </w:p>
        </w:tc>
        <w:tc>
          <w:tcPr>
            <w:tcW w:w="2976" w:type="dxa"/>
          </w:tcPr>
          <w:p w:rsidR="00D02802" w:rsidRPr="00D02802" w:rsidRDefault="00D02802" w:rsidP="00AD279A">
            <w:pPr>
              <w:rPr>
                <w:rFonts w:ascii="Arial" w:hAnsi="Arial" w:cs="Arial"/>
                <w:b/>
              </w:rPr>
            </w:pPr>
            <w:r w:rsidRPr="00D02802">
              <w:rPr>
                <w:rFonts w:ascii="Arial" w:hAnsi="Arial" w:cs="Arial"/>
                <w:b/>
              </w:rPr>
              <w:t>Uvodni nagovori</w:t>
            </w:r>
          </w:p>
        </w:tc>
        <w:tc>
          <w:tcPr>
            <w:tcW w:w="5529" w:type="dxa"/>
          </w:tcPr>
          <w:p w:rsidR="00D02802" w:rsidRPr="00D02802" w:rsidRDefault="00D02802" w:rsidP="00D02802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D02802">
              <w:rPr>
                <w:rFonts w:ascii="Arial" w:hAnsi="Arial" w:cs="Arial"/>
              </w:rPr>
              <w:t>Irena Majcen, ministrica za okolje in prostor</w:t>
            </w:r>
          </w:p>
          <w:p w:rsidR="00D02802" w:rsidRPr="00D02802" w:rsidRDefault="00D02802" w:rsidP="00D96232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D02802">
              <w:rPr>
                <w:rFonts w:ascii="Arial" w:hAnsi="Arial" w:cs="Arial"/>
              </w:rPr>
              <w:t>Joško Knez, direktor ARSO ter predstavnik Slovenije v Upravnem odboru Evropske agencije za okolje</w:t>
            </w:r>
          </w:p>
        </w:tc>
      </w:tr>
      <w:tr w:rsidR="00D02802" w:rsidTr="00AD279A">
        <w:tc>
          <w:tcPr>
            <w:tcW w:w="1277" w:type="dxa"/>
          </w:tcPr>
          <w:p w:rsidR="00D02802" w:rsidRPr="00D02802" w:rsidRDefault="00D02802" w:rsidP="00AD279A">
            <w:pPr>
              <w:jc w:val="center"/>
              <w:rPr>
                <w:rFonts w:ascii="Arial" w:hAnsi="Arial" w:cs="Arial"/>
              </w:rPr>
            </w:pPr>
            <w:r w:rsidRPr="00D02802">
              <w:rPr>
                <w:rFonts w:ascii="Arial" w:hAnsi="Arial" w:cs="Arial"/>
              </w:rPr>
              <w:t>10.00</w:t>
            </w:r>
          </w:p>
        </w:tc>
        <w:tc>
          <w:tcPr>
            <w:tcW w:w="2976" w:type="dxa"/>
          </w:tcPr>
          <w:p w:rsidR="00D02802" w:rsidRPr="00D02802" w:rsidRDefault="00D02802" w:rsidP="00AD279A">
            <w:pPr>
              <w:rPr>
                <w:rFonts w:ascii="Arial" w:hAnsi="Arial" w:cs="Arial"/>
                <w:b/>
              </w:rPr>
            </w:pPr>
            <w:r w:rsidRPr="00D02802">
              <w:rPr>
                <w:rFonts w:ascii="Arial" w:hAnsi="Arial" w:cs="Arial"/>
                <w:b/>
              </w:rPr>
              <w:t>Predstavitev evropskega poročila SOER 2015 s poudarkom na zelenem gospodarstvu*</w:t>
            </w:r>
          </w:p>
        </w:tc>
        <w:tc>
          <w:tcPr>
            <w:tcW w:w="5529" w:type="dxa"/>
          </w:tcPr>
          <w:p w:rsidR="00057392" w:rsidRDefault="00057392" w:rsidP="00AD279A">
            <w:pPr>
              <w:rPr>
                <w:rFonts w:ascii="Arial" w:hAnsi="Arial" w:cs="Arial"/>
              </w:rPr>
            </w:pPr>
          </w:p>
          <w:p w:rsidR="00D02802" w:rsidRPr="00D02802" w:rsidRDefault="00D02802" w:rsidP="00AD279A">
            <w:pPr>
              <w:rPr>
                <w:rFonts w:ascii="Arial" w:hAnsi="Arial" w:cs="Arial"/>
              </w:rPr>
            </w:pPr>
            <w:proofErr w:type="spellStart"/>
            <w:r w:rsidRPr="00D02802">
              <w:rPr>
                <w:rFonts w:ascii="Arial" w:hAnsi="Arial" w:cs="Arial"/>
              </w:rPr>
              <w:t>Jock</w:t>
            </w:r>
            <w:proofErr w:type="spellEnd"/>
            <w:r w:rsidRPr="00D02802">
              <w:rPr>
                <w:rFonts w:ascii="Arial" w:hAnsi="Arial" w:cs="Arial"/>
              </w:rPr>
              <w:t xml:space="preserve"> Martin, vodja Programa integralne ocene okolja, Evropska agencija za okolje (EEA)</w:t>
            </w:r>
          </w:p>
        </w:tc>
      </w:tr>
      <w:tr w:rsidR="00D02802" w:rsidTr="00AD279A">
        <w:tc>
          <w:tcPr>
            <w:tcW w:w="1277" w:type="dxa"/>
          </w:tcPr>
          <w:p w:rsidR="00D02802" w:rsidRPr="00D02802" w:rsidRDefault="00D02802" w:rsidP="00AD279A">
            <w:pPr>
              <w:jc w:val="center"/>
              <w:rPr>
                <w:rFonts w:ascii="Arial" w:hAnsi="Arial" w:cs="Arial"/>
              </w:rPr>
            </w:pPr>
            <w:r w:rsidRPr="00D02802">
              <w:rPr>
                <w:rFonts w:ascii="Arial" w:hAnsi="Arial" w:cs="Arial"/>
              </w:rPr>
              <w:t>10.40</w:t>
            </w:r>
          </w:p>
        </w:tc>
        <w:tc>
          <w:tcPr>
            <w:tcW w:w="2976" w:type="dxa"/>
          </w:tcPr>
          <w:p w:rsidR="00D02802" w:rsidRPr="00D02802" w:rsidRDefault="00D02802" w:rsidP="00AD279A">
            <w:pPr>
              <w:rPr>
                <w:rFonts w:ascii="Arial" w:hAnsi="Arial" w:cs="Arial"/>
                <w:b/>
              </w:rPr>
            </w:pPr>
            <w:r w:rsidRPr="00D02802">
              <w:rPr>
                <w:rFonts w:ascii="Arial" w:hAnsi="Arial" w:cs="Arial"/>
                <w:b/>
                <w:color w:val="000000"/>
              </w:rPr>
              <w:t xml:space="preserve">SOER 2015 – ocena globalnih </w:t>
            </w:r>
            <w:proofErr w:type="spellStart"/>
            <w:r w:rsidRPr="00D02802">
              <w:rPr>
                <w:rFonts w:ascii="Arial" w:hAnsi="Arial" w:cs="Arial"/>
                <w:b/>
                <w:color w:val="000000"/>
              </w:rPr>
              <w:t>megatrendov</w:t>
            </w:r>
            <w:proofErr w:type="spellEnd"/>
            <w:r w:rsidRPr="00D02802">
              <w:rPr>
                <w:rFonts w:ascii="Arial" w:hAnsi="Arial" w:cs="Arial"/>
                <w:b/>
                <w:color w:val="000000"/>
              </w:rPr>
              <w:t xml:space="preserve"> relevantnih za Evropo</w:t>
            </w:r>
          </w:p>
        </w:tc>
        <w:tc>
          <w:tcPr>
            <w:tcW w:w="5529" w:type="dxa"/>
          </w:tcPr>
          <w:p w:rsidR="00D02802" w:rsidRPr="00D02802" w:rsidRDefault="00D02802" w:rsidP="00AD279A">
            <w:pPr>
              <w:rPr>
                <w:rFonts w:ascii="Arial" w:hAnsi="Arial" w:cs="Arial"/>
              </w:rPr>
            </w:pPr>
            <w:r w:rsidRPr="00D02802">
              <w:rPr>
                <w:rFonts w:ascii="Arial" w:hAnsi="Arial" w:cs="Arial"/>
              </w:rPr>
              <w:t>Anita Pirc Velkavrh, Dolgoročne in trajnostne ocene, Program integralne ocene okolja, EEA, kontaktna točka za Slovenijo</w:t>
            </w:r>
          </w:p>
        </w:tc>
      </w:tr>
      <w:tr w:rsidR="00D02802" w:rsidTr="00AD279A">
        <w:tc>
          <w:tcPr>
            <w:tcW w:w="1277" w:type="dxa"/>
          </w:tcPr>
          <w:p w:rsidR="00D02802" w:rsidRPr="00D02802" w:rsidRDefault="00D02802" w:rsidP="00AD279A">
            <w:pPr>
              <w:jc w:val="center"/>
              <w:rPr>
                <w:rFonts w:ascii="Arial" w:hAnsi="Arial" w:cs="Arial"/>
              </w:rPr>
            </w:pPr>
            <w:r w:rsidRPr="00D02802">
              <w:rPr>
                <w:rFonts w:ascii="Arial" w:hAnsi="Arial" w:cs="Arial"/>
              </w:rPr>
              <w:t>11.00</w:t>
            </w:r>
          </w:p>
        </w:tc>
        <w:tc>
          <w:tcPr>
            <w:tcW w:w="2976" w:type="dxa"/>
          </w:tcPr>
          <w:p w:rsidR="00D02802" w:rsidRPr="00D02802" w:rsidRDefault="00D02802" w:rsidP="00AD279A">
            <w:pPr>
              <w:rPr>
                <w:rFonts w:ascii="Arial" w:hAnsi="Arial" w:cs="Arial"/>
                <w:b/>
              </w:rPr>
            </w:pPr>
            <w:r w:rsidRPr="00D02802">
              <w:rPr>
                <w:rFonts w:ascii="Arial" w:hAnsi="Arial" w:cs="Arial"/>
                <w:b/>
              </w:rPr>
              <w:t>Kazalci okolja kot orodje za spremljanje okoljskih trendov v Sloveniji</w:t>
            </w:r>
          </w:p>
        </w:tc>
        <w:tc>
          <w:tcPr>
            <w:tcW w:w="5529" w:type="dxa"/>
          </w:tcPr>
          <w:p w:rsidR="00057392" w:rsidRDefault="00057392" w:rsidP="00AD279A">
            <w:pPr>
              <w:rPr>
                <w:rFonts w:ascii="Arial" w:hAnsi="Arial" w:cs="Arial"/>
              </w:rPr>
            </w:pPr>
          </w:p>
          <w:p w:rsidR="00D02802" w:rsidRPr="00D02802" w:rsidRDefault="00CD7C52" w:rsidP="00AD27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mag. </w:t>
            </w:r>
            <w:r w:rsidR="00D02802" w:rsidRPr="00D02802">
              <w:rPr>
                <w:rFonts w:ascii="Arial" w:hAnsi="Arial" w:cs="Arial"/>
              </w:rPr>
              <w:t>Nataša Kovač, Agencija RS za okolje</w:t>
            </w:r>
          </w:p>
        </w:tc>
      </w:tr>
      <w:tr w:rsidR="00D02802" w:rsidTr="00057392">
        <w:tc>
          <w:tcPr>
            <w:tcW w:w="1277" w:type="dxa"/>
            <w:tcBorders>
              <w:bottom w:val="single" w:sz="4" w:space="0" w:color="auto"/>
            </w:tcBorders>
          </w:tcPr>
          <w:p w:rsidR="00D02802" w:rsidRPr="00D02802" w:rsidRDefault="00D02802" w:rsidP="00AD279A">
            <w:pPr>
              <w:jc w:val="center"/>
              <w:rPr>
                <w:rFonts w:ascii="Arial" w:hAnsi="Arial" w:cs="Arial"/>
              </w:rPr>
            </w:pPr>
            <w:r w:rsidRPr="00D02802">
              <w:rPr>
                <w:rFonts w:ascii="Arial" w:hAnsi="Arial" w:cs="Arial"/>
              </w:rPr>
              <w:t>11.30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D02802" w:rsidRPr="00D02802" w:rsidRDefault="00D02802" w:rsidP="00AD279A">
            <w:pPr>
              <w:rPr>
                <w:rFonts w:ascii="Arial" w:hAnsi="Arial" w:cs="Arial"/>
                <w:b/>
              </w:rPr>
            </w:pPr>
            <w:r w:rsidRPr="00D02802">
              <w:rPr>
                <w:rFonts w:ascii="Arial" w:hAnsi="Arial" w:cs="Arial"/>
                <w:b/>
              </w:rPr>
              <w:t>Kakovost okolja in trajnost razvoja v Sloveniji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057392" w:rsidRDefault="00057392" w:rsidP="00AD279A">
            <w:pPr>
              <w:rPr>
                <w:rFonts w:ascii="Arial" w:hAnsi="Arial" w:cs="Arial"/>
                <w:bCs/>
                <w:color w:val="000000"/>
              </w:rPr>
            </w:pPr>
          </w:p>
          <w:p w:rsidR="00D02802" w:rsidRPr="00D02802" w:rsidRDefault="00CD7C52" w:rsidP="00AD279A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mag. </w:t>
            </w:r>
            <w:proofErr w:type="spellStart"/>
            <w:r w:rsidR="00D02802" w:rsidRPr="00D02802">
              <w:rPr>
                <w:rFonts w:ascii="Arial" w:hAnsi="Arial" w:cs="Arial"/>
                <w:bCs/>
                <w:color w:val="000000"/>
              </w:rPr>
              <w:t>Rotija</w:t>
            </w:r>
            <w:proofErr w:type="spellEnd"/>
            <w:r w:rsidR="00D02802" w:rsidRPr="00D02802">
              <w:rPr>
                <w:rFonts w:ascii="Arial" w:hAnsi="Arial" w:cs="Arial"/>
                <w:bCs/>
                <w:color w:val="000000"/>
              </w:rPr>
              <w:t xml:space="preserve"> Kmet Zupančič, Urad RS za makroekonomske analize in razvoj</w:t>
            </w:r>
          </w:p>
        </w:tc>
      </w:tr>
      <w:tr w:rsidR="00D02802" w:rsidTr="00057392">
        <w:tc>
          <w:tcPr>
            <w:tcW w:w="1277" w:type="dxa"/>
            <w:shd w:val="clear" w:color="auto" w:fill="B5DAE7"/>
          </w:tcPr>
          <w:p w:rsidR="00D02802" w:rsidRPr="00D02802" w:rsidRDefault="00D02802" w:rsidP="00AD279A">
            <w:pPr>
              <w:jc w:val="center"/>
              <w:rPr>
                <w:rFonts w:ascii="Arial" w:hAnsi="Arial" w:cs="Arial"/>
              </w:rPr>
            </w:pPr>
            <w:r w:rsidRPr="00D02802">
              <w:rPr>
                <w:rFonts w:ascii="Arial" w:hAnsi="Arial" w:cs="Arial"/>
              </w:rPr>
              <w:t>12.00</w:t>
            </w:r>
          </w:p>
        </w:tc>
        <w:tc>
          <w:tcPr>
            <w:tcW w:w="2976" w:type="dxa"/>
            <w:shd w:val="clear" w:color="auto" w:fill="B5DAE7"/>
          </w:tcPr>
          <w:p w:rsidR="00D02802" w:rsidRPr="00D02802" w:rsidRDefault="00D02802" w:rsidP="00AD279A">
            <w:pPr>
              <w:rPr>
                <w:rFonts w:ascii="Arial" w:hAnsi="Arial" w:cs="Arial"/>
              </w:rPr>
            </w:pPr>
            <w:r w:rsidRPr="00D02802">
              <w:rPr>
                <w:rFonts w:ascii="Arial" w:hAnsi="Arial" w:cs="Arial"/>
              </w:rPr>
              <w:t>Kava, prigrizek</w:t>
            </w:r>
          </w:p>
        </w:tc>
        <w:tc>
          <w:tcPr>
            <w:tcW w:w="5529" w:type="dxa"/>
            <w:shd w:val="clear" w:color="auto" w:fill="B5DAE7"/>
          </w:tcPr>
          <w:p w:rsidR="00D02802" w:rsidRPr="00D02802" w:rsidRDefault="00D02802" w:rsidP="00AD279A">
            <w:pPr>
              <w:rPr>
                <w:color w:val="BFBFBF" w:themeColor="background1" w:themeShade="BF"/>
              </w:rPr>
            </w:pPr>
          </w:p>
        </w:tc>
      </w:tr>
      <w:tr w:rsidR="00D02802" w:rsidTr="00AD279A">
        <w:tc>
          <w:tcPr>
            <w:tcW w:w="1277" w:type="dxa"/>
          </w:tcPr>
          <w:p w:rsidR="00D02802" w:rsidRPr="00D02802" w:rsidRDefault="00D02802" w:rsidP="00AD279A">
            <w:pPr>
              <w:jc w:val="center"/>
              <w:rPr>
                <w:rFonts w:ascii="Arial" w:hAnsi="Arial" w:cs="Arial"/>
              </w:rPr>
            </w:pPr>
            <w:r w:rsidRPr="00D02802">
              <w:rPr>
                <w:rFonts w:ascii="Arial" w:hAnsi="Arial" w:cs="Arial"/>
              </w:rPr>
              <w:t>12.30</w:t>
            </w:r>
          </w:p>
        </w:tc>
        <w:tc>
          <w:tcPr>
            <w:tcW w:w="2976" w:type="dxa"/>
          </w:tcPr>
          <w:p w:rsidR="00D02802" w:rsidRPr="00D02802" w:rsidRDefault="00D02802" w:rsidP="00AD279A">
            <w:pPr>
              <w:rPr>
                <w:rFonts w:ascii="Arial" w:hAnsi="Arial" w:cs="Arial"/>
                <w:b/>
              </w:rPr>
            </w:pPr>
            <w:r w:rsidRPr="00D02802">
              <w:rPr>
                <w:rFonts w:ascii="Arial" w:hAnsi="Arial" w:cs="Arial"/>
                <w:b/>
              </w:rPr>
              <w:t>Okrogla miza*</w:t>
            </w:r>
          </w:p>
        </w:tc>
        <w:tc>
          <w:tcPr>
            <w:tcW w:w="5529" w:type="dxa"/>
          </w:tcPr>
          <w:p w:rsidR="00D02802" w:rsidRPr="00D02802" w:rsidRDefault="00D02802" w:rsidP="00AD279A">
            <w:pPr>
              <w:rPr>
                <w:color w:val="BFBFBF" w:themeColor="background1" w:themeShade="BF"/>
              </w:rPr>
            </w:pPr>
          </w:p>
        </w:tc>
      </w:tr>
      <w:tr w:rsidR="00D02802" w:rsidTr="00AD279A">
        <w:tc>
          <w:tcPr>
            <w:tcW w:w="1277" w:type="dxa"/>
            <w:vMerge w:val="restart"/>
          </w:tcPr>
          <w:p w:rsidR="00D02802" w:rsidRPr="00D02802" w:rsidRDefault="00D02802" w:rsidP="00AD27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D02802" w:rsidRPr="00D02802" w:rsidRDefault="00D02802" w:rsidP="00AD279A">
            <w:pPr>
              <w:rPr>
                <w:rFonts w:ascii="Arial" w:hAnsi="Arial" w:cs="Arial"/>
              </w:rPr>
            </w:pPr>
            <w:r w:rsidRPr="00D02802">
              <w:rPr>
                <w:rFonts w:ascii="Arial" w:hAnsi="Arial" w:cs="Arial"/>
              </w:rPr>
              <w:t>Uvodna predstavitev: Zeleno gospodarstvo z vidika Evropske agencije za okolje</w:t>
            </w:r>
          </w:p>
        </w:tc>
        <w:tc>
          <w:tcPr>
            <w:tcW w:w="5529" w:type="dxa"/>
          </w:tcPr>
          <w:p w:rsidR="00057392" w:rsidRDefault="00057392" w:rsidP="00AD279A">
            <w:pPr>
              <w:rPr>
                <w:rFonts w:ascii="Arial" w:hAnsi="Arial" w:cs="Arial"/>
              </w:rPr>
            </w:pPr>
          </w:p>
          <w:p w:rsidR="00D02802" w:rsidRPr="00D02802" w:rsidRDefault="00D02802" w:rsidP="00AD279A">
            <w:pPr>
              <w:rPr>
                <w:color w:val="BFBFBF" w:themeColor="background1" w:themeShade="BF"/>
              </w:rPr>
            </w:pPr>
            <w:proofErr w:type="spellStart"/>
            <w:r w:rsidRPr="00D02802">
              <w:rPr>
                <w:rFonts w:ascii="Arial" w:hAnsi="Arial" w:cs="Arial"/>
              </w:rPr>
              <w:t>Jock</w:t>
            </w:r>
            <w:proofErr w:type="spellEnd"/>
            <w:r w:rsidRPr="00D02802">
              <w:rPr>
                <w:rFonts w:ascii="Arial" w:hAnsi="Arial" w:cs="Arial"/>
              </w:rPr>
              <w:t xml:space="preserve"> Martin, vodja Programa integralne ocene okolja, Evropska agencija za okolje</w:t>
            </w:r>
          </w:p>
        </w:tc>
      </w:tr>
      <w:tr w:rsidR="00D02802" w:rsidTr="00AD279A">
        <w:tc>
          <w:tcPr>
            <w:tcW w:w="1277" w:type="dxa"/>
            <w:vMerge/>
          </w:tcPr>
          <w:p w:rsidR="00D02802" w:rsidRPr="00D02802" w:rsidRDefault="00D02802" w:rsidP="00AD27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D02802" w:rsidRPr="00D02802" w:rsidRDefault="00D02802" w:rsidP="00AD279A">
            <w:pPr>
              <w:rPr>
                <w:rFonts w:ascii="Arial" w:hAnsi="Arial" w:cs="Arial"/>
              </w:rPr>
            </w:pPr>
            <w:r w:rsidRPr="00D02802">
              <w:rPr>
                <w:rFonts w:ascii="Arial" w:hAnsi="Arial" w:cs="Arial"/>
              </w:rPr>
              <w:t>Uvodna predstavitev: Aktivnosti Slovenije v smeri zelene rasti</w:t>
            </w:r>
          </w:p>
        </w:tc>
        <w:tc>
          <w:tcPr>
            <w:tcW w:w="5529" w:type="dxa"/>
          </w:tcPr>
          <w:p w:rsidR="00057392" w:rsidRDefault="00057392" w:rsidP="00AD279A">
            <w:pPr>
              <w:rPr>
                <w:rFonts w:ascii="Arial" w:hAnsi="Arial" w:cs="Arial"/>
              </w:rPr>
            </w:pPr>
          </w:p>
          <w:p w:rsidR="00D02802" w:rsidRPr="00D02802" w:rsidRDefault="00385584" w:rsidP="00385584">
            <w:pPr>
              <w:rPr>
                <w:rFonts w:ascii="Arial" w:hAnsi="Arial" w:cs="Arial"/>
              </w:rPr>
            </w:pPr>
            <w:r w:rsidRPr="00334EDF">
              <w:rPr>
                <w:rFonts w:ascii="Arial" w:hAnsi="Arial" w:cs="Arial"/>
              </w:rPr>
              <w:t xml:space="preserve">Tatjana </w:t>
            </w:r>
            <w:proofErr w:type="spellStart"/>
            <w:r w:rsidRPr="00334EDF">
              <w:rPr>
                <w:rFonts w:ascii="Arial" w:hAnsi="Arial" w:cs="Arial"/>
              </w:rPr>
              <w:t>Orhini</w:t>
            </w:r>
            <w:proofErr w:type="spellEnd"/>
            <w:r w:rsidRPr="00334EDF">
              <w:rPr>
                <w:rFonts w:ascii="Arial" w:hAnsi="Arial" w:cs="Arial"/>
              </w:rPr>
              <w:t xml:space="preserve"> - Valjavec, </w:t>
            </w:r>
            <w:r>
              <w:rPr>
                <w:rFonts w:ascii="Arial" w:hAnsi="Arial" w:cs="Arial"/>
              </w:rPr>
              <w:t>Direktorat za okolje</w:t>
            </w:r>
            <w:r w:rsidRPr="00334EDF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Ministrstvo za okolje in prostor </w:t>
            </w:r>
            <w:r w:rsidR="00B25603">
              <w:rPr>
                <w:rFonts w:ascii="Arial" w:hAnsi="Arial" w:cs="Arial"/>
              </w:rPr>
              <w:t>(</w:t>
            </w:r>
            <w:r w:rsidR="00D02802" w:rsidRPr="00D02802">
              <w:rPr>
                <w:rFonts w:ascii="Arial" w:hAnsi="Arial" w:cs="Arial"/>
              </w:rPr>
              <w:t>MOP</w:t>
            </w:r>
            <w:r w:rsidR="00B25603">
              <w:rPr>
                <w:rFonts w:ascii="Arial" w:hAnsi="Arial" w:cs="Arial"/>
              </w:rPr>
              <w:t>)</w:t>
            </w:r>
          </w:p>
        </w:tc>
      </w:tr>
      <w:tr w:rsidR="00D02802" w:rsidTr="00057392"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D02802" w:rsidRPr="00D02802" w:rsidRDefault="00D02802" w:rsidP="00AD27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D02802" w:rsidRPr="00D02802" w:rsidRDefault="00D02802" w:rsidP="00AD279A">
            <w:pPr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D02802" w:rsidRPr="00A603B3" w:rsidRDefault="00D02802" w:rsidP="00AD279A">
            <w:pPr>
              <w:rPr>
                <w:rFonts w:ascii="Arial" w:hAnsi="Arial" w:cs="Arial"/>
              </w:rPr>
            </w:pPr>
            <w:r w:rsidRPr="00A603B3">
              <w:rPr>
                <w:rFonts w:ascii="Arial" w:hAnsi="Arial" w:cs="Arial"/>
              </w:rPr>
              <w:t xml:space="preserve">Udeleženci: </w:t>
            </w:r>
          </w:p>
          <w:p w:rsidR="00B25603" w:rsidRPr="00A603B3" w:rsidRDefault="00B25603" w:rsidP="00B25603">
            <w:pPr>
              <w:pStyle w:val="Odstavekseznam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proofErr w:type="spellStart"/>
            <w:r w:rsidRPr="00A603B3">
              <w:rPr>
                <w:rFonts w:ascii="Arial" w:hAnsi="Arial" w:cs="Arial"/>
              </w:rPr>
              <w:t>Jock</w:t>
            </w:r>
            <w:proofErr w:type="spellEnd"/>
            <w:r w:rsidRPr="00A603B3">
              <w:rPr>
                <w:rFonts w:ascii="Arial" w:hAnsi="Arial" w:cs="Arial"/>
              </w:rPr>
              <w:t xml:space="preserve"> Martin, vodja Programa integralne ocene okolja, EEA </w:t>
            </w:r>
          </w:p>
          <w:p w:rsidR="00B25603" w:rsidRPr="00A603B3" w:rsidRDefault="00B25603" w:rsidP="00B25603">
            <w:pPr>
              <w:pStyle w:val="Odstavekseznam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A603B3">
              <w:rPr>
                <w:rFonts w:ascii="Arial" w:hAnsi="Arial" w:cs="Arial"/>
                <w:color w:val="000000"/>
              </w:rPr>
              <w:t>G.Pierre</w:t>
            </w:r>
            <w:proofErr w:type="spellEnd"/>
            <w:r w:rsidRPr="00A603B3">
              <w:rPr>
                <w:rFonts w:ascii="Arial" w:hAnsi="Arial" w:cs="Arial"/>
                <w:color w:val="000000"/>
              </w:rPr>
              <w:t>-</w:t>
            </w:r>
            <w:proofErr w:type="spellStart"/>
            <w:r w:rsidRPr="00A603B3">
              <w:rPr>
                <w:rFonts w:ascii="Arial" w:hAnsi="Arial" w:cs="Arial"/>
                <w:color w:val="000000"/>
              </w:rPr>
              <w:t>François</w:t>
            </w:r>
            <w:proofErr w:type="spellEnd"/>
            <w:r w:rsidRPr="00A603B3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603B3">
              <w:rPr>
                <w:rFonts w:ascii="Arial" w:hAnsi="Arial" w:cs="Arial"/>
                <w:color w:val="000000"/>
              </w:rPr>
              <w:t>Mourier</w:t>
            </w:r>
            <w:proofErr w:type="spellEnd"/>
            <w:r w:rsidRPr="00A603B3">
              <w:rPr>
                <w:rFonts w:ascii="Arial" w:hAnsi="Arial" w:cs="Arial"/>
                <w:color w:val="000000"/>
              </w:rPr>
              <w:t xml:space="preserve">, francoski veleposlanik v Sloveniji </w:t>
            </w:r>
          </w:p>
          <w:p w:rsidR="00D02802" w:rsidRPr="00334EDF" w:rsidRDefault="00334EDF" w:rsidP="00D02802">
            <w:pPr>
              <w:pStyle w:val="Odstavekseznam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34EDF">
              <w:rPr>
                <w:rFonts w:ascii="Arial" w:hAnsi="Arial" w:cs="Arial"/>
              </w:rPr>
              <w:t xml:space="preserve">Tatjana </w:t>
            </w:r>
            <w:proofErr w:type="spellStart"/>
            <w:r w:rsidRPr="00334EDF">
              <w:rPr>
                <w:rFonts w:ascii="Arial" w:hAnsi="Arial" w:cs="Arial"/>
              </w:rPr>
              <w:t>Orhini</w:t>
            </w:r>
            <w:proofErr w:type="spellEnd"/>
            <w:r w:rsidRPr="00334EDF">
              <w:rPr>
                <w:rFonts w:ascii="Arial" w:hAnsi="Arial" w:cs="Arial"/>
              </w:rPr>
              <w:t xml:space="preserve"> - Valjavec</w:t>
            </w:r>
            <w:r w:rsidR="00D02802" w:rsidRPr="00334EDF">
              <w:rPr>
                <w:rFonts w:ascii="Arial" w:hAnsi="Arial" w:cs="Arial"/>
              </w:rPr>
              <w:t xml:space="preserve">, </w:t>
            </w:r>
            <w:r w:rsidR="00593E23">
              <w:rPr>
                <w:rFonts w:ascii="Arial" w:hAnsi="Arial" w:cs="Arial"/>
              </w:rPr>
              <w:t>Direktorat za okolje</w:t>
            </w:r>
            <w:r w:rsidR="00B25603" w:rsidRPr="00334EDF">
              <w:rPr>
                <w:rFonts w:ascii="Arial" w:hAnsi="Arial" w:cs="Arial"/>
              </w:rPr>
              <w:t xml:space="preserve">, </w:t>
            </w:r>
            <w:r w:rsidR="00D02802" w:rsidRPr="00334EDF">
              <w:rPr>
                <w:rFonts w:ascii="Arial" w:hAnsi="Arial" w:cs="Arial"/>
              </w:rPr>
              <w:t>MOP</w:t>
            </w:r>
          </w:p>
          <w:p w:rsidR="00B25603" w:rsidRPr="00A603B3" w:rsidRDefault="00B47534" w:rsidP="00B25603">
            <w:pPr>
              <w:pStyle w:val="Odstavekseznam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603B3">
              <w:rPr>
                <w:rFonts w:ascii="Arial" w:hAnsi="Arial" w:cs="Arial"/>
                <w:color w:val="000000"/>
              </w:rPr>
              <w:t>Mitja Brezovnik, vodja Sektorja za sistem posredne obdavčitve in carinski sistem</w:t>
            </w:r>
            <w:r w:rsidR="00B25603" w:rsidRPr="00A603B3">
              <w:rPr>
                <w:rFonts w:ascii="Arial" w:hAnsi="Arial" w:cs="Arial"/>
              </w:rPr>
              <w:t>,</w:t>
            </w:r>
            <w:r w:rsidR="00B25603" w:rsidRPr="00A603B3">
              <w:rPr>
                <w:rFonts w:ascii="Arial" w:hAnsi="Arial" w:cs="Arial"/>
                <w:i/>
              </w:rPr>
              <w:t xml:space="preserve"> </w:t>
            </w:r>
            <w:r w:rsidR="00B25603" w:rsidRPr="00A603B3">
              <w:rPr>
                <w:rFonts w:ascii="Arial" w:hAnsi="Arial" w:cs="Arial"/>
              </w:rPr>
              <w:t>Ministrstvo za finance</w:t>
            </w:r>
          </w:p>
          <w:p w:rsidR="00D02802" w:rsidRPr="00A603B3" w:rsidRDefault="00A603B3" w:rsidP="00D02802">
            <w:pPr>
              <w:pStyle w:val="Odstavekseznam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603B3">
              <w:rPr>
                <w:rFonts w:ascii="Arial" w:hAnsi="Arial" w:cs="Arial"/>
              </w:rPr>
              <w:t xml:space="preserve">dr. </w:t>
            </w:r>
            <w:r w:rsidR="00D02802" w:rsidRPr="00A603B3">
              <w:rPr>
                <w:rFonts w:ascii="Arial" w:hAnsi="Arial" w:cs="Arial"/>
              </w:rPr>
              <w:t xml:space="preserve">Peter Novak, </w:t>
            </w:r>
            <w:r w:rsidR="00C74342" w:rsidRPr="00A603B3">
              <w:rPr>
                <w:rFonts w:ascii="Arial" w:hAnsi="Arial" w:cs="Arial"/>
              </w:rPr>
              <w:t>podpredsednik</w:t>
            </w:r>
            <w:r w:rsidR="00D02802" w:rsidRPr="00A603B3">
              <w:rPr>
                <w:rFonts w:ascii="Arial" w:hAnsi="Arial" w:cs="Arial"/>
              </w:rPr>
              <w:t xml:space="preserve"> Znanstvenega </w:t>
            </w:r>
            <w:r w:rsidR="00C74342" w:rsidRPr="00A603B3">
              <w:rPr>
                <w:rFonts w:ascii="Arial" w:hAnsi="Arial" w:cs="Arial"/>
              </w:rPr>
              <w:t>sveta</w:t>
            </w:r>
            <w:r w:rsidR="00D02802" w:rsidRPr="00A603B3">
              <w:rPr>
                <w:rFonts w:ascii="Arial" w:hAnsi="Arial" w:cs="Arial"/>
              </w:rPr>
              <w:t xml:space="preserve"> EEA</w:t>
            </w:r>
          </w:p>
          <w:p w:rsidR="00D02802" w:rsidRPr="00D02802" w:rsidRDefault="00D02802" w:rsidP="00C74342">
            <w:pPr>
              <w:pStyle w:val="Odstavekseznama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 w:rsidRPr="00A603B3">
              <w:rPr>
                <w:rFonts w:ascii="Arial" w:hAnsi="Arial" w:cs="Arial"/>
              </w:rPr>
              <w:t xml:space="preserve">Veronika </w:t>
            </w:r>
            <w:proofErr w:type="spellStart"/>
            <w:r w:rsidRPr="00A603B3">
              <w:rPr>
                <w:rFonts w:ascii="Arial" w:hAnsi="Arial" w:cs="Arial"/>
              </w:rPr>
              <w:t>Valentar</w:t>
            </w:r>
            <w:proofErr w:type="spellEnd"/>
            <w:r w:rsidRPr="00A603B3">
              <w:rPr>
                <w:rFonts w:ascii="Arial" w:hAnsi="Arial" w:cs="Arial"/>
              </w:rPr>
              <w:t xml:space="preserve">, </w:t>
            </w:r>
            <w:r w:rsidR="00C74342" w:rsidRPr="00A603B3">
              <w:rPr>
                <w:rFonts w:ascii="Arial" w:hAnsi="Arial" w:cs="Arial"/>
              </w:rPr>
              <w:t>vodja projekta 'Lokalna partnerstva za zelena mesta in regije'</w:t>
            </w:r>
          </w:p>
        </w:tc>
      </w:tr>
      <w:tr w:rsidR="00D02802" w:rsidTr="00057392">
        <w:tc>
          <w:tcPr>
            <w:tcW w:w="1277" w:type="dxa"/>
            <w:shd w:val="clear" w:color="auto" w:fill="B5DAE7"/>
          </w:tcPr>
          <w:p w:rsidR="00D02802" w:rsidRPr="00D02802" w:rsidRDefault="00D02802" w:rsidP="00AD279A">
            <w:pPr>
              <w:jc w:val="center"/>
              <w:rPr>
                <w:rFonts w:ascii="Arial" w:hAnsi="Arial" w:cs="Arial"/>
              </w:rPr>
            </w:pPr>
            <w:r w:rsidRPr="00D02802">
              <w:rPr>
                <w:rFonts w:ascii="Arial" w:hAnsi="Arial" w:cs="Arial"/>
              </w:rPr>
              <w:t>14.00</w:t>
            </w:r>
          </w:p>
        </w:tc>
        <w:tc>
          <w:tcPr>
            <w:tcW w:w="2976" w:type="dxa"/>
            <w:shd w:val="clear" w:color="auto" w:fill="B5DAE7"/>
          </w:tcPr>
          <w:p w:rsidR="00D02802" w:rsidRPr="00D02802" w:rsidRDefault="00D02802" w:rsidP="00AD279A">
            <w:pPr>
              <w:rPr>
                <w:rFonts w:ascii="Arial" w:hAnsi="Arial" w:cs="Arial"/>
              </w:rPr>
            </w:pPr>
            <w:r w:rsidRPr="00D02802">
              <w:rPr>
                <w:rFonts w:ascii="Arial" w:hAnsi="Arial" w:cs="Arial"/>
              </w:rPr>
              <w:t>Zaključek dogodka</w:t>
            </w:r>
          </w:p>
        </w:tc>
        <w:tc>
          <w:tcPr>
            <w:tcW w:w="5529" w:type="dxa"/>
            <w:shd w:val="clear" w:color="auto" w:fill="B5DAE7"/>
          </w:tcPr>
          <w:p w:rsidR="00D02802" w:rsidRPr="00D02802" w:rsidRDefault="00D02802" w:rsidP="00AD279A">
            <w:pPr>
              <w:jc w:val="center"/>
            </w:pPr>
          </w:p>
        </w:tc>
      </w:tr>
    </w:tbl>
    <w:p w:rsidR="00D02802" w:rsidRDefault="001C6223" w:rsidP="00D02802">
      <w:pPr>
        <w:rPr>
          <w:rFonts w:ascii="Times New Roman" w:hAnsi="Times New Roman" w:cs="Times New Roman"/>
          <w:sz w:val="20"/>
          <w:szCs w:val="20"/>
        </w:rPr>
      </w:pPr>
      <w:r w:rsidRPr="001C6223">
        <w:rPr>
          <w:rFonts w:ascii="Times New Roman" w:hAnsi="Times New Roman" w:cs="Times New Roman"/>
          <w:sz w:val="20"/>
          <w:szCs w:val="20"/>
        </w:rPr>
        <w:t>*</w:t>
      </w:r>
      <w:r w:rsidR="00D02802" w:rsidRPr="001C6223">
        <w:rPr>
          <w:rFonts w:ascii="Times New Roman" w:hAnsi="Times New Roman" w:cs="Times New Roman"/>
          <w:sz w:val="20"/>
          <w:szCs w:val="20"/>
        </w:rPr>
        <w:t xml:space="preserve"> Predstavitve bodo delno potekale v angleškem jeziku, okrogla miza bo v celoti potekala v angleškem jeziku.</w:t>
      </w:r>
    </w:p>
    <w:p w:rsidR="00113524" w:rsidRPr="001C6223" w:rsidRDefault="00113524" w:rsidP="00D02802">
      <w:pPr>
        <w:rPr>
          <w:rFonts w:ascii="Times New Roman" w:hAnsi="Times New Roman" w:cs="Times New Roman"/>
          <w:sz w:val="20"/>
          <w:szCs w:val="20"/>
        </w:rPr>
      </w:pPr>
    </w:p>
    <w:p w:rsidR="00D02802" w:rsidRDefault="00113524" w:rsidP="000C6E1F">
      <w:r w:rsidRPr="00113524">
        <w:rPr>
          <w:noProof/>
          <w:lang w:eastAsia="sl-SI"/>
        </w:rPr>
        <w:drawing>
          <wp:inline distT="0" distB="0" distL="0" distR="0">
            <wp:extent cx="1311691" cy="792577"/>
            <wp:effectExtent l="19050" t="0" r="2759" b="0"/>
            <wp:docPr id="5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709" cy="796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 w:rsidRPr="00113524">
        <w:rPr>
          <w:noProof/>
          <w:lang w:eastAsia="sl-SI"/>
        </w:rPr>
        <w:drawing>
          <wp:inline distT="0" distB="0" distL="0" distR="0">
            <wp:extent cx="2481324" cy="298301"/>
            <wp:effectExtent l="19050" t="0" r="0" b="0"/>
            <wp:docPr id="6" name="Slika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278" cy="300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 w:rsidRPr="00113524">
        <w:rPr>
          <w:noProof/>
          <w:lang w:eastAsia="sl-SI"/>
        </w:rPr>
        <w:drawing>
          <wp:inline distT="0" distB="0" distL="0" distR="0">
            <wp:extent cx="1160342" cy="811354"/>
            <wp:effectExtent l="19050" t="0" r="1708" b="0"/>
            <wp:docPr id="8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012" cy="811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2802" w:rsidSect="00057392">
      <w:headerReference w:type="default" r:id="rId11"/>
      <w:footerReference w:type="default" r:id="rId12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603" w:rsidRDefault="00B25603" w:rsidP="00D02802">
      <w:pPr>
        <w:spacing w:after="0" w:line="240" w:lineRule="auto"/>
      </w:pPr>
      <w:r>
        <w:separator/>
      </w:r>
    </w:p>
  </w:endnote>
  <w:endnote w:type="continuationSeparator" w:id="0">
    <w:p w:rsidR="00B25603" w:rsidRDefault="00B25603" w:rsidP="00D02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603" w:rsidRDefault="00B25603">
    <w:pPr>
      <w:pStyle w:val="Noga"/>
    </w:pPr>
    <w:r>
      <w:t xml:space="preserve">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603" w:rsidRDefault="00B25603" w:rsidP="00D02802">
      <w:pPr>
        <w:spacing w:after="0" w:line="240" w:lineRule="auto"/>
      </w:pPr>
      <w:r>
        <w:separator/>
      </w:r>
    </w:p>
  </w:footnote>
  <w:footnote w:type="continuationSeparator" w:id="0">
    <w:p w:rsidR="00B25603" w:rsidRDefault="00B25603" w:rsidP="00D02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603" w:rsidRDefault="00B25603">
    <w:pPr>
      <w:pStyle w:val="Glava"/>
    </w:pPr>
  </w:p>
  <w:p w:rsidR="00B25603" w:rsidRDefault="00B25603">
    <w:pPr>
      <w:pStyle w:val="Glava"/>
    </w:pPr>
    <w:r w:rsidRPr="00A215C0">
      <w:rPr>
        <w:noProof/>
        <w:lang w:eastAsia="sl-SI"/>
      </w:rPr>
      <w:drawing>
        <wp:inline distT="0" distB="0" distL="0" distR="0">
          <wp:extent cx="2305050" cy="582534"/>
          <wp:effectExtent l="1905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3856" cy="5872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</w:t>
    </w:r>
    <w:r w:rsidRPr="00A215C0">
      <w:rPr>
        <w:noProof/>
        <w:lang w:eastAsia="sl-SI"/>
      </w:rPr>
      <w:drawing>
        <wp:inline distT="0" distB="0" distL="0" distR="0">
          <wp:extent cx="2324105" cy="581025"/>
          <wp:effectExtent l="19050" t="0" r="0" b="0"/>
          <wp:docPr id="2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8680" cy="5871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</w:t>
    </w:r>
    <w:r w:rsidRPr="00A215C0">
      <w:rPr>
        <w:noProof/>
        <w:lang w:eastAsia="sl-SI"/>
      </w:rPr>
      <w:drawing>
        <wp:inline distT="0" distB="0" distL="0" distR="0">
          <wp:extent cx="374019" cy="465921"/>
          <wp:effectExtent l="19050" t="0" r="6981" b="0"/>
          <wp:docPr id="9" name="Slika 7" descr="EIONET-SI-normal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IONET-SI-normalno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75326" cy="467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5603" w:rsidRDefault="00B25603">
    <w:pPr>
      <w:pStyle w:val="Glava"/>
    </w:pPr>
  </w:p>
  <w:p w:rsidR="00B25603" w:rsidRDefault="00B25603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C1866"/>
    <w:multiLevelType w:val="hybridMultilevel"/>
    <w:tmpl w:val="4ADC49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C15674"/>
    <w:multiLevelType w:val="hybridMultilevel"/>
    <w:tmpl w:val="40F2F48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97924DB"/>
    <w:multiLevelType w:val="hybridMultilevel"/>
    <w:tmpl w:val="5E4031A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5029B1"/>
    <w:rsid w:val="000459FE"/>
    <w:rsid w:val="00057392"/>
    <w:rsid w:val="000809F8"/>
    <w:rsid w:val="000971EF"/>
    <w:rsid w:val="000A3132"/>
    <w:rsid w:val="000A57A1"/>
    <w:rsid w:val="000C6E1F"/>
    <w:rsid w:val="00113524"/>
    <w:rsid w:val="001C6223"/>
    <w:rsid w:val="00334EDF"/>
    <w:rsid w:val="00351E8A"/>
    <w:rsid w:val="003720E5"/>
    <w:rsid w:val="00385584"/>
    <w:rsid w:val="003C07E1"/>
    <w:rsid w:val="003F79EE"/>
    <w:rsid w:val="004E3F97"/>
    <w:rsid w:val="005029B1"/>
    <w:rsid w:val="00593E23"/>
    <w:rsid w:val="005F3380"/>
    <w:rsid w:val="006F70C5"/>
    <w:rsid w:val="00726A8D"/>
    <w:rsid w:val="0072710B"/>
    <w:rsid w:val="007B2856"/>
    <w:rsid w:val="00866197"/>
    <w:rsid w:val="008848BA"/>
    <w:rsid w:val="008C3323"/>
    <w:rsid w:val="008E3839"/>
    <w:rsid w:val="0091093A"/>
    <w:rsid w:val="00A215C0"/>
    <w:rsid w:val="00A603B3"/>
    <w:rsid w:val="00A70759"/>
    <w:rsid w:val="00A96CCF"/>
    <w:rsid w:val="00A96F67"/>
    <w:rsid w:val="00AD279A"/>
    <w:rsid w:val="00AD6B61"/>
    <w:rsid w:val="00B25603"/>
    <w:rsid w:val="00B3325C"/>
    <w:rsid w:val="00B42E28"/>
    <w:rsid w:val="00B47534"/>
    <w:rsid w:val="00C57358"/>
    <w:rsid w:val="00C74342"/>
    <w:rsid w:val="00C87497"/>
    <w:rsid w:val="00CD2BDF"/>
    <w:rsid w:val="00CD7C52"/>
    <w:rsid w:val="00D019C2"/>
    <w:rsid w:val="00D02802"/>
    <w:rsid w:val="00D67D9B"/>
    <w:rsid w:val="00D772E3"/>
    <w:rsid w:val="00D96232"/>
    <w:rsid w:val="00DA48C2"/>
    <w:rsid w:val="00E8572B"/>
    <w:rsid w:val="00EC5C87"/>
    <w:rsid w:val="00F34307"/>
    <w:rsid w:val="00F81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96CC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809F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80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809F8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0C6E1F"/>
    <w:rPr>
      <w:color w:val="0000FF" w:themeColor="hyperlink"/>
      <w:u w:val="single"/>
    </w:rPr>
  </w:style>
  <w:style w:type="table" w:styleId="Tabela-mrea">
    <w:name w:val="Table Grid"/>
    <w:basedOn w:val="Navadnatabela"/>
    <w:uiPriority w:val="59"/>
    <w:rsid w:val="00D028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nhideWhenUsed/>
    <w:rsid w:val="00D02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D02802"/>
  </w:style>
  <w:style w:type="paragraph" w:styleId="Noga">
    <w:name w:val="footer"/>
    <w:basedOn w:val="Navaden"/>
    <w:link w:val="NogaZnak"/>
    <w:uiPriority w:val="99"/>
    <w:semiHidden/>
    <w:unhideWhenUsed/>
    <w:rsid w:val="00D02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D028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vropsko.okolje@epr.si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Bernard</dc:creator>
  <cp:lastModifiedBy>Bernard</cp:lastModifiedBy>
  <cp:revision>11</cp:revision>
  <cp:lastPrinted>2015-05-29T07:32:00Z</cp:lastPrinted>
  <dcterms:created xsi:type="dcterms:W3CDTF">2015-05-27T13:10:00Z</dcterms:created>
  <dcterms:modified xsi:type="dcterms:W3CDTF">2015-06-02T13:17:00Z</dcterms:modified>
</cp:coreProperties>
</file>